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480" w:lineRule="auto"/>
        <w:jc w:val="both"/>
        <w:rPr>
          <w:rFonts w:hint="default" w:ascii="Times New Roman" w:hAnsi="Times New Roman"/>
        </w:rPr>
      </w:pPr>
      <w:r>
        <w:rPr>
          <w:rFonts w:hint="default" w:ascii="Times New Roman" w:hAnsi="Times New Roman"/>
          <w:b/>
          <w:bCs/>
        </w:rPr>
        <w:t>Supplementary Material 1</w:t>
      </w:r>
      <w:r>
        <w:rPr>
          <w:rFonts w:hint="default" w:ascii="Times New Roman" w:hAnsi="Times New Roman"/>
        </w:rPr>
        <w:t>.</w:t>
      </w:r>
    </w:p>
    <w:p>
      <w:pPr>
        <w:pStyle w:val="2"/>
        <w:widowControl/>
        <w:spacing w:line="480" w:lineRule="auto"/>
        <w:jc w:val="both"/>
        <w:rPr>
          <w:rFonts w:hint="default" w:ascii="Times New Roman" w:hAnsi="Times New Roman" w:eastAsia="Italic"/>
          <w:color w:val="323232"/>
          <w:lang w:bidi="ar"/>
        </w:rPr>
      </w:pPr>
      <w:r>
        <w:rPr>
          <w:rFonts w:ascii="Times New Roman" w:hAnsi="Times New Roman"/>
          <w:b/>
          <w:bCs/>
        </w:rPr>
        <w:t xml:space="preserve">BALF cell count: </w:t>
      </w:r>
      <w:r>
        <w:rPr>
          <w:rFonts w:hint="default" w:ascii="Times New Roman" w:hAnsi="Times New Roman" w:eastAsia="Italic"/>
          <w:color w:val="323232"/>
          <w:lang w:bidi="ar"/>
        </w:rPr>
        <w:t>The numbers of total cells, neutrophils, lymphocytes, eosinophils, and macrophages in BALF were measured.</w:t>
      </w:r>
      <w:r>
        <w:rPr>
          <w:rFonts w:hint="default" w:ascii="Times New Roman" w:hAnsi="Times New Roman"/>
          <w:color w:val="FF0000"/>
        </w:rPr>
        <w:t xml:space="preserve"> </w:t>
      </w:r>
      <w:r>
        <w:rPr>
          <w:rFonts w:hint="default" w:ascii="Times New Roman" w:hAnsi="Times New Roman" w:eastAsia="Italic"/>
          <w:color w:val="323232"/>
          <w:lang w:bidi="ar"/>
        </w:rPr>
        <w:t>Total and differential cell counts in bronchoalveolar lavage fluid (BALF) were measured [</w:t>
      </w:r>
      <w:r>
        <w:rPr>
          <w:rFonts w:hint="default" w:ascii="Times New Roman" w:hAnsi="Times New Roman" w:eastAsia="Italic"/>
          <w:color w:val="0000FF"/>
          <w:lang w:bidi="ar"/>
        </w:rPr>
        <w:t>1,2</w:t>
      </w:r>
      <w:r>
        <w:rPr>
          <w:rFonts w:hint="default" w:ascii="Times New Roman" w:hAnsi="Times New Roman" w:eastAsia="Italic"/>
          <w:color w:val="323232"/>
          <w:lang w:bidi="ar"/>
        </w:rPr>
        <w:t>].</w:t>
      </w:r>
      <w:r>
        <w:rPr>
          <w:rFonts w:hint="default" w:ascii="Times New Roman" w:hAnsi="Times New Roman"/>
          <w:color w:val="323232"/>
          <w:lang w:bidi="ar"/>
        </w:rPr>
        <w:t xml:space="preserve"> </w:t>
      </w:r>
      <w:r>
        <w:rPr>
          <w:rFonts w:ascii="Times New Roman" w:hAnsi="Times New Roman" w:eastAsia="Italic"/>
          <w:color w:val="323232"/>
          <w:lang w:bidi="ar"/>
        </w:rPr>
        <w:t xml:space="preserve">Blood </w:t>
      </w:r>
      <w:r>
        <w:rPr>
          <w:rFonts w:hint="default" w:ascii="Times New Roman" w:hAnsi="Times New Roman"/>
          <w:color w:val="323232"/>
          <w:lang w:bidi="ar"/>
        </w:rPr>
        <w:t xml:space="preserve">was </w:t>
      </w:r>
      <w:r>
        <w:rPr>
          <w:rFonts w:hint="default" w:ascii="Times New Roman" w:hAnsi="Times New Roman" w:eastAsia="Italic"/>
          <w:color w:val="323232"/>
          <w:lang w:bidi="ar"/>
        </w:rPr>
        <w:t>collect</w:t>
      </w:r>
      <w:r>
        <w:rPr>
          <w:rFonts w:hint="default" w:ascii="Times New Roman" w:hAnsi="Times New Roman"/>
          <w:color w:val="323232"/>
          <w:lang w:bidi="ar"/>
        </w:rPr>
        <w:t>ed</w:t>
      </w:r>
      <w:r>
        <w:rPr>
          <w:rFonts w:hint="default" w:ascii="Times New Roman" w:hAnsi="Times New Roman" w:eastAsia="Italic"/>
          <w:color w:val="323232"/>
          <w:lang w:bidi="ar"/>
        </w:rPr>
        <w:t xml:space="preserve"> through the abdominal vein, and BALF was collected by flushing the lungs three times with 0.5 ml of 37 °C sterile, pyrogen-free, physiological saline (0.9% NaCl) via the tracheal cannula. After BALF collection, the samples were centrifuged at 420 × g at 4 °C for 15 minutes, and the supernatant was stored at -70 °C for subsequent analysis of protein and cytokine levels. The cell pellets were resuspended in 1 ml of PBS, and total cell counts were performed using a Neubauer’s chamber. For differential cell counts, cytospin slides were prepared and stained with Diff-Quick; 300 cells were counted per slide.</w:t>
      </w:r>
    </w:p>
    <w:p>
      <w:pPr>
        <w:pStyle w:val="2"/>
        <w:widowControl/>
        <w:spacing w:line="480" w:lineRule="auto"/>
        <w:jc w:val="both"/>
        <w:rPr>
          <w:rFonts w:hint="eastAsia" w:ascii="Times New Roman" w:hAnsi="Times New Roman" w:eastAsia="宋体"/>
          <w:color w:val="000000"/>
          <w:lang w:val="en-US" w:eastAsia="zh-CN"/>
        </w:rPr>
      </w:pPr>
      <w:r>
        <w:rPr>
          <w:rFonts w:hint="default" w:ascii="Times New Roman" w:hAnsi="Times New Roman"/>
          <w:b/>
          <w:bCs/>
        </w:rPr>
        <w:t xml:space="preserve">Neutrophil content: </w:t>
      </w:r>
      <w:r>
        <w:rPr>
          <w:rFonts w:hint="default" w:ascii="Times New Roman" w:hAnsi="Times New Roman"/>
        </w:rPr>
        <w:t>By</w:t>
      </w:r>
      <w:r>
        <w:rPr>
          <w:rFonts w:hint="default" w:ascii="Times New Roman" w:hAnsi="Times New Roman"/>
          <w:b/>
          <w:bCs/>
        </w:rPr>
        <w:t xml:space="preserve"> </w:t>
      </w:r>
      <w:r>
        <w:rPr>
          <w:rFonts w:hint="default" w:ascii="Times New Roman" w:hAnsi="Times New Roman"/>
        </w:rPr>
        <w:t>using a 100-point grid of a k</w:t>
      </w:r>
      <w:r>
        <w:rPr>
          <w:rFonts w:hint="default" w:ascii="Times New Roman" w:hAnsi="Times New Roman"/>
          <w:color w:val="000000"/>
        </w:rPr>
        <w:t>nown area (62,500 μm</w:t>
      </w:r>
      <w:r>
        <w:rPr>
          <w:rFonts w:hint="default" w:ascii="Times New Roman" w:hAnsi="Times New Roman"/>
          <w:color w:val="000000"/>
          <w:vertAlign w:val="superscript"/>
        </w:rPr>
        <w:t>2</w:t>
      </w:r>
      <w:r>
        <w:rPr>
          <w:rFonts w:hint="default" w:ascii="Times New Roman" w:hAnsi="Times New Roman"/>
          <w:color w:val="000000"/>
        </w:rPr>
        <w:t xml:space="preserve"> at 400X magnification) attached to the ocular lens of the microscope, we counted the number of points contacting the tissue samples and the numbers of neutrophils and positive cells in each field. The cell density was determined as the number of positive cells in each field divided by the tissue area, and this value was expressed as cells/mm</w:t>
      </w:r>
      <w:r>
        <w:rPr>
          <w:rFonts w:hint="default" w:ascii="Times New Roman" w:hAnsi="Times New Roman"/>
          <w:color w:val="000000"/>
          <w:vertAlign w:val="superscript"/>
        </w:rPr>
        <w:t>2</w:t>
      </w:r>
      <w:r>
        <w:rPr>
          <w:rFonts w:hint="default" w:ascii="Times New Roman" w:hAnsi="Times New Roman"/>
          <w:color w:val="000000"/>
        </w:rPr>
        <w:t xml:space="preserve"> </w:t>
      </w:r>
      <w:r>
        <w:rPr>
          <w:rFonts w:hint="default" w:ascii="Times New Roman" w:hAnsi="Times New Roman"/>
        </w:rPr>
        <w:t>[</w:t>
      </w:r>
      <w:r>
        <w:rPr>
          <w:rFonts w:hint="default" w:ascii="Times New Roman" w:hAnsi="Times New Roman"/>
          <w:color w:val="0000FF"/>
        </w:rPr>
        <w:t>3</w:t>
      </w:r>
      <w:r>
        <w:rPr>
          <w:rFonts w:hint="default" w:ascii="Times New Roman" w:hAnsi="Times New Roman"/>
        </w:rPr>
        <w:t>]. Morp</w:t>
      </w:r>
      <w:r>
        <w:rPr>
          <w:rFonts w:hint="default" w:ascii="Times New Roman" w:hAnsi="Times New Roman"/>
          <w:color w:val="000000"/>
        </w:rPr>
        <w:t>hometric measurements were performed in 15 fields for each animal at 400X magnification by an investigator who was blinded to the experimental group</w:t>
      </w:r>
      <w:r>
        <w:rPr>
          <w:rFonts w:hint="eastAsia" w:ascii="Times New Roman" w:hAnsi="Times New Roman"/>
          <w:color w:val="000000"/>
          <w:lang w:val="en-US" w:eastAsia="zh-CN"/>
        </w:rPr>
        <w:t>.</w:t>
      </w:r>
    </w:p>
    <w:p>
      <w:pPr>
        <w:pStyle w:val="2"/>
        <w:widowControl/>
        <w:spacing w:line="480" w:lineRule="auto"/>
        <w:jc w:val="both"/>
        <w:rPr>
          <w:rFonts w:hint="default" w:ascii="Times New Roman" w:hAnsi="Times New Roman"/>
          <w:color w:val="000000"/>
        </w:rPr>
      </w:pPr>
      <w:r>
        <w:rPr>
          <w:rFonts w:hint="default" w:ascii="Times New Roman" w:hAnsi="Times New Roman"/>
          <w:color w:val="000000"/>
        </w:rPr>
        <w:t>specific group under study.</w:t>
      </w:r>
    </w:p>
    <w:p>
      <w:pPr>
        <w:pStyle w:val="2"/>
        <w:widowControl/>
        <w:spacing w:line="480" w:lineRule="auto"/>
        <w:jc w:val="both"/>
        <w:rPr>
          <w:rFonts w:hint="default" w:ascii="Times New Roman" w:hAnsi="Times New Roman"/>
          <w:color w:val="000000"/>
        </w:rPr>
      </w:pPr>
      <w:r>
        <w:rPr>
          <w:rFonts w:hint="default" w:ascii="Times New Roman" w:hAnsi="Times New Roman"/>
          <w:b/>
          <w:bCs/>
        </w:rPr>
        <w:t>Lung injury score:</w:t>
      </w:r>
      <w:r>
        <w:rPr>
          <w:rFonts w:hint="default" w:ascii="Times New Roman" w:hAnsi="Times New Roman"/>
          <w:b/>
          <w:bCs/>
          <w:color w:val="0000FF"/>
        </w:rPr>
        <w:t xml:space="preserve"> </w:t>
      </w:r>
      <w:r>
        <w:rPr>
          <w:rFonts w:hint="default" w:ascii="Times New Roman" w:hAnsi="Times New Roman"/>
          <w:color w:val="000000"/>
        </w:rPr>
        <w:t>Lung tissues were subjected to paraffin procedures, sectioned at approximately 5-μm thickness, and then stained with HE. Lung injury was evaluated and scored by two pathologists who were blinded to the experimental design by using a recent criterion</w:t>
      </w:r>
      <w:r>
        <w:rPr>
          <w:rFonts w:hint="default" w:ascii="Times New Roman" w:hAnsi="Times New Roman"/>
        </w:rPr>
        <w:t xml:space="preserve"> [</w:t>
      </w:r>
      <w:r>
        <w:rPr>
          <w:rFonts w:hint="default" w:ascii="Times New Roman" w:hAnsi="Times New Roman"/>
          <w:color w:val="0000FF"/>
        </w:rPr>
        <w:t>4</w:t>
      </w:r>
      <w:r>
        <w:rPr>
          <w:rFonts w:hint="default" w:ascii="Times New Roman" w:hAnsi="Times New Roman"/>
        </w:rPr>
        <w:t>],</w:t>
      </w:r>
      <w:r>
        <w:rPr>
          <w:rFonts w:hint="default" w:ascii="Times New Roman" w:hAnsi="Times New Roman"/>
          <w:color w:val="0000FF"/>
        </w:rPr>
        <w:t xml:space="preserve"> </w:t>
      </w:r>
      <w:r>
        <w:rPr>
          <w:rFonts w:hint="default" w:ascii="Times New Roman" w:hAnsi="Times New Roman"/>
          <w:color w:val="000000"/>
        </w:rPr>
        <w:t>where lung damage was evaluated on a two-point scale with scores ranging from 0 to 1.</w:t>
      </w:r>
    </w:p>
    <w:p>
      <w:pPr>
        <w:pStyle w:val="2"/>
        <w:widowControl/>
        <w:spacing w:line="480" w:lineRule="auto"/>
        <w:jc w:val="both"/>
        <w:rPr>
          <w:rFonts w:hint="default" w:ascii="Times New Roman" w:hAnsi="Times New Roman"/>
        </w:rPr>
      </w:pPr>
      <w:r>
        <w:rPr>
          <w:rFonts w:hint="default" w:ascii="Times New Roman" w:hAnsi="Times New Roman"/>
          <w:b/>
          <w:bCs/>
        </w:rPr>
        <w:t xml:space="preserve">Detection of pulmonary fibrosis: </w:t>
      </w:r>
      <w:r>
        <w:rPr>
          <w:rFonts w:hint="default" w:ascii="Times New Roman" w:hAnsi="Times New Roman"/>
        </w:rPr>
        <w:t>To assess alveolitis and fibrosis, Masson-stained sections were evaluated via semiquantitative histology by a pathologist who was blinded to the treatment groups using a light microscope and a scoring system for measurements according to a previously described method [</w:t>
      </w:r>
      <w:r>
        <w:rPr>
          <w:rFonts w:hint="default" w:ascii="Times New Roman" w:hAnsi="Times New Roman"/>
          <w:color w:val="0000FF"/>
        </w:rPr>
        <w:t>5,6</w:t>
      </w:r>
      <w:r>
        <w:rPr>
          <w:rFonts w:hint="default" w:ascii="Times New Roman" w:hAnsi="Times New Roman"/>
        </w:rPr>
        <w:t>]. A histological semiquantitative examination of the lung was performed on sections after standard Sirius Red staining. Periportal fibrosis was scored 0-4, and perisinusoidal fibrosis was scored 0-2, thus yielding a maximum possible score of 6 [</w:t>
      </w:r>
      <w:r>
        <w:rPr>
          <w:rFonts w:hint="default" w:ascii="Times New Roman" w:hAnsi="Times New Roman"/>
          <w:color w:val="0000FF"/>
        </w:rPr>
        <w:t>7</w:t>
      </w:r>
      <w:r>
        <w:rPr>
          <w:rFonts w:hint="default" w:ascii="Times New Roman" w:hAnsi="Times New Roman"/>
        </w:rPr>
        <w:t>].</w:t>
      </w:r>
    </w:p>
    <w:p>
      <w:pPr>
        <w:spacing w:after="160" w:line="480" w:lineRule="auto"/>
        <w:rPr>
          <w:rFonts w:ascii="Times New Roman" w:hAnsi="Times New Roman" w:eastAsia="宋体" w:cs="Times New Roman"/>
          <w:sz w:val="24"/>
        </w:rPr>
      </w:pPr>
      <w:r>
        <w:rPr>
          <w:rFonts w:ascii="Times New Roman" w:hAnsi="Times New Roman" w:eastAsia="宋体" w:cs="Times New Roman"/>
          <w:b/>
          <w:bCs/>
          <w:sz w:val="24"/>
        </w:rPr>
        <w:t>Hydroxyproline Assay</w:t>
      </w:r>
      <w:r>
        <w:rPr>
          <w:rFonts w:hint="eastAsia" w:ascii="Times New Roman" w:hAnsi="Times New Roman" w:eastAsia="宋体" w:cs="Times New Roman"/>
          <w:b/>
          <w:bCs/>
          <w:sz w:val="24"/>
        </w:rPr>
        <w:t xml:space="preserve">: </w:t>
      </w:r>
      <w:r>
        <w:rPr>
          <w:rFonts w:hint="eastAsia" w:ascii="Times New Roman" w:hAnsi="Times New Roman" w:eastAsia="宋体" w:cs="Times New Roman"/>
          <w:sz w:val="24"/>
        </w:rPr>
        <w:t xml:space="preserve">The </w:t>
      </w:r>
      <w:r>
        <w:rPr>
          <w:rFonts w:ascii="Times New Roman" w:hAnsi="Times New Roman" w:eastAsia="宋体" w:cs="Times New Roman"/>
          <w:sz w:val="24"/>
        </w:rPr>
        <w:t>lung</w:t>
      </w:r>
      <w:r>
        <w:rPr>
          <w:rFonts w:hint="eastAsia" w:ascii="Times New Roman" w:hAnsi="Times New Roman" w:eastAsia="宋体" w:cs="Times New Roman"/>
          <w:sz w:val="24"/>
        </w:rPr>
        <w:t xml:space="preserve"> tissues were</w:t>
      </w:r>
      <w:r>
        <w:rPr>
          <w:rFonts w:ascii="Times New Roman" w:hAnsi="Times New Roman" w:eastAsia="宋体" w:cs="Times New Roman"/>
          <w:sz w:val="24"/>
        </w:rPr>
        <w:t xml:space="preserve"> homogenized in 10 volumes of distilled water. Homogenates were hydrolysed in 12 M HCl at 120 °C for 3 h as previously described</w:t>
      </w:r>
      <w:r>
        <w:rPr>
          <w:rFonts w:hint="eastAsia" w:ascii="Times New Roman" w:hAnsi="Times New Roman" w:eastAsia="宋体" w:cs="Times New Roman"/>
          <w:sz w:val="24"/>
        </w:rPr>
        <w:t xml:space="preserve"> </w:t>
      </w:r>
      <w:r>
        <w:rPr>
          <w:rFonts w:ascii="Times New Roman" w:hAnsi="Times New Roman" w:cs="Times New Roman"/>
          <w:sz w:val="24"/>
        </w:rPr>
        <w:t>[</w:t>
      </w:r>
      <w:r>
        <w:rPr>
          <w:rFonts w:hint="eastAsia" w:ascii="Times New Roman" w:hAnsi="Times New Roman" w:cs="Times New Roman"/>
          <w:color w:val="0000FF"/>
          <w:sz w:val="24"/>
        </w:rPr>
        <w:t>8</w:t>
      </w:r>
      <w:r>
        <w:rPr>
          <w:rFonts w:ascii="Times New Roman" w:hAnsi="Times New Roman" w:cs="Times New Roman"/>
          <w:sz w:val="24"/>
        </w:rPr>
        <w:t>]</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Hydroxyproline was measured colorimetrically (560 nm) after hydrolysis using an assay kit (Nanjing Jiancheng Bioengineering Institute, Nanjing, China)</w:t>
      </w:r>
      <w:r>
        <w:rPr>
          <w:rFonts w:hint="eastAsia" w:ascii="Times New Roman" w:hAnsi="Times New Roman" w:eastAsia="宋体" w:cs="Times New Roman"/>
          <w:sz w:val="24"/>
        </w:rPr>
        <w:t>.</w:t>
      </w:r>
    </w:p>
    <w:p>
      <w:pPr>
        <w:spacing w:after="160" w:line="480" w:lineRule="auto"/>
        <w:rPr>
          <w:rFonts w:ascii="Times New Roman" w:hAnsi="Times New Roman" w:eastAsia="宋体" w:cs="Times New Roman"/>
          <w:sz w:val="24"/>
        </w:rPr>
      </w:pPr>
      <w:r>
        <w:rPr>
          <w:rFonts w:hint="eastAsia" w:ascii="Times New Roman" w:hAnsi="Times New Roman" w:eastAsia="宋体" w:cs="Times New Roman"/>
          <w:b/>
          <w:bCs/>
          <w:sz w:val="24"/>
          <w:lang w:eastAsia="zh-CN"/>
        </w:rPr>
        <w:t>Ashcroft fibrosis</w:t>
      </w:r>
      <w:r>
        <w:rPr>
          <w:rFonts w:hint="eastAsia" w:ascii="Times New Roman" w:hAnsi="Times New Roman" w:eastAsia="宋体" w:cs="Times New Roman"/>
          <w:b/>
          <w:bCs/>
          <w:sz w:val="24"/>
        </w:rPr>
        <w:t xml:space="preserve">: </w:t>
      </w:r>
      <w:r>
        <w:rPr>
          <w:rFonts w:ascii="Times New Roman" w:hAnsi="Times New Roman" w:eastAsia="宋体" w:cs="Times New Roman"/>
          <w:sz w:val="24"/>
        </w:rPr>
        <w:t xml:space="preserve">After death, each lung tissue was fixed in buffered </w:t>
      </w:r>
      <w:r>
        <w:rPr>
          <w:rFonts w:hint="eastAsia" w:ascii="Times New Roman" w:hAnsi="Times New Roman" w:eastAsia="宋体" w:cs="Times New Roman"/>
          <w:sz w:val="24"/>
        </w:rPr>
        <w:t>4</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paraformaldehyde for 24 hr and embedded in paraffin. Ten consecutive longitudinal sections of the lungs were stained with haematoxylin and eosin (HE) and examined for pulmonary fibrosis. Each successive field was individually assessed for the severity of interstitial fibrosis using the semiquantitative grading system described by Ashcroft et al.</w:t>
      </w:r>
      <w:r>
        <w:rPr>
          <w:rFonts w:hint="eastAsia" w:ascii="Times New Roman" w:hAnsi="Times New Roman" w:eastAsia="宋体" w:cs="Times New Roman"/>
          <w:sz w:val="24"/>
        </w:rPr>
        <w:t xml:space="preserve"> [</w:t>
      </w:r>
      <w:r>
        <w:rPr>
          <w:rFonts w:hint="eastAsia" w:ascii="Times New Roman" w:hAnsi="Times New Roman" w:cs="Times New Roman"/>
          <w:color w:val="0000FF"/>
          <w:sz w:val="24"/>
        </w:rPr>
        <w:t>9</w:t>
      </w:r>
      <w:r>
        <w:rPr>
          <w:rFonts w:hint="eastAsia" w:ascii="Times New Roman" w:hAnsi="Times New Roman" w:eastAsia="宋体" w:cs="Times New Roman"/>
          <w:sz w:val="24"/>
        </w:rPr>
        <w:t>]</w:t>
      </w:r>
      <w:r>
        <w:rPr>
          <w:rFonts w:ascii="Times New Roman" w:hAnsi="Times New Roman" w:eastAsia="宋体" w:cs="Times New Roman"/>
          <w:sz w:val="24"/>
        </w:rPr>
        <w:t>.</w:t>
      </w:r>
      <w:r>
        <w:rPr>
          <w:rFonts w:ascii="Times New Roman" w:hAnsi="Times New Roman" w:cs="Times New Roman"/>
          <w:color w:val="0000FF"/>
          <w:sz w:val="24"/>
        </w:rPr>
        <w:t xml:space="preserve"> </w:t>
      </w:r>
      <w:r>
        <w:rPr>
          <w:rFonts w:ascii="Times New Roman" w:hAnsi="Times New Roman" w:eastAsia="宋体" w:cs="Times New Roman"/>
          <w:sz w:val="24"/>
        </w:rPr>
        <w:t xml:space="preserve">The entire lung section was reviewed at a magnification of 100. For each of the 30-35 microscopic fields needed to review the section, a score ranging from 0 (normal lung) to 8 (total fibrosis) was assigned. The mean score of all fields was taken as the fibrosis score of that lung section. The criteria for grading pulmonary fibrosis were as follows. Grade 0 ¼ </w:t>
      </w:r>
      <w:bookmarkStart w:id="0" w:name="_Hlk87341001"/>
      <w:r>
        <w:rPr>
          <w:rFonts w:ascii="Times New Roman" w:hAnsi="Times New Roman" w:eastAsia="宋体" w:cs="Times New Roman"/>
          <w:sz w:val="24"/>
        </w:rPr>
        <w:t>was assigned to a</w:t>
      </w:r>
      <w:bookmarkEnd w:id="0"/>
      <w:r>
        <w:rPr>
          <w:rFonts w:ascii="Times New Roman" w:hAnsi="Times New Roman" w:eastAsia="宋体" w:cs="Times New Roman"/>
          <w:sz w:val="24"/>
        </w:rPr>
        <w:t xml:space="preserve"> normal lung; Grade 1 ¼ was assigned to a minimal fibrous thickening of alveolar or bronchial walls; Grade 2-3 ¼ was assigned to a moderate thickening of walls without obvious damage to lung architecture; Grade 4-5 ¼ was assigned to an increased fibrosis with definite damage to lung architecture and formation of fibrous bands or small fibrous mass; Grade 6-7 ¼ was assigned to severe distortion of structure and large fibrous areas, and honeycomb lung was placed in this category; and Grade 8 ¼ was assigned to a total fibrotic obliteration of the field.</w:t>
      </w:r>
    </w:p>
    <w:tbl>
      <w:tblPr>
        <w:tblStyle w:val="4"/>
        <w:tblW w:w="4998" w:type="pct"/>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701"/>
        <w:gridCol w:w="1704"/>
        <w:gridCol w:w="1704"/>
        <w:gridCol w:w="1705"/>
        <w:gridCol w:w="1705"/>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998" w:type="pct"/>
            <w:tcBorders>
              <w:bottom w:val="single" w:color="auto" w:sz="8" w:space="0"/>
              <w:tl2br w:val="nil"/>
              <w:tr2bl w:val="nil"/>
            </w:tcBorders>
          </w:tcPr>
          <w:p>
            <w:pPr>
              <w:pStyle w:val="2"/>
              <w:widowControl/>
              <w:spacing w:line="480" w:lineRule="auto"/>
              <w:jc w:val="center"/>
              <w:rPr>
                <w:rFonts w:hint="default" w:ascii="Times New Roman" w:hAnsi="Times New Roman"/>
                <w:sz w:val="21"/>
                <w:szCs w:val="21"/>
              </w:rPr>
            </w:pPr>
            <w:r>
              <w:rPr>
                <w:rFonts w:hint="default" w:ascii="Times New Roman" w:hAnsi="Times New Roman"/>
                <w:b/>
                <w:bCs/>
                <w:sz w:val="21"/>
                <w:szCs w:val="21"/>
              </w:rPr>
              <w:t>Group</w:t>
            </w:r>
          </w:p>
        </w:tc>
        <w:tc>
          <w:tcPr>
            <w:tcW w:w="1000" w:type="pct"/>
            <w:tcBorders>
              <w:bottom w:val="single" w:color="auto" w:sz="8" w:space="0"/>
              <w:tl2br w:val="nil"/>
              <w:tr2bl w:val="nil"/>
            </w:tcBorders>
          </w:tcPr>
          <w:p>
            <w:pPr>
              <w:pStyle w:val="2"/>
              <w:widowControl/>
              <w:spacing w:line="480" w:lineRule="auto"/>
              <w:jc w:val="center"/>
              <w:rPr>
                <w:rFonts w:hint="default" w:ascii="Times New Roman" w:hAnsi="Times New Roman"/>
                <w:b/>
                <w:bCs/>
                <w:sz w:val="21"/>
                <w:szCs w:val="21"/>
              </w:rPr>
            </w:pPr>
            <w:r>
              <w:rPr>
                <w:rFonts w:ascii="Times New Roman" w:hAnsi="Times New Roman"/>
                <w:b/>
                <w:bCs/>
                <w:sz w:val="21"/>
                <w:szCs w:val="21"/>
              </w:rPr>
              <w:t>Ch</w:t>
            </w:r>
          </w:p>
        </w:tc>
        <w:tc>
          <w:tcPr>
            <w:tcW w:w="1000" w:type="pct"/>
            <w:tcBorders>
              <w:bottom w:val="single" w:color="auto" w:sz="8" w:space="0"/>
              <w:tl2br w:val="nil"/>
              <w:tr2bl w:val="nil"/>
            </w:tcBorders>
          </w:tcPr>
          <w:p>
            <w:pPr>
              <w:pStyle w:val="2"/>
              <w:widowControl/>
              <w:spacing w:line="480" w:lineRule="auto"/>
              <w:jc w:val="center"/>
              <w:rPr>
                <w:rFonts w:hint="default" w:ascii="Times New Roman" w:hAnsi="Times New Roman"/>
                <w:b/>
                <w:bCs/>
                <w:sz w:val="21"/>
                <w:szCs w:val="21"/>
              </w:rPr>
            </w:pPr>
            <w:r>
              <w:rPr>
                <w:rFonts w:ascii="Times New Roman" w:hAnsi="Times New Roman"/>
                <w:b/>
                <w:bCs/>
                <w:sz w:val="21"/>
                <w:szCs w:val="21"/>
              </w:rPr>
              <w:t>CE</w:t>
            </w:r>
          </w:p>
        </w:tc>
        <w:tc>
          <w:tcPr>
            <w:tcW w:w="1000" w:type="pct"/>
            <w:tcBorders>
              <w:bottom w:val="single" w:color="auto" w:sz="8" w:space="0"/>
              <w:tl2br w:val="nil"/>
              <w:tr2bl w:val="nil"/>
            </w:tcBorders>
          </w:tcPr>
          <w:p>
            <w:pPr>
              <w:pStyle w:val="2"/>
              <w:widowControl/>
              <w:spacing w:line="480" w:lineRule="auto"/>
              <w:jc w:val="center"/>
              <w:rPr>
                <w:rFonts w:hint="default" w:ascii="Times New Roman" w:hAnsi="Times New Roman"/>
                <w:b/>
                <w:bCs/>
                <w:sz w:val="21"/>
                <w:szCs w:val="21"/>
              </w:rPr>
            </w:pPr>
            <w:r>
              <w:rPr>
                <w:rFonts w:hint="default" w:ascii="Times New Roman" w:hAnsi="Times New Roman"/>
                <w:b/>
                <w:bCs/>
                <w:sz w:val="21"/>
                <w:szCs w:val="21"/>
              </w:rPr>
              <w:t>Ob</w:t>
            </w:r>
          </w:p>
        </w:tc>
        <w:tc>
          <w:tcPr>
            <w:tcW w:w="1000" w:type="pct"/>
            <w:tcBorders>
              <w:bottom w:val="single" w:color="auto" w:sz="8" w:space="0"/>
              <w:tl2br w:val="nil"/>
              <w:tr2bl w:val="nil"/>
            </w:tcBorders>
          </w:tcPr>
          <w:p>
            <w:pPr>
              <w:pStyle w:val="2"/>
              <w:widowControl/>
              <w:spacing w:line="480" w:lineRule="auto"/>
              <w:jc w:val="center"/>
              <w:rPr>
                <w:rFonts w:hint="default" w:ascii="Times New Roman" w:hAnsi="Times New Roman"/>
                <w:b/>
                <w:bCs/>
                <w:sz w:val="21"/>
                <w:szCs w:val="21"/>
              </w:rPr>
            </w:pPr>
            <w:r>
              <w:rPr>
                <w:rFonts w:hint="default" w:ascii="Times New Roman" w:hAnsi="Times New Roman"/>
                <w:b/>
                <w:bCs/>
                <w:sz w:val="21"/>
                <w:szCs w:val="21"/>
              </w:rPr>
              <w:t>OE</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998" w:type="pct"/>
            <w:tcBorders>
              <w:tl2br w:val="nil"/>
              <w:tr2bl w:val="nil"/>
            </w:tcBorders>
          </w:tcPr>
          <w:p>
            <w:pPr>
              <w:spacing w:line="360" w:lineRule="auto"/>
              <w:jc w:val="center"/>
              <w:rPr>
                <w:rFonts w:ascii="Times New Roman" w:hAnsi="Times New Roman" w:eastAsia="宋体" w:cs="Times New Roman"/>
                <w:sz w:val="15"/>
                <w:szCs w:val="15"/>
              </w:rPr>
            </w:pPr>
            <w:r>
              <w:rPr>
                <w:rFonts w:ascii="Times New Roman" w:hAnsi="Times New Roman" w:eastAsia="宋体" w:cs="Times New Roman"/>
                <w:sz w:val="15"/>
                <w:szCs w:val="15"/>
              </w:rPr>
              <w:t>Hydroxyproline (μg/μng)</w:t>
            </w:r>
          </w:p>
        </w:tc>
        <w:tc>
          <w:tcPr>
            <w:tcW w:w="1000" w:type="pct"/>
            <w:tcBorders>
              <w:tl2br w:val="nil"/>
              <w:tr2bl w:val="nil"/>
            </w:tcBorders>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11</w:t>
            </w:r>
            <w:r>
              <w:rPr>
                <w:rFonts w:ascii="Times New Roman" w:hAnsi="Times New Roman" w:eastAsia="宋体" w:cs="Times New Roman"/>
                <w:szCs w:val="21"/>
              </w:rPr>
              <w:t xml:space="preserve"> ± 1.</w:t>
            </w:r>
            <w:r>
              <w:rPr>
                <w:rFonts w:hint="eastAsia" w:ascii="Times New Roman" w:hAnsi="Times New Roman" w:eastAsia="宋体" w:cs="Times New Roman"/>
                <w:szCs w:val="21"/>
              </w:rPr>
              <w:t>49</w:t>
            </w:r>
          </w:p>
        </w:tc>
        <w:tc>
          <w:tcPr>
            <w:tcW w:w="1000" w:type="pct"/>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14.89</w:t>
            </w:r>
            <w:r>
              <w:rPr>
                <w:rFonts w:ascii="Times New Roman" w:hAnsi="Times New Roman" w:eastAsia="宋体" w:cs="Times New Roman"/>
                <w:kern w:val="0"/>
                <w:szCs w:val="21"/>
              </w:rPr>
              <w:t xml:space="preserve"> ± </w:t>
            </w:r>
            <w:r>
              <w:rPr>
                <w:rFonts w:hint="eastAsia" w:ascii="Times New Roman" w:hAnsi="Times New Roman" w:eastAsia="宋体" w:cs="Times New Roman"/>
                <w:kern w:val="0"/>
                <w:szCs w:val="21"/>
              </w:rPr>
              <w:t>1.24</w:t>
            </w:r>
          </w:p>
        </w:tc>
        <w:tc>
          <w:tcPr>
            <w:tcW w:w="1000" w:type="pct"/>
            <w:tcBorders>
              <w:tl2br w:val="nil"/>
              <w:tr2bl w:val="nil"/>
            </w:tcBorders>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22</w:t>
            </w:r>
            <w:r>
              <w:rPr>
                <w:rFonts w:ascii="Times New Roman" w:hAnsi="Times New Roman" w:eastAsia="宋体" w:cs="Times New Roman"/>
                <w:szCs w:val="21"/>
              </w:rPr>
              <w:t xml:space="preserve"> ± </w:t>
            </w: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16</w:t>
            </w:r>
            <w:r>
              <w:rPr>
                <w:rFonts w:ascii="Times New Roman" w:hAnsi="Times New Roman" w:eastAsia="宋体" w:cs="Times New Roman"/>
                <w:szCs w:val="21"/>
                <w:vertAlign w:val="superscript"/>
              </w:rPr>
              <w:t>*</w:t>
            </w:r>
          </w:p>
        </w:tc>
        <w:tc>
          <w:tcPr>
            <w:tcW w:w="1000" w:type="pct"/>
            <w:tcBorders>
              <w:tl2br w:val="nil"/>
              <w:tr2bl w:val="nil"/>
            </w:tcBorders>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65</w:t>
            </w:r>
            <w:r>
              <w:rPr>
                <w:rFonts w:ascii="Times New Roman" w:hAnsi="Times New Roman" w:eastAsia="宋体" w:cs="Times New Roman"/>
                <w:szCs w:val="21"/>
              </w:rPr>
              <w:t xml:space="preserve"> ± </w:t>
            </w: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41</w:t>
            </w:r>
            <w:r>
              <w:rPr>
                <w:rFonts w:ascii="Times New Roman" w:hAnsi="Times New Roman" w:eastAsia="宋体" w:cs="Times New Roman"/>
                <w:szCs w:val="21"/>
                <w:vertAlign w:val="superscript"/>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998" w:type="pct"/>
            <w:tcBorders>
              <w:tl2br w:val="nil"/>
              <w:tr2bl w:val="nil"/>
            </w:tcBorders>
          </w:tcPr>
          <w:p>
            <w:pPr>
              <w:spacing w:line="480" w:lineRule="auto"/>
              <w:jc w:val="center"/>
              <w:rPr>
                <w:rFonts w:hint="eastAsia" w:ascii="Times New Roman" w:hAnsi="Times New Roman" w:eastAsia="宋体" w:cs="Times New Roman"/>
                <w:sz w:val="15"/>
                <w:szCs w:val="15"/>
                <w:lang w:eastAsia="zh-CN"/>
              </w:rPr>
            </w:pPr>
            <w:r>
              <w:rPr>
                <w:rFonts w:hint="eastAsia" w:ascii="Times New Roman" w:hAnsi="Times New Roman" w:eastAsia="宋体" w:cs="Times New Roman"/>
                <w:sz w:val="15"/>
                <w:szCs w:val="15"/>
                <w:lang w:eastAsia="zh-CN"/>
              </w:rPr>
              <w:t>Ashcroft fibrosis</w:t>
            </w:r>
          </w:p>
        </w:tc>
        <w:tc>
          <w:tcPr>
            <w:tcW w:w="1000" w:type="pct"/>
            <w:tcBorders>
              <w:tl2br w:val="nil"/>
              <w:tr2bl w:val="nil"/>
            </w:tcBorders>
          </w:tcPr>
          <w:p>
            <w:pPr>
              <w:spacing w:line="48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0.3</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 xml:space="preserve"> ± 0.0</w:t>
            </w:r>
            <w:r>
              <w:rPr>
                <w:rFonts w:hint="eastAsia" w:ascii="Times New Roman" w:hAnsi="Times New Roman" w:eastAsia="宋体" w:cs="Times New Roman"/>
                <w:color w:val="000000" w:themeColor="text1"/>
                <w:szCs w:val="21"/>
                <w14:textFill>
                  <w14:solidFill>
                    <w14:schemeClr w14:val="tx1"/>
                  </w14:solidFill>
                </w14:textFill>
              </w:rPr>
              <w:t>3</w:t>
            </w:r>
          </w:p>
        </w:tc>
        <w:tc>
          <w:tcPr>
            <w:tcW w:w="1000" w:type="pct"/>
            <w:tcBorders>
              <w:tl2br w:val="nil"/>
              <w:tr2bl w:val="nil"/>
            </w:tcBorders>
          </w:tcPr>
          <w:p>
            <w:pPr>
              <w:spacing w:line="48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0.29</w:t>
            </w:r>
            <w:r>
              <w:rPr>
                <w:rFonts w:ascii="Times New Roman" w:hAnsi="Times New Roman" w:eastAsia="宋体" w:cs="Times New Roman"/>
                <w:kern w:val="0"/>
                <w:szCs w:val="21"/>
              </w:rPr>
              <w:t xml:space="preserve"> ± </w:t>
            </w:r>
            <w:r>
              <w:rPr>
                <w:rFonts w:hint="eastAsia" w:ascii="Times New Roman" w:hAnsi="Times New Roman" w:eastAsia="宋体" w:cs="Times New Roman"/>
                <w:kern w:val="0"/>
                <w:szCs w:val="21"/>
              </w:rPr>
              <w:t>0.02</w:t>
            </w:r>
          </w:p>
        </w:tc>
        <w:tc>
          <w:tcPr>
            <w:tcW w:w="1000" w:type="pct"/>
            <w:tcBorders>
              <w:tl2br w:val="nil"/>
              <w:tr2bl w:val="nil"/>
            </w:tcBorders>
          </w:tcPr>
          <w:p>
            <w:pPr>
              <w:spacing w:line="48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4.56 ± 0.46</w:t>
            </w:r>
            <w:r>
              <w:rPr>
                <w:rFonts w:ascii="Times New Roman" w:hAnsi="Times New Roman" w:eastAsia="宋体" w:cs="Times New Roman"/>
                <w:szCs w:val="21"/>
                <w:vertAlign w:val="superscript"/>
              </w:rPr>
              <w:t>*</w:t>
            </w:r>
          </w:p>
        </w:tc>
        <w:tc>
          <w:tcPr>
            <w:tcW w:w="1000" w:type="pct"/>
            <w:tcBorders>
              <w:tl2br w:val="nil"/>
              <w:tr2bl w:val="nil"/>
            </w:tcBorders>
          </w:tcPr>
          <w:p>
            <w:pPr>
              <w:spacing w:line="48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38</w:t>
            </w:r>
            <w:r>
              <w:rPr>
                <w:rFonts w:ascii="Times New Roman" w:hAnsi="Times New Roman" w:eastAsia="宋体" w:cs="Times New Roman"/>
                <w:color w:val="000000" w:themeColor="text1"/>
                <w:szCs w:val="21"/>
                <w14:textFill>
                  <w14:solidFill>
                    <w14:schemeClr w14:val="tx1"/>
                  </w14:solidFill>
                </w14:textFill>
              </w:rPr>
              <w:t xml:space="preserve"> ± 0.2</w:t>
            </w:r>
            <w:r>
              <w:rPr>
                <w:rFonts w:hint="eastAsia"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cs="Times New Roman"/>
                <w:szCs w:val="21"/>
                <w:vertAlign w:val="superscript"/>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998" w:type="pct"/>
            <w:tcBorders>
              <w:tl2br w:val="nil"/>
              <w:tr2bl w:val="nil"/>
            </w:tcBorders>
          </w:tcPr>
          <w:p>
            <w:pPr>
              <w:pStyle w:val="2"/>
              <w:widowControl/>
              <w:spacing w:line="480" w:lineRule="auto"/>
              <w:jc w:val="center"/>
              <w:rPr>
                <w:rFonts w:hint="default" w:ascii="Times New Roman" w:hAnsi="Times New Roman"/>
                <w:sz w:val="16"/>
                <w:szCs w:val="16"/>
              </w:rPr>
            </w:pPr>
            <w:r>
              <w:rPr>
                <w:rFonts w:ascii="Times New Roman" w:hAnsi="Times New Roman"/>
                <w:sz w:val="16"/>
                <w:szCs w:val="16"/>
              </w:rPr>
              <w:t>Lung f</w:t>
            </w:r>
            <w:r>
              <w:rPr>
                <w:rFonts w:hint="default" w:ascii="Times New Roman" w:hAnsi="Times New Roman"/>
                <w:sz w:val="16"/>
                <w:szCs w:val="16"/>
              </w:rPr>
              <w:t>ibrotic score</w:t>
            </w:r>
          </w:p>
        </w:tc>
        <w:tc>
          <w:tcPr>
            <w:tcW w:w="1000" w:type="pct"/>
            <w:tcBorders>
              <w:tl2br w:val="nil"/>
              <w:tr2bl w:val="nil"/>
            </w:tcBorders>
          </w:tcPr>
          <w:p>
            <w:pPr>
              <w:pStyle w:val="2"/>
              <w:widowControl/>
              <w:spacing w:line="480" w:lineRule="auto"/>
              <w:jc w:val="center"/>
              <w:rPr>
                <w:rFonts w:hint="default" w:ascii="Times New Roman" w:hAnsi="Times New Roman"/>
                <w:sz w:val="21"/>
                <w:szCs w:val="21"/>
              </w:rPr>
            </w:pPr>
            <w:r>
              <w:rPr>
                <w:rFonts w:ascii="Times New Roman" w:hAnsi="Times New Roman"/>
                <w:sz w:val="21"/>
                <w:szCs w:val="21"/>
              </w:rPr>
              <w:t>1</w:t>
            </w:r>
            <w:r>
              <w:rPr>
                <w:rFonts w:hint="default" w:ascii="Times New Roman" w:hAnsi="Times New Roman"/>
                <w:sz w:val="21"/>
                <w:szCs w:val="21"/>
              </w:rPr>
              <w:t>.</w:t>
            </w:r>
            <w:r>
              <w:rPr>
                <w:rFonts w:ascii="Times New Roman" w:hAnsi="Times New Roman"/>
                <w:sz w:val="21"/>
                <w:szCs w:val="21"/>
              </w:rPr>
              <w:t>01</w:t>
            </w:r>
            <w:r>
              <w:rPr>
                <w:rFonts w:hint="default" w:ascii="Times New Roman" w:hAnsi="Times New Roman"/>
                <w:sz w:val="21"/>
                <w:szCs w:val="21"/>
              </w:rPr>
              <w:t xml:space="preserve"> ± </w:t>
            </w:r>
            <w:r>
              <w:rPr>
                <w:rFonts w:ascii="Times New Roman" w:hAnsi="Times New Roman"/>
                <w:sz w:val="21"/>
                <w:szCs w:val="21"/>
              </w:rPr>
              <w:t>0</w:t>
            </w:r>
            <w:r>
              <w:rPr>
                <w:rFonts w:hint="default" w:ascii="Times New Roman" w:hAnsi="Times New Roman"/>
                <w:sz w:val="21"/>
                <w:szCs w:val="21"/>
              </w:rPr>
              <w:t>.</w:t>
            </w:r>
            <w:r>
              <w:rPr>
                <w:rFonts w:ascii="Times New Roman" w:hAnsi="Times New Roman"/>
                <w:sz w:val="21"/>
                <w:szCs w:val="21"/>
              </w:rPr>
              <w:t>09</w:t>
            </w:r>
          </w:p>
        </w:tc>
        <w:tc>
          <w:tcPr>
            <w:tcW w:w="1000" w:type="pct"/>
            <w:tcBorders>
              <w:tl2br w:val="nil"/>
              <w:tr2bl w:val="nil"/>
            </w:tcBorders>
          </w:tcPr>
          <w:p>
            <w:pPr>
              <w:pStyle w:val="2"/>
              <w:widowControl/>
              <w:spacing w:line="480" w:lineRule="auto"/>
              <w:jc w:val="center"/>
              <w:rPr>
                <w:rFonts w:hint="default" w:ascii="Times New Roman" w:hAnsi="Times New Roman"/>
                <w:sz w:val="21"/>
                <w:szCs w:val="21"/>
              </w:rPr>
            </w:pPr>
            <w:r>
              <w:rPr>
                <w:rFonts w:ascii="Times New Roman" w:hAnsi="Times New Roman"/>
                <w:sz w:val="21"/>
                <w:szCs w:val="21"/>
              </w:rPr>
              <w:t>0</w:t>
            </w:r>
            <w:r>
              <w:rPr>
                <w:rFonts w:hint="default" w:ascii="Times New Roman" w:hAnsi="Times New Roman"/>
                <w:sz w:val="21"/>
                <w:szCs w:val="21"/>
              </w:rPr>
              <w:t>.</w:t>
            </w:r>
            <w:r>
              <w:rPr>
                <w:rFonts w:ascii="Times New Roman" w:hAnsi="Times New Roman"/>
                <w:sz w:val="21"/>
                <w:szCs w:val="21"/>
              </w:rPr>
              <w:t>98</w:t>
            </w:r>
            <w:r>
              <w:rPr>
                <w:rFonts w:hint="default" w:ascii="Times New Roman" w:hAnsi="Times New Roman"/>
                <w:sz w:val="21"/>
                <w:szCs w:val="21"/>
              </w:rPr>
              <w:t xml:space="preserve"> ± </w:t>
            </w:r>
            <w:r>
              <w:rPr>
                <w:rFonts w:ascii="Times New Roman" w:hAnsi="Times New Roman"/>
                <w:sz w:val="21"/>
                <w:szCs w:val="21"/>
              </w:rPr>
              <w:t>0</w:t>
            </w:r>
            <w:r>
              <w:rPr>
                <w:rFonts w:hint="default" w:ascii="Times New Roman" w:hAnsi="Times New Roman"/>
                <w:sz w:val="21"/>
                <w:szCs w:val="21"/>
              </w:rPr>
              <w:t>.</w:t>
            </w:r>
            <w:r>
              <w:rPr>
                <w:rFonts w:ascii="Times New Roman" w:hAnsi="Times New Roman"/>
                <w:sz w:val="21"/>
                <w:szCs w:val="21"/>
              </w:rPr>
              <w:t>08</w:t>
            </w:r>
          </w:p>
        </w:tc>
        <w:tc>
          <w:tcPr>
            <w:tcW w:w="1000" w:type="pct"/>
            <w:tcBorders>
              <w:tl2br w:val="nil"/>
              <w:tr2bl w:val="nil"/>
            </w:tcBorders>
          </w:tcPr>
          <w:p>
            <w:pPr>
              <w:pStyle w:val="2"/>
              <w:widowControl/>
              <w:spacing w:line="480" w:lineRule="auto"/>
              <w:jc w:val="center"/>
              <w:rPr>
                <w:rFonts w:hint="default" w:ascii="Times New Roman" w:hAnsi="Times New Roman"/>
                <w:sz w:val="21"/>
                <w:szCs w:val="21"/>
              </w:rPr>
            </w:pPr>
            <w:r>
              <w:rPr>
                <w:rFonts w:ascii="Times New Roman" w:hAnsi="Times New Roman"/>
                <w:sz w:val="21"/>
                <w:szCs w:val="21"/>
              </w:rPr>
              <w:t>3</w:t>
            </w:r>
            <w:r>
              <w:rPr>
                <w:rFonts w:hint="default" w:ascii="Times New Roman" w:hAnsi="Times New Roman"/>
                <w:sz w:val="21"/>
                <w:szCs w:val="21"/>
              </w:rPr>
              <w:t>.</w:t>
            </w:r>
            <w:r>
              <w:rPr>
                <w:rFonts w:ascii="Times New Roman" w:hAnsi="Times New Roman"/>
                <w:sz w:val="21"/>
                <w:szCs w:val="21"/>
              </w:rPr>
              <w:t>22</w:t>
            </w:r>
            <w:r>
              <w:rPr>
                <w:rFonts w:hint="default" w:ascii="Times New Roman" w:hAnsi="Times New Roman"/>
                <w:sz w:val="21"/>
                <w:szCs w:val="21"/>
              </w:rPr>
              <w:t xml:space="preserve"> ± </w:t>
            </w:r>
            <w:r>
              <w:rPr>
                <w:rFonts w:ascii="Times New Roman" w:hAnsi="Times New Roman"/>
                <w:sz w:val="21"/>
                <w:szCs w:val="21"/>
              </w:rPr>
              <w:t>0</w:t>
            </w:r>
            <w:r>
              <w:rPr>
                <w:rFonts w:hint="default" w:ascii="Times New Roman" w:hAnsi="Times New Roman"/>
                <w:sz w:val="21"/>
                <w:szCs w:val="21"/>
              </w:rPr>
              <w:t>.</w:t>
            </w:r>
            <w:r>
              <w:rPr>
                <w:rFonts w:ascii="Times New Roman" w:hAnsi="Times New Roman"/>
                <w:sz w:val="21"/>
                <w:szCs w:val="21"/>
              </w:rPr>
              <w:t>37</w:t>
            </w:r>
            <w:r>
              <w:rPr>
                <w:rFonts w:hint="default" w:ascii="Times New Roman" w:hAnsi="Times New Roman"/>
                <w:sz w:val="21"/>
                <w:szCs w:val="21"/>
                <w:vertAlign w:val="superscript"/>
              </w:rPr>
              <w:t>*</w:t>
            </w:r>
          </w:p>
        </w:tc>
        <w:tc>
          <w:tcPr>
            <w:tcW w:w="1000" w:type="pct"/>
            <w:tcBorders>
              <w:tl2br w:val="nil"/>
              <w:tr2bl w:val="nil"/>
            </w:tcBorders>
          </w:tcPr>
          <w:p>
            <w:pPr>
              <w:pStyle w:val="2"/>
              <w:widowControl/>
              <w:spacing w:line="480" w:lineRule="auto"/>
              <w:jc w:val="center"/>
              <w:rPr>
                <w:rFonts w:hint="default" w:ascii="Times New Roman" w:hAnsi="Times New Roman"/>
                <w:sz w:val="21"/>
                <w:szCs w:val="21"/>
              </w:rPr>
            </w:pPr>
            <w:r>
              <w:rPr>
                <w:rFonts w:ascii="Times New Roman" w:hAnsi="Times New Roman"/>
                <w:sz w:val="21"/>
                <w:szCs w:val="21"/>
              </w:rPr>
              <w:t>1</w:t>
            </w:r>
            <w:r>
              <w:rPr>
                <w:rFonts w:hint="default" w:ascii="Times New Roman" w:hAnsi="Times New Roman"/>
                <w:sz w:val="21"/>
                <w:szCs w:val="21"/>
              </w:rPr>
              <w:t>.</w:t>
            </w:r>
            <w:r>
              <w:rPr>
                <w:rFonts w:ascii="Times New Roman" w:hAnsi="Times New Roman"/>
                <w:sz w:val="21"/>
                <w:szCs w:val="21"/>
              </w:rPr>
              <w:t>76</w:t>
            </w:r>
            <w:r>
              <w:rPr>
                <w:rFonts w:hint="default" w:ascii="Times New Roman" w:hAnsi="Times New Roman"/>
                <w:sz w:val="21"/>
                <w:szCs w:val="21"/>
              </w:rPr>
              <w:t xml:space="preserve"> ± </w:t>
            </w:r>
            <w:r>
              <w:rPr>
                <w:rFonts w:ascii="Times New Roman" w:hAnsi="Times New Roman"/>
                <w:sz w:val="21"/>
                <w:szCs w:val="21"/>
              </w:rPr>
              <w:t>0</w:t>
            </w:r>
            <w:r>
              <w:rPr>
                <w:rFonts w:hint="default" w:ascii="Times New Roman" w:hAnsi="Times New Roman"/>
                <w:sz w:val="21"/>
                <w:szCs w:val="21"/>
              </w:rPr>
              <w:t>.</w:t>
            </w:r>
            <w:r>
              <w:rPr>
                <w:rFonts w:ascii="Times New Roman" w:hAnsi="Times New Roman"/>
                <w:sz w:val="21"/>
                <w:szCs w:val="21"/>
              </w:rPr>
              <w:t>15</w:t>
            </w:r>
            <w:r>
              <w:rPr>
                <w:rFonts w:ascii="Times New Roman" w:hAnsi="Times New Roman"/>
                <w:sz w:val="21"/>
                <w:szCs w:val="21"/>
                <w:vertAlign w:val="superscript"/>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998" w:type="pct"/>
            <w:tcBorders>
              <w:tl2br w:val="nil"/>
              <w:tr2bl w:val="nil"/>
            </w:tcBorders>
          </w:tcPr>
          <w:p>
            <w:pPr>
              <w:pStyle w:val="2"/>
              <w:widowControl/>
              <w:spacing w:line="480" w:lineRule="auto"/>
              <w:jc w:val="center"/>
              <w:rPr>
                <w:rFonts w:hint="default" w:ascii="Times New Roman" w:hAnsi="Times New Roman"/>
                <w:sz w:val="16"/>
                <w:szCs w:val="16"/>
              </w:rPr>
            </w:pPr>
            <w:r>
              <w:rPr>
                <w:rFonts w:hint="default" w:ascii="Times New Roman" w:hAnsi="Times New Roman"/>
                <w:sz w:val="16"/>
                <w:szCs w:val="16"/>
              </w:rPr>
              <w:t>Airway collagen (μm</w:t>
            </w:r>
            <w:r>
              <w:rPr>
                <w:rFonts w:hint="default" w:ascii="Times New Roman" w:hAnsi="Times New Roman"/>
                <w:sz w:val="16"/>
                <w:szCs w:val="16"/>
                <w:vertAlign w:val="superscript"/>
              </w:rPr>
              <w:t>2</w:t>
            </w:r>
            <w:r>
              <w:rPr>
                <w:rFonts w:hint="default" w:ascii="Times New Roman" w:hAnsi="Times New Roman"/>
                <w:sz w:val="16"/>
                <w:szCs w:val="16"/>
              </w:rPr>
              <w:t xml:space="preserve"> collagen/μm</w:t>
            </w:r>
            <w:r>
              <w:rPr>
                <w:rFonts w:hint="default" w:ascii="Times New Roman" w:hAnsi="Times New Roman"/>
                <w:sz w:val="16"/>
                <w:szCs w:val="16"/>
                <w:vertAlign w:val="superscript"/>
              </w:rPr>
              <w:t>2</w:t>
            </w:r>
            <w:r>
              <w:rPr>
                <w:rFonts w:hint="default" w:ascii="Times New Roman" w:hAnsi="Times New Roman"/>
                <w:sz w:val="16"/>
                <w:szCs w:val="16"/>
              </w:rPr>
              <w:t xml:space="preserve"> tissues)</w:t>
            </w:r>
          </w:p>
        </w:tc>
        <w:tc>
          <w:tcPr>
            <w:tcW w:w="1000" w:type="pct"/>
            <w:tcBorders>
              <w:tl2br w:val="nil"/>
              <w:tr2bl w:val="nil"/>
            </w:tcBorders>
          </w:tcPr>
          <w:p>
            <w:pPr>
              <w:pStyle w:val="2"/>
              <w:widowControl/>
              <w:spacing w:line="480" w:lineRule="auto"/>
              <w:jc w:val="center"/>
              <w:rPr>
                <w:rFonts w:hint="default" w:ascii="Times New Roman" w:hAnsi="Times New Roman"/>
                <w:sz w:val="21"/>
                <w:szCs w:val="21"/>
              </w:rPr>
            </w:pPr>
            <w:r>
              <w:rPr>
                <w:rFonts w:hint="default" w:ascii="Times New Roman" w:hAnsi="Times New Roman"/>
                <w:sz w:val="21"/>
                <w:szCs w:val="21"/>
              </w:rPr>
              <w:t>20.66 ± 2.14</w:t>
            </w:r>
          </w:p>
        </w:tc>
        <w:tc>
          <w:tcPr>
            <w:tcW w:w="1000" w:type="pct"/>
            <w:tcBorders>
              <w:tl2br w:val="nil"/>
              <w:tr2bl w:val="nil"/>
            </w:tcBorders>
          </w:tcPr>
          <w:p>
            <w:pPr>
              <w:pStyle w:val="2"/>
              <w:widowControl/>
              <w:spacing w:line="480" w:lineRule="auto"/>
              <w:jc w:val="center"/>
              <w:rPr>
                <w:rFonts w:hint="default" w:ascii="Times New Roman" w:hAnsi="Times New Roman"/>
                <w:sz w:val="21"/>
                <w:szCs w:val="21"/>
              </w:rPr>
            </w:pPr>
            <w:r>
              <w:rPr>
                <w:rFonts w:hint="default" w:ascii="Times New Roman" w:hAnsi="Times New Roman"/>
                <w:sz w:val="21"/>
                <w:szCs w:val="21"/>
              </w:rPr>
              <w:t>18.31 ±1.92</w:t>
            </w:r>
          </w:p>
        </w:tc>
        <w:tc>
          <w:tcPr>
            <w:tcW w:w="1000" w:type="pct"/>
            <w:tcBorders>
              <w:tl2br w:val="nil"/>
              <w:tr2bl w:val="nil"/>
            </w:tcBorders>
          </w:tcPr>
          <w:p>
            <w:pPr>
              <w:pStyle w:val="2"/>
              <w:widowControl/>
              <w:spacing w:line="480" w:lineRule="auto"/>
              <w:jc w:val="center"/>
              <w:rPr>
                <w:rFonts w:hint="default" w:ascii="Times New Roman" w:hAnsi="Times New Roman"/>
                <w:sz w:val="21"/>
                <w:szCs w:val="21"/>
              </w:rPr>
            </w:pPr>
            <w:r>
              <w:rPr>
                <w:rFonts w:hint="default" w:ascii="Times New Roman" w:hAnsi="Times New Roman"/>
                <w:sz w:val="21"/>
                <w:szCs w:val="21"/>
              </w:rPr>
              <w:t>87.24 ± 0.95</w:t>
            </w:r>
            <w:r>
              <w:rPr>
                <w:rFonts w:hint="default" w:ascii="Times New Roman" w:hAnsi="Times New Roman"/>
                <w:sz w:val="21"/>
                <w:szCs w:val="21"/>
                <w:vertAlign w:val="superscript"/>
              </w:rPr>
              <w:t>*</w:t>
            </w:r>
          </w:p>
        </w:tc>
        <w:tc>
          <w:tcPr>
            <w:tcW w:w="1000" w:type="pct"/>
            <w:tcBorders>
              <w:tl2br w:val="nil"/>
              <w:tr2bl w:val="nil"/>
            </w:tcBorders>
          </w:tcPr>
          <w:p>
            <w:pPr>
              <w:pStyle w:val="2"/>
              <w:widowControl/>
              <w:spacing w:line="480" w:lineRule="auto"/>
              <w:jc w:val="center"/>
              <w:rPr>
                <w:rFonts w:hint="default" w:ascii="Times New Roman" w:hAnsi="Times New Roman"/>
                <w:sz w:val="21"/>
                <w:szCs w:val="21"/>
              </w:rPr>
            </w:pPr>
            <w:r>
              <w:rPr>
                <w:rFonts w:hint="default" w:ascii="Times New Roman" w:hAnsi="Times New Roman"/>
                <w:sz w:val="21"/>
                <w:szCs w:val="21"/>
              </w:rPr>
              <w:t>40.55 ±0.58</w:t>
            </w:r>
            <w:r>
              <w:rPr>
                <w:rFonts w:ascii="Times New Roman" w:hAnsi="Times New Roman"/>
                <w:sz w:val="21"/>
                <w:szCs w:val="21"/>
                <w:vertAlign w:val="superscript"/>
              </w:rPr>
              <w:t>#</w:t>
            </w:r>
          </w:p>
        </w:tc>
      </w:tr>
    </w:tbl>
    <w:p>
      <w:pPr>
        <w:spacing w:line="480" w:lineRule="auto"/>
      </w:pPr>
      <w:r>
        <w:rPr>
          <w:rFonts w:ascii="Times New Roman" w:hAnsi="Times New Roman" w:cs="Times New Roman"/>
          <w:b/>
          <w:bCs/>
          <w:szCs w:val="21"/>
        </w:rPr>
        <w:t xml:space="preserve">Notes: </w:t>
      </w:r>
      <w:r>
        <w:rPr>
          <w:rFonts w:ascii="Times New Roman" w:hAnsi="Times New Roman" w:eastAsia="宋体" w:cs="Times New Roman"/>
          <w:sz w:val="24"/>
          <w:vertAlign w:val="superscript"/>
        </w:rPr>
        <w:t>#</w:t>
      </w:r>
      <w:r>
        <w:rPr>
          <w:rFonts w:ascii="Times New Roman" w:hAnsi="Times New Roman" w:eastAsia="宋体" w:cs="Times New Roman"/>
          <w:sz w:val="24"/>
        </w:rPr>
        <w:t xml:space="preserve"> </w:t>
      </w:r>
      <w:r>
        <w:rPr>
          <w:rFonts w:ascii="Times New Roman" w:hAnsi="Times New Roman" w:eastAsia="宋体" w:cs="Times New Roman"/>
          <w:i/>
          <w:iCs/>
          <w:sz w:val="24"/>
        </w:rPr>
        <w:t>P</w:t>
      </w:r>
      <w:r>
        <w:rPr>
          <w:rFonts w:ascii="Times New Roman" w:hAnsi="Times New Roman" w:eastAsia="宋体" w:cs="Times New Roman"/>
          <w:sz w:val="24"/>
        </w:rPr>
        <w:t>&lt;0.05</w:t>
      </w:r>
      <w:r>
        <w:rPr>
          <w:rFonts w:ascii="Times New Roman" w:hAnsi="Times New Roman" w:cs="Times New Roman"/>
          <w:sz w:val="24"/>
        </w:rPr>
        <w:t xml:space="preserve"> compared with the C</w:t>
      </w:r>
      <w:r>
        <w:rPr>
          <w:rFonts w:hint="eastAsia" w:ascii="Times New Roman" w:hAnsi="Times New Roman" w:cs="Times New Roman"/>
          <w:sz w:val="24"/>
        </w:rPr>
        <w:t>h</w:t>
      </w:r>
      <w:r>
        <w:rPr>
          <w:rFonts w:ascii="Times New Roman" w:hAnsi="Times New Roman" w:cs="Times New Roman"/>
          <w:sz w:val="24"/>
        </w:rPr>
        <w:t xml:space="preserve"> group. </w:t>
      </w:r>
      <w:r>
        <w:rPr>
          <w:rFonts w:ascii="Times New Roman" w:hAnsi="Times New Roman" w:cs="Times New Roman"/>
          <w:sz w:val="24"/>
          <w:vertAlign w:val="superscript"/>
        </w:rPr>
        <w:t>*</w:t>
      </w:r>
      <w:r>
        <w:rPr>
          <w:rFonts w:ascii="Times New Roman" w:hAnsi="Times New Roman" w:cs="Times New Roman"/>
          <w:sz w:val="24"/>
        </w:rPr>
        <w:t xml:space="preserve"> </w:t>
      </w:r>
      <w:r>
        <w:rPr>
          <w:rFonts w:ascii="Times New Roman" w:hAnsi="Times New Roman" w:eastAsia="宋体" w:cs="Times New Roman"/>
          <w:i/>
          <w:iCs/>
          <w:sz w:val="24"/>
        </w:rPr>
        <w:t>P</w:t>
      </w:r>
      <w:r>
        <w:rPr>
          <w:rFonts w:ascii="Times New Roman" w:hAnsi="Times New Roman" w:eastAsia="宋体" w:cs="Times New Roman"/>
          <w:sz w:val="24"/>
        </w:rPr>
        <w:t>&lt;0.05</w:t>
      </w:r>
      <w:r>
        <w:rPr>
          <w:rFonts w:ascii="Times New Roman" w:hAnsi="Times New Roman" w:cs="Times New Roman"/>
          <w:sz w:val="24"/>
        </w:rPr>
        <w:t xml:space="preserve"> compared with the Ob group.</w:t>
      </w:r>
    </w:p>
    <w:p>
      <w:pPr>
        <w:pStyle w:val="2"/>
        <w:widowControl/>
        <w:spacing w:line="480" w:lineRule="auto"/>
        <w:jc w:val="both"/>
        <w:rPr>
          <w:rFonts w:hint="default" w:ascii="Times New Roman" w:hAnsi="Times New Roman" w:cs="Times New Roman"/>
          <w:b/>
          <w:bCs/>
          <w:color w:val="000000"/>
          <w:sz w:val="28"/>
          <w:szCs w:val="28"/>
        </w:rPr>
      </w:pPr>
    </w:p>
    <w:p>
      <w:pPr>
        <w:pStyle w:val="2"/>
        <w:widowControl/>
        <w:spacing w:line="480" w:lineRule="auto"/>
        <w:jc w:val="both"/>
        <w:rPr>
          <w:rFonts w:hint="default" w:ascii="Times New Roman" w:hAnsi="Times New Roman" w:cs="Times New Roman"/>
          <w:b/>
          <w:bCs/>
          <w:color w:val="000000"/>
          <w:sz w:val="32"/>
          <w:szCs w:val="32"/>
        </w:rPr>
      </w:pPr>
    </w:p>
    <w:p>
      <w:pPr>
        <w:pStyle w:val="2"/>
        <w:widowControl/>
        <w:spacing w:line="480" w:lineRule="auto"/>
        <w:jc w:val="both"/>
        <w:rPr>
          <w:rFonts w:hint="default" w:ascii="Times New Roman" w:hAnsi="Times New Roman" w:cs="Times New Roman"/>
          <w:b/>
          <w:bCs/>
          <w:color w:val="000000"/>
          <w:sz w:val="32"/>
          <w:szCs w:val="32"/>
        </w:rPr>
      </w:pPr>
    </w:p>
    <w:p>
      <w:pPr>
        <w:pStyle w:val="2"/>
        <w:widowControl/>
        <w:spacing w:line="480" w:lineRule="auto"/>
        <w:jc w:val="both"/>
        <w:rPr>
          <w:rFonts w:hint="default" w:ascii="Times New Roman" w:hAnsi="Times New Roman" w:cs="Times New Roman"/>
          <w:b/>
          <w:bCs/>
          <w:color w:val="000000"/>
          <w:sz w:val="32"/>
          <w:szCs w:val="32"/>
        </w:rPr>
      </w:pPr>
    </w:p>
    <w:p>
      <w:pPr>
        <w:pStyle w:val="2"/>
        <w:widowControl/>
        <w:spacing w:line="480" w:lineRule="auto"/>
        <w:jc w:val="both"/>
        <w:rPr>
          <w:rFonts w:hint="default" w:ascii="Times New Roman" w:hAnsi="Times New Roman" w:cs="Times New Roman"/>
          <w:b/>
          <w:bCs/>
          <w:color w:val="000000"/>
          <w:sz w:val="32"/>
          <w:szCs w:val="32"/>
          <w:lang w:val="en-US" w:eastAsia="zh-CN"/>
        </w:rPr>
      </w:pPr>
      <w:r>
        <w:rPr>
          <w:rFonts w:hint="default" w:ascii="Times New Roman" w:hAnsi="Times New Roman" w:cs="Times New Roman"/>
          <w:b/>
          <w:bCs/>
          <w:color w:val="000000"/>
          <w:sz w:val="32"/>
          <w:szCs w:val="32"/>
        </w:rPr>
        <w:t>Reference</w:t>
      </w:r>
      <w:r>
        <w:rPr>
          <w:rFonts w:hint="default" w:ascii="Times New Roman" w:hAnsi="Times New Roman" w:cs="Times New Roman"/>
          <w:b/>
          <w:bCs/>
          <w:color w:val="000000"/>
          <w:sz w:val="32"/>
          <w:szCs w:val="32"/>
          <w:lang w:val="en-US" w:eastAsia="zh-CN"/>
        </w:rPr>
        <w:t>s</w:t>
      </w:r>
    </w:p>
    <w:p>
      <w:pPr>
        <w:pStyle w:val="2"/>
        <w:widowControl/>
        <w:spacing w:line="480" w:lineRule="auto"/>
        <w:jc w:val="both"/>
        <w:rPr>
          <w:rFonts w:hint="default" w:ascii="Times New Roman" w:hAnsi="Times New Roman" w:eastAsia="宋体" w:cs="Times New Roman"/>
          <w:color w:val="323232"/>
          <w:kern w:val="0"/>
          <w:sz w:val="24"/>
          <w:szCs w:val="24"/>
          <w:lang w:val="en-US" w:eastAsia="zh-CN" w:bidi="ar"/>
        </w:rPr>
      </w:pPr>
      <w:r>
        <w:rPr>
          <w:rFonts w:hint="default" w:ascii="Times New Roman" w:hAnsi="Times New Roman" w:eastAsia="Italic" w:cs="Times New Roman"/>
          <w:color w:val="323232"/>
          <w:kern w:val="0"/>
          <w:sz w:val="24"/>
          <w:szCs w:val="24"/>
          <w:lang w:bidi="ar"/>
        </w:rPr>
        <w:t xml:space="preserve">[1] Vieira RP, Claudino RC, Duarte AC, et al. Aerobic exercise decreases chronic allergic lung inflammation and airway remodeling in mice. Am J Respir Crit Care Med. 2007; 176(9):871-7. </w:t>
      </w:r>
      <w:r>
        <w:rPr>
          <w:rFonts w:hint="default" w:ascii="Times New Roman" w:hAnsi="Times New Roman" w:eastAsia="Italic" w:cs="Times New Roman"/>
          <w:color w:val="0000FF"/>
          <w:kern w:val="0"/>
          <w:sz w:val="24"/>
          <w:szCs w:val="24"/>
          <w:lang w:bidi="ar"/>
        </w:rPr>
        <w:t>DOI: 10.1164/rccm.200610-1567OC</w:t>
      </w:r>
      <w:r>
        <w:rPr>
          <w:rFonts w:hint="default" w:ascii="Times New Roman" w:hAnsi="Times New Roman" w:eastAsia="宋体" w:cs="Times New Roman"/>
          <w:color w:val="0000FF"/>
          <w:kern w:val="0"/>
          <w:sz w:val="24"/>
          <w:szCs w:val="24"/>
          <w:lang w:val="en-US" w:eastAsia="zh-CN" w:bidi="ar"/>
        </w:rPr>
        <w:t>.</w:t>
      </w:r>
    </w:p>
    <w:p>
      <w:pPr>
        <w:widowControl/>
        <w:spacing w:line="480" w:lineRule="auto"/>
        <w:rPr>
          <w:rFonts w:hint="default" w:ascii="Times New Roman" w:hAnsi="Times New Roman" w:eastAsia="Italic" w:cs="Times New Roman"/>
          <w:color w:val="0000FF"/>
          <w:kern w:val="0"/>
          <w:sz w:val="24"/>
          <w:szCs w:val="24"/>
          <w:lang w:bidi="ar"/>
        </w:rPr>
      </w:pPr>
      <w:r>
        <w:rPr>
          <w:rFonts w:hint="default" w:ascii="Times New Roman" w:hAnsi="Times New Roman" w:eastAsia="Italic" w:cs="Times New Roman"/>
          <w:color w:val="323232"/>
          <w:kern w:val="0"/>
          <w:sz w:val="24"/>
          <w:szCs w:val="24"/>
          <w:lang w:bidi="ar"/>
        </w:rPr>
        <w:t xml:space="preserve">[2] Kasahara DI, Poynter ME, Othman Z, et al. Acrolein inhalation suppresses lipopolysaccharide-induced inflammatory cytokine production but does not affect acute airways neutrophilia. J Immunol. 2008; 181(1):736-45. </w:t>
      </w:r>
      <w:r>
        <w:rPr>
          <w:rFonts w:hint="default" w:ascii="Times New Roman" w:hAnsi="Times New Roman" w:eastAsia="Italic" w:cs="Times New Roman"/>
          <w:color w:val="0000FF"/>
          <w:kern w:val="0"/>
          <w:sz w:val="24"/>
          <w:szCs w:val="24"/>
          <w:lang w:bidi="ar"/>
        </w:rPr>
        <w:t>doi: 10.4049/jimmunol. 181.1.736.</w:t>
      </w:r>
    </w:p>
    <w:p>
      <w:pPr>
        <w:pStyle w:val="2"/>
        <w:widowControl/>
        <w:spacing w:line="480" w:lineRule="auto"/>
        <w:jc w:val="both"/>
        <w:rPr>
          <w:rFonts w:hint="default" w:ascii="Times New Roman" w:hAnsi="Times New Roman" w:cs="Times New Roman"/>
          <w:color w:val="0000FF"/>
          <w:sz w:val="24"/>
          <w:szCs w:val="24"/>
        </w:rPr>
      </w:pPr>
      <w:r>
        <w:rPr>
          <w:rFonts w:hint="default" w:ascii="Times New Roman" w:hAnsi="Times New Roman" w:cs="Times New Roman"/>
          <w:sz w:val="24"/>
          <w:szCs w:val="24"/>
        </w:rPr>
        <w:t xml:space="preserve">[3] Lanças T, Kasahara DI, Prado CM, et al. Comparison of early and late responses to antigen of sensitized guinea pig parenchymal lung strips. J Appl Physiol. 2006;100:1610-1616. </w:t>
      </w:r>
      <w:r>
        <w:rPr>
          <w:rFonts w:hint="default" w:ascii="Times New Roman" w:hAnsi="Times New Roman" w:cs="Times New Roman"/>
          <w:color w:val="0000FF"/>
          <w:sz w:val="24"/>
          <w:szCs w:val="24"/>
        </w:rPr>
        <w:t>doi: 10.1152/ japplphysiol.00828.2005.</w:t>
      </w:r>
    </w:p>
    <w:p>
      <w:pPr>
        <w:pStyle w:val="2"/>
        <w:widowControl/>
        <w:spacing w:line="480" w:lineRule="auto"/>
        <w:jc w:val="both"/>
        <w:rPr>
          <w:rFonts w:hint="default" w:ascii="Times New Roman" w:hAnsi="Times New Roman" w:cs="Times New Roman"/>
          <w:color w:val="0000FF"/>
          <w:sz w:val="24"/>
          <w:szCs w:val="24"/>
        </w:rPr>
      </w:pPr>
      <w:r>
        <w:rPr>
          <w:rFonts w:hint="default" w:ascii="Times New Roman" w:hAnsi="Times New Roman" w:cs="Times New Roman"/>
          <w:sz w:val="24"/>
          <w:szCs w:val="24"/>
        </w:rPr>
        <w:t>[4] Gustavo Matute-Bello, Gregory Downey, Bethany B Moore, et al. An official American Thoracic Society workshop report: features and measurements of experimental acute lung injury in animals. Am J Respir Cell Mol Biol. 2011;44(5):725-38.</w:t>
      </w:r>
      <w:r>
        <w:rPr>
          <w:rFonts w:hint="default" w:ascii="Times New Roman" w:hAnsi="Times New Roman" w:cs="Times New Roman"/>
          <w:color w:val="0000FF"/>
          <w:sz w:val="24"/>
          <w:szCs w:val="24"/>
        </w:rPr>
        <w:t xml:space="preserve"> doi: 10.1165/rcmb.2009-0210ST.</w:t>
      </w:r>
    </w:p>
    <w:p>
      <w:pPr>
        <w:pStyle w:val="2"/>
        <w:widowControl/>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[5] Szapiel SV, Elson NA, Fulmer JD, et al. Bleomycin-induced interstitial pulmonary disease in the nude, athymic mouse. Am Rev Respir Dis. 1979;120:893‑899. </w:t>
      </w:r>
      <w:r>
        <w:rPr>
          <w:rFonts w:hint="default" w:ascii="Times New Roman" w:hAnsi="Times New Roman" w:cs="Times New Roman"/>
          <w:color w:val="0000FF"/>
          <w:sz w:val="24"/>
          <w:szCs w:val="24"/>
        </w:rPr>
        <w:t>doi: 10.1164/arrd.1979.120.4.893.</w:t>
      </w:r>
    </w:p>
    <w:p>
      <w:pPr>
        <w:pStyle w:val="2"/>
        <w:widowControl/>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[6] Fulmer JD, Bienkowski RS, Cowan MJ, et al. Collagen concentration and rates of synthesis in idiopathic pulmonary fibrosis. Am Rev Respir Dis. 1980;122: 289-301. </w:t>
      </w:r>
      <w:r>
        <w:rPr>
          <w:rFonts w:hint="default" w:ascii="Times New Roman" w:hAnsi="Times New Roman" w:cs="Times New Roman"/>
          <w:color w:val="0000FF"/>
          <w:sz w:val="24"/>
          <w:szCs w:val="24"/>
        </w:rPr>
        <w:t>doi: 10.1164/arrd.1981.124.3.341a.</w:t>
      </w:r>
    </w:p>
    <w:p>
      <w:pPr>
        <w:pStyle w:val="2"/>
        <w:widowControl/>
        <w:spacing w:line="480" w:lineRule="auto"/>
        <w:jc w:val="both"/>
        <w:rPr>
          <w:rFonts w:hint="default" w:ascii="Times New Roman" w:hAnsi="Times New Roman" w:cs="Times New Roman"/>
          <w:color w:val="0000FF"/>
          <w:sz w:val="24"/>
          <w:szCs w:val="24"/>
        </w:rPr>
      </w:pPr>
      <w:r>
        <w:rPr>
          <w:rFonts w:hint="default" w:ascii="Times New Roman" w:hAnsi="Times New Roman" w:cs="Times New Roman"/>
          <w:sz w:val="24"/>
          <w:szCs w:val="24"/>
        </w:rPr>
        <w:t xml:space="preserve">[7] Sebastian Huss, Jörg Schmitz, Diane Goltz, et al. Development and evaluation of an open source Delphi-based software for morphometric quantification of liver fibrosis. Fibrogenesis Tissue Repair. 2010; 17;3(1):10. </w:t>
      </w:r>
      <w:r>
        <w:rPr>
          <w:rFonts w:hint="default" w:ascii="Times New Roman" w:hAnsi="Times New Roman" w:cs="Times New Roman"/>
          <w:color w:val="0000FF"/>
          <w:sz w:val="24"/>
          <w:szCs w:val="24"/>
        </w:rPr>
        <w:t>doi: 10.1186/1755-1536-3-10.</w:t>
      </w:r>
    </w:p>
    <w:p>
      <w:pPr>
        <w:widowControl w:val="0"/>
        <w:numPr>
          <w:ilvl w:val="0"/>
          <w:numId w:val="0"/>
        </w:numPr>
        <w:spacing w:after="160" w:line="480" w:lineRule="auto"/>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 xml:space="preserve"> Kennedy J, Chandler D, Jackson R, Fulmer J. Reduction in bleomycin- induced lung hydroxyproline content by an iron chelating agent. Chest. 1986;89(3 Suppl):123S</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 xml:space="preserve">125S. </w:t>
      </w:r>
      <w:r>
        <w:rPr>
          <w:rFonts w:hint="default" w:ascii="Times New Roman" w:hAnsi="Times New Roman" w:eastAsia="宋体" w:cs="Times New Roman"/>
          <w:color w:val="0000FF"/>
          <w:sz w:val="24"/>
          <w:szCs w:val="24"/>
          <w:lang w:val="en-US" w:eastAsia="zh-CN"/>
        </w:rPr>
        <w:t>doi: 10.1378/chest.89.3_Supplement.123S.</w:t>
      </w:r>
    </w:p>
    <w:p>
      <w:pPr>
        <w:widowControl w:val="0"/>
        <w:numPr>
          <w:ilvl w:val="0"/>
          <w:numId w:val="0"/>
        </w:numPr>
        <w:spacing w:after="160" w:line="480" w:lineRule="auto"/>
        <w:jc w:val="both"/>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auto"/>
          <w:sz w:val="24"/>
          <w:szCs w:val="24"/>
          <w:lang w:val="en-US" w:eastAsia="zh-CN"/>
        </w:rPr>
        <w:t xml:space="preserve">[9] Yildirim Z, Kotuk M, Erdogan H, et al. Preventive effect of melatonin on bleomycin-induced lung fibrosis in rats. J Pineal Res. 2006;40(1):27-33. </w:t>
      </w:r>
      <w:r>
        <w:rPr>
          <w:rFonts w:hint="eastAsia" w:ascii="Times New Roman" w:hAnsi="Times New Roman" w:eastAsia="宋体" w:cs="Times New Roman"/>
          <w:color w:val="0000FF"/>
          <w:sz w:val="24"/>
          <w:szCs w:val="24"/>
          <w:lang w:val="en-US" w:eastAsia="zh-CN"/>
        </w:rPr>
        <w:t>doi: 10. 1111/j.1600-079X.2005.00272.x.</w:t>
      </w:r>
      <w:bookmarkStart w:id="1" w:name="_GoBack"/>
      <w:bookmarkEnd w:id="1"/>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61641"/>
    <w:rsid w:val="038329A0"/>
    <w:rsid w:val="044B1F65"/>
    <w:rsid w:val="04B2315C"/>
    <w:rsid w:val="132C7EC4"/>
    <w:rsid w:val="14955DE3"/>
    <w:rsid w:val="160D4E75"/>
    <w:rsid w:val="1C1E7161"/>
    <w:rsid w:val="1F476D79"/>
    <w:rsid w:val="22913AF9"/>
    <w:rsid w:val="231A1851"/>
    <w:rsid w:val="259C764E"/>
    <w:rsid w:val="2DBD6FB8"/>
    <w:rsid w:val="313B07D0"/>
    <w:rsid w:val="393441ED"/>
    <w:rsid w:val="441B173E"/>
    <w:rsid w:val="58DC30EC"/>
    <w:rsid w:val="5A5564C5"/>
    <w:rsid w:val="5F276AD9"/>
    <w:rsid w:val="622346D1"/>
    <w:rsid w:val="62852264"/>
    <w:rsid w:val="6D9D63EC"/>
    <w:rsid w:val="6E366FBB"/>
    <w:rsid w:val="71FE1E30"/>
    <w:rsid w:val="73356237"/>
    <w:rsid w:val="78D47BF4"/>
    <w:rsid w:val="7BE0596B"/>
    <w:rsid w:val="7EED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GB"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2021-09-11T05:21:00Z</dcterms:created>
  <dc:creator>taiji</dc:creator>
  <cp:lastModifiedBy>蟋蟀</cp:lastModifiedBy>
  <dcterms:modified xsi:type="dcterms:W3CDTF">2021-11-10T06:03:40Z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17D19300D30F499CB8DA79D093086759</vt:lpwstr>
  </property>
</Properties>
</file>