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97D6" w14:textId="1A3B98A5" w:rsidR="00EB74A3" w:rsidRPr="00FE70B1" w:rsidRDefault="002916E1">
      <w:pPr>
        <w:rPr>
          <w:rFonts w:ascii="Times New Roman" w:hAnsi="Times New Roman" w:cs="Times New Roman"/>
        </w:rPr>
      </w:pPr>
      <w:r>
        <w:rPr>
          <w:rFonts w:ascii="Times New Roman" w:hAnsi="Times New Roman" w:cs="Times New Roman"/>
        </w:rPr>
        <w:t>Supplementary Table 1</w:t>
      </w:r>
      <w:r w:rsidR="00FE70B1" w:rsidRPr="00FE70B1">
        <w:rPr>
          <w:rFonts w:ascii="Times New Roman" w:hAnsi="Times New Roman" w:cs="Times New Roman"/>
        </w:rPr>
        <w:t>: Risk of bias across included studies with detailed explanations</w:t>
      </w:r>
    </w:p>
    <w:tbl>
      <w:tblPr>
        <w:tblStyle w:val="GridTable1Light-Accent1"/>
        <w:tblW w:w="0" w:type="auto"/>
        <w:tblLayout w:type="fixed"/>
        <w:tblLook w:val="04A0" w:firstRow="1" w:lastRow="0" w:firstColumn="1" w:lastColumn="0" w:noHBand="0" w:noVBand="1"/>
      </w:tblPr>
      <w:tblGrid>
        <w:gridCol w:w="1418"/>
        <w:gridCol w:w="2117"/>
        <w:gridCol w:w="1485"/>
        <w:gridCol w:w="1414"/>
        <w:gridCol w:w="1316"/>
        <w:gridCol w:w="2310"/>
      </w:tblGrid>
      <w:tr w:rsidR="00FE70B1" w:rsidRPr="00DD429A" w14:paraId="3CEDB56B" w14:textId="77777777" w:rsidTr="00DD4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180CB87F" w14:textId="77777777" w:rsidR="00FE70B1" w:rsidRPr="00DD429A" w:rsidRDefault="00FE70B1" w:rsidP="00F3671F">
            <w:pPr>
              <w:spacing w:before="0"/>
              <w:rPr>
                <w:sz w:val="22"/>
                <w:szCs w:val="22"/>
                <w:lang w:val="en-GB"/>
              </w:rPr>
            </w:pPr>
            <w:r w:rsidRPr="00DD429A">
              <w:rPr>
                <w:sz w:val="22"/>
                <w:szCs w:val="22"/>
                <w:lang w:val="en-GB"/>
              </w:rPr>
              <w:t>Study/ agent</w:t>
            </w:r>
          </w:p>
        </w:tc>
        <w:tc>
          <w:tcPr>
            <w:tcW w:w="8642" w:type="dxa"/>
            <w:gridSpan w:val="5"/>
            <w:shd w:val="clear" w:color="auto" w:fill="F2F2F2" w:themeFill="background1" w:themeFillShade="F2"/>
          </w:tcPr>
          <w:p w14:paraId="3B0EAC1D" w14:textId="77777777" w:rsidR="00FE70B1" w:rsidRPr="00DD429A" w:rsidRDefault="00FE70B1" w:rsidP="00F3671F">
            <w:pPr>
              <w:spacing w:before="0"/>
              <w:cnfStyle w:val="100000000000" w:firstRow="1"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Risk of bias domain</w:t>
            </w:r>
          </w:p>
        </w:tc>
      </w:tr>
      <w:tr w:rsidR="00FE70B1" w:rsidRPr="00DD429A" w14:paraId="5E8A8E3D"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06559E65" w14:textId="77777777" w:rsidR="00FE70B1" w:rsidRPr="00DD429A" w:rsidRDefault="00FE70B1" w:rsidP="00F3671F">
            <w:pPr>
              <w:spacing w:before="0"/>
              <w:rPr>
                <w:b w:val="0"/>
                <w:sz w:val="22"/>
                <w:szCs w:val="22"/>
                <w:lang w:val="en-GB"/>
              </w:rPr>
            </w:pPr>
          </w:p>
        </w:tc>
        <w:tc>
          <w:tcPr>
            <w:tcW w:w="2117" w:type="dxa"/>
          </w:tcPr>
          <w:p w14:paraId="1DAA37F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b/>
                <w:sz w:val="22"/>
                <w:szCs w:val="22"/>
                <w:lang w:val="en-GB"/>
              </w:rPr>
            </w:pPr>
            <w:r w:rsidRPr="00DD429A">
              <w:rPr>
                <w:b/>
                <w:sz w:val="22"/>
                <w:szCs w:val="22"/>
                <w:lang w:val="en-GB"/>
              </w:rPr>
              <w:t xml:space="preserve">Selection bias </w:t>
            </w:r>
            <w:r w:rsidRPr="00DD429A">
              <w:rPr>
                <w:sz w:val="22"/>
                <w:szCs w:val="22"/>
                <w:lang w:val="en-GB"/>
              </w:rPr>
              <w:t>(random sequence generation and allocation concealment)</w:t>
            </w:r>
          </w:p>
        </w:tc>
        <w:tc>
          <w:tcPr>
            <w:tcW w:w="1485" w:type="dxa"/>
          </w:tcPr>
          <w:p w14:paraId="2632168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b/>
                <w:sz w:val="22"/>
                <w:szCs w:val="22"/>
                <w:lang w:val="en-GB"/>
              </w:rPr>
            </w:pPr>
            <w:r w:rsidRPr="00DD429A">
              <w:rPr>
                <w:b/>
                <w:sz w:val="22"/>
                <w:szCs w:val="22"/>
                <w:lang w:val="en-GB"/>
              </w:rPr>
              <w:t xml:space="preserve">Performance and detection bias </w:t>
            </w:r>
            <w:r w:rsidRPr="00DD429A">
              <w:rPr>
                <w:sz w:val="22"/>
                <w:szCs w:val="22"/>
                <w:lang w:val="en-GB"/>
              </w:rPr>
              <w:t>(blinding of participants, personnel and outcome assessment)</w:t>
            </w:r>
          </w:p>
          <w:p w14:paraId="6A975FC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b/>
                <w:sz w:val="22"/>
                <w:szCs w:val="22"/>
                <w:lang w:val="en-GB"/>
              </w:rPr>
            </w:pPr>
          </w:p>
        </w:tc>
        <w:tc>
          <w:tcPr>
            <w:tcW w:w="1414" w:type="dxa"/>
          </w:tcPr>
          <w:p w14:paraId="4C417516"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b/>
                <w:sz w:val="22"/>
                <w:szCs w:val="22"/>
                <w:lang w:val="en-GB"/>
              </w:rPr>
              <w:t xml:space="preserve">Attrition bias </w:t>
            </w:r>
            <w:r w:rsidRPr="00DD429A">
              <w:rPr>
                <w:sz w:val="22"/>
                <w:szCs w:val="22"/>
                <w:lang w:val="en-GB"/>
              </w:rPr>
              <w:t>(incomplete outcome data)</w:t>
            </w:r>
          </w:p>
          <w:p w14:paraId="06359E2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b/>
                <w:sz w:val="22"/>
                <w:szCs w:val="22"/>
                <w:lang w:val="en-GB"/>
              </w:rPr>
            </w:pPr>
          </w:p>
        </w:tc>
        <w:tc>
          <w:tcPr>
            <w:tcW w:w="1316" w:type="dxa"/>
          </w:tcPr>
          <w:p w14:paraId="52009A0D"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b/>
                <w:sz w:val="22"/>
                <w:szCs w:val="22"/>
                <w:lang w:val="en-GB"/>
              </w:rPr>
            </w:pPr>
            <w:r w:rsidRPr="00DD429A">
              <w:rPr>
                <w:b/>
                <w:sz w:val="22"/>
                <w:szCs w:val="22"/>
                <w:lang w:val="en-GB"/>
              </w:rPr>
              <w:t xml:space="preserve">Reporting bias </w:t>
            </w:r>
            <w:r w:rsidRPr="00DD429A">
              <w:rPr>
                <w:sz w:val="22"/>
                <w:szCs w:val="22"/>
                <w:lang w:val="en-GB"/>
              </w:rPr>
              <w:t>(selective reporting)</w:t>
            </w:r>
          </w:p>
        </w:tc>
        <w:tc>
          <w:tcPr>
            <w:tcW w:w="2310" w:type="dxa"/>
          </w:tcPr>
          <w:p w14:paraId="7C22CFCB"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b/>
                <w:sz w:val="22"/>
                <w:szCs w:val="22"/>
                <w:lang w:val="en-GB"/>
              </w:rPr>
            </w:pPr>
            <w:r w:rsidRPr="00DD429A">
              <w:rPr>
                <w:b/>
                <w:sz w:val="22"/>
                <w:szCs w:val="22"/>
                <w:lang w:val="en-GB"/>
              </w:rPr>
              <w:t>Other bias</w:t>
            </w:r>
          </w:p>
        </w:tc>
      </w:tr>
      <w:tr w:rsidR="00FE70B1" w:rsidRPr="00DD429A" w14:paraId="01DF5122"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047F9ECB" w14:textId="77777777" w:rsidR="00FE70B1" w:rsidRPr="00DD429A" w:rsidRDefault="00FE70B1" w:rsidP="00F3671F">
            <w:pPr>
              <w:spacing w:before="0"/>
              <w:rPr>
                <w:sz w:val="22"/>
                <w:szCs w:val="22"/>
                <w:lang w:val="en-GB"/>
              </w:rPr>
            </w:pPr>
            <w:r w:rsidRPr="00DD429A">
              <w:rPr>
                <w:sz w:val="22"/>
                <w:szCs w:val="22"/>
                <w:lang w:val="en-GB"/>
              </w:rPr>
              <w:t>Wu et al., 2017</w:t>
            </w:r>
          </w:p>
          <w:p w14:paraId="2EFB830D" w14:textId="77777777" w:rsidR="00FE70B1" w:rsidRPr="00DD429A" w:rsidRDefault="00FE70B1" w:rsidP="00F3671F">
            <w:pPr>
              <w:spacing w:before="0"/>
              <w:rPr>
                <w:sz w:val="22"/>
                <w:szCs w:val="22"/>
                <w:lang w:val="en-GB"/>
              </w:rPr>
            </w:pPr>
            <w:r w:rsidRPr="00DD429A">
              <w:rPr>
                <w:sz w:val="22"/>
                <w:szCs w:val="22"/>
                <w:lang w:val="en-GB"/>
              </w:rPr>
              <w:t xml:space="preserve">Bicyclol </w:t>
            </w:r>
          </w:p>
        </w:tc>
      </w:tr>
      <w:tr w:rsidR="00FE70B1" w:rsidRPr="00DD429A" w14:paraId="1ACEE36B"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6F383CCC"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5B8147D6"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485" w:type="dxa"/>
            <w:shd w:val="clear" w:color="auto" w:fill="F2F2F2" w:themeFill="background1" w:themeFillShade="F2"/>
          </w:tcPr>
          <w:p w14:paraId="09ADB28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414" w:type="dxa"/>
            <w:shd w:val="clear" w:color="auto" w:fill="F2F2F2" w:themeFill="background1" w:themeFillShade="F2"/>
          </w:tcPr>
          <w:p w14:paraId="67A70AC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316" w:type="dxa"/>
            <w:shd w:val="clear" w:color="auto" w:fill="F2F2F2" w:themeFill="background1" w:themeFillShade="F2"/>
          </w:tcPr>
          <w:p w14:paraId="0E5592C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2310" w:type="dxa"/>
            <w:shd w:val="clear" w:color="auto" w:fill="F2F2F2" w:themeFill="background1" w:themeFillShade="F2"/>
          </w:tcPr>
          <w:p w14:paraId="03EC499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29974ED4"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0DF74C00"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632B647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Randomized, parallel-design controlled trial; the random number table was generated by SPSS 22.0 statistical analysis software.</w:t>
            </w:r>
          </w:p>
        </w:tc>
        <w:tc>
          <w:tcPr>
            <w:tcW w:w="1485" w:type="dxa"/>
          </w:tcPr>
          <w:p w14:paraId="12B9A8C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Method not described.</w:t>
            </w:r>
          </w:p>
        </w:tc>
        <w:tc>
          <w:tcPr>
            <w:tcW w:w="1414" w:type="dxa"/>
          </w:tcPr>
          <w:p w14:paraId="778CD70C"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Dropouts were adequately balanced and minimal (157/168 patients completed the study).</w:t>
            </w:r>
          </w:p>
        </w:tc>
        <w:tc>
          <w:tcPr>
            <w:tcW w:w="1316" w:type="dxa"/>
          </w:tcPr>
          <w:p w14:paraId="7122D1C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All prespecified outcomes were adequately reported.</w:t>
            </w:r>
          </w:p>
        </w:tc>
        <w:tc>
          <w:tcPr>
            <w:tcW w:w="2310" w:type="dxa"/>
          </w:tcPr>
          <w:p w14:paraId="5FD5D69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 data on conflict of interest and sponsorship. Sample size assessed before the study enrolment.</w:t>
            </w:r>
          </w:p>
        </w:tc>
      </w:tr>
      <w:tr w:rsidR="00FE70B1" w:rsidRPr="00DD429A" w14:paraId="67A857BE"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2CB7F648" w14:textId="77777777" w:rsidR="00FE70B1" w:rsidRPr="00DD429A" w:rsidRDefault="00FE70B1" w:rsidP="00F3671F">
            <w:pPr>
              <w:spacing w:before="0"/>
              <w:rPr>
                <w:sz w:val="22"/>
                <w:szCs w:val="22"/>
                <w:lang w:val="en-GB"/>
              </w:rPr>
            </w:pPr>
            <w:r w:rsidRPr="00DD429A">
              <w:rPr>
                <w:sz w:val="22"/>
                <w:szCs w:val="22"/>
                <w:lang w:val="en-GB"/>
              </w:rPr>
              <w:t>Morrison et al., 2019; The POP Trial Investigators. and Dear, 2019</w:t>
            </w:r>
          </w:p>
          <w:p w14:paraId="286FE4C6" w14:textId="77777777" w:rsidR="00FE70B1" w:rsidRPr="00DD429A" w:rsidRDefault="00FE70B1" w:rsidP="00F3671F">
            <w:pPr>
              <w:spacing w:before="0"/>
              <w:rPr>
                <w:sz w:val="22"/>
                <w:szCs w:val="22"/>
                <w:lang w:val="en-GB"/>
              </w:rPr>
            </w:pPr>
            <w:r w:rsidRPr="00DD429A">
              <w:rPr>
                <w:sz w:val="22"/>
                <w:szCs w:val="22"/>
                <w:lang w:val="en-GB"/>
              </w:rPr>
              <w:t xml:space="preserve">Calmangafodipir </w:t>
            </w:r>
          </w:p>
        </w:tc>
      </w:tr>
      <w:tr w:rsidR="00FE70B1" w:rsidRPr="00DD429A" w14:paraId="534C18A4"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403B0FBB"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34D74E8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485" w:type="dxa"/>
            <w:shd w:val="clear" w:color="auto" w:fill="F2F2F2" w:themeFill="background1" w:themeFillShade="F2"/>
          </w:tcPr>
          <w:p w14:paraId="42EB6EF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14" w:type="dxa"/>
            <w:shd w:val="clear" w:color="auto" w:fill="F2F2F2" w:themeFill="background1" w:themeFillShade="F2"/>
          </w:tcPr>
          <w:p w14:paraId="5D0D249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316" w:type="dxa"/>
            <w:shd w:val="clear" w:color="auto" w:fill="F2F2F2" w:themeFill="background1" w:themeFillShade="F2"/>
          </w:tcPr>
          <w:p w14:paraId="5C40ADE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2310" w:type="dxa"/>
            <w:shd w:val="clear" w:color="auto" w:fill="F2F2F2" w:themeFill="background1" w:themeFillShade="F2"/>
          </w:tcPr>
          <w:p w14:paraId="385C985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r>
      <w:tr w:rsidR="00FE70B1" w:rsidRPr="00DD429A" w14:paraId="383C7F5C"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295A34C7"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04A7910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The allocation sequence for each dosing cohort was created by a programmer using computer-generated random numbers. The randomisation list was held centrally in order to conceal treatment allocations until these were implemented via the secure web-based randomisation system.</w:t>
            </w:r>
          </w:p>
        </w:tc>
        <w:tc>
          <w:tcPr>
            <w:tcW w:w="1485" w:type="dxa"/>
          </w:tcPr>
          <w:p w14:paraId="2B73B87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There was no blinding of participants or emergency department staff. The statistical analysis plan was written blinded to the treatment allocations.</w:t>
            </w:r>
          </w:p>
        </w:tc>
        <w:tc>
          <w:tcPr>
            <w:tcW w:w="1414" w:type="dxa"/>
          </w:tcPr>
          <w:p w14:paraId="1178C84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There were no withdrawals.</w:t>
            </w:r>
          </w:p>
        </w:tc>
        <w:tc>
          <w:tcPr>
            <w:tcW w:w="1316" w:type="dxa"/>
          </w:tcPr>
          <w:p w14:paraId="61A75EB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All prespecified outcomes were adequately reported.</w:t>
            </w:r>
          </w:p>
        </w:tc>
        <w:tc>
          <w:tcPr>
            <w:tcW w:w="2310" w:type="dxa"/>
          </w:tcPr>
          <w:p w14:paraId="6CE8C0E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Funded by the Sponsor, PledPharma </w:t>
            </w:r>
            <w:proofErr w:type="gramStart"/>
            <w:r w:rsidRPr="00DD429A">
              <w:rPr>
                <w:sz w:val="22"/>
                <w:szCs w:val="22"/>
                <w:lang w:val="en-GB"/>
              </w:rPr>
              <w:t>AB,tockholm</w:t>
            </w:r>
            <w:proofErr w:type="gramEnd"/>
            <w:r w:rsidRPr="00DD429A">
              <w:rPr>
                <w:sz w:val="22"/>
                <w:szCs w:val="22"/>
                <w:lang w:val="en-GB"/>
              </w:rPr>
              <w:t xml:space="preserve">. Protocol was published and available online. Sample size did not </w:t>
            </w:r>
            <w:r w:rsidRPr="00DD429A">
              <w:rPr>
                <w:i/>
                <w:sz w:val="22"/>
                <w:szCs w:val="22"/>
                <w:lang w:val="en-GB"/>
              </w:rPr>
              <w:t>apriori</w:t>
            </w:r>
            <w:r w:rsidRPr="00DD429A">
              <w:rPr>
                <w:sz w:val="22"/>
                <w:szCs w:val="22"/>
                <w:lang w:val="en-GB"/>
              </w:rPr>
              <w:t xml:space="preserve"> assessed.</w:t>
            </w:r>
          </w:p>
        </w:tc>
      </w:tr>
      <w:tr w:rsidR="00FE70B1" w:rsidRPr="00DD429A" w14:paraId="77C2B329"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03EEBD93" w14:textId="77777777" w:rsidR="00FE70B1" w:rsidRPr="00DD429A" w:rsidRDefault="00FE70B1" w:rsidP="00F3671F">
            <w:pPr>
              <w:spacing w:before="0"/>
              <w:rPr>
                <w:sz w:val="22"/>
                <w:szCs w:val="22"/>
                <w:lang w:val="en-GB"/>
              </w:rPr>
            </w:pPr>
            <w:r w:rsidRPr="00DD429A">
              <w:rPr>
                <w:sz w:val="22"/>
                <w:szCs w:val="22"/>
                <w:lang w:val="en-GB"/>
              </w:rPr>
              <w:t>Zhumadilov et al., 2012</w:t>
            </w:r>
          </w:p>
          <w:p w14:paraId="78EB5903" w14:textId="77777777" w:rsidR="00FE70B1" w:rsidRPr="00DD429A" w:rsidRDefault="00FE70B1" w:rsidP="00F3671F">
            <w:pPr>
              <w:spacing w:before="0"/>
              <w:rPr>
                <w:sz w:val="22"/>
                <w:szCs w:val="22"/>
                <w:lang w:val="en-GB"/>
              </w:rPr>
            </w:pPr>
            <w:r w:rsidRPr="00DD429A">
              <w:rPr>
                <w:sz w:val="22"/>
                <w:szCs w:val="22"/>
                <w:lang w:val="en-GB"/>
              </w:rPr>
              <w:t xml:space="preserve">Cytaphat </w:t>
            </w:r>
          </w:p>
        </w:tc>
      </w:tr>
      <w:tr w:rsidR="00FE70B1" w:rsidRPr="00DD429A" w14:paraId="0570474F"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03601B77" w14:textId="77777777" w:rsidR="00FE70B1" w:rsidRPr="00DD429A" w:rsidRDefault="00FE70B1" w:rsidP="00F3671F">
            <w:pPr>
              <w:spacing w:before="0"/>
              <w:rPr>
                <w:b w:val="0"/>
                <w:sz w:val="22"/>
                <w:szCs w:val="22"/>
                <w:lang w:val="en-GB"/>
              </w:rPr>
            </w:pPr>
            <w:r w:rsidRPr="00DD429A">
              <w:rPr>
                <w:b w:val="0"/>
                <w:sz w:val="22"/>
                <w:szCs w:val="22"/>
                <w:lang w:val="en-GB"/>
              </w:rPr>
              <w:lastRenderedPageBreak/>
              <w:t>Judgment (low/unclear/high)</w:t>
            </w:r>
          </w:p>
        </w:tc>
        <w:tc>
          <w:tcPr>
            <w:tcW w:w="2117" w:type="dxa"/>
            <w:shd w:val="clear" w:color="auto" w:fill="F2F2F2" w:themeFill="background1" w:themeFillShade="F2"/>
          </w:tcPr>
          <w:p w14:paraId="190A698B"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485" w:type="dxa"/>
            <w:shd w:val="clear" w:color="auto" w:fill="F2F2F2" w:themeFill="background1" w:themeFillShade="F2"/>
          </w:tcPr>
          <w:p w14:paraId="3F7FADA6"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414" w:type="dxa"/>
            <w:shd w:val="clear" w:color="auto" w:fill="F2F2F2" w:themeFill="background1" w:themeFillShade="F2"/>
          </w:tcPr>
          <w:p w14:paraId="20357CF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316" w:type="dxa"/>
            <w:shd w:val="clear" w:color="auto" w:fill="F2F2F2" w:themeFill="background1" w:themeFillShade="F2"/>
          </w:tcPr>
          <w:p w14:paraId="3F07EA6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2310" w:type="dxa"/>
            <w:shd w:val="clear" w:color="auto" w:fill="F2F2F2" w:themeFill="background1" w:themeFillShade="F2"/>
          </w:tcPr>
          <w:p w14:paraId="2DB7F64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757C80C9"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3F6C4DAF"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38ECFDF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Method not described. No information about the strata of differences in baseline demographic and clinical characteristics.</w:t>
            </w:r>
          </w:p>
        </w:tc>
        <w:tc>
          <w:tcPr>
            <w:tcW w:w="1485" w:type="dxa"/>
          </w:tcPr>
          <w:p w14:paraId="76D7492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Method not described.</w:t>
            </w:r>
          </w:p>
        </w:tc>
        <w:tc>
          <w:tcPr>
            <w:tcW w:w="1414" w:type="dxa"/>
          </w:tcPr>
          <w:p w14:paraId="3C1DB93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3.52% (5/142) patients drop out from the study and reasons were adequately described. </w:t>
            </w:r>
          </w:p>
        </w:tc>
        <w:tc>
          <w:tcPr>
            <w:tcW w:w="1316" w:type="dxa"/>
          </w:tcPr>
          <w:p w14:paraId="5B56D28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All outcomes stated in the Method section were reported.</w:t>
            </w:r>
          </w:p>
        </w:tc>
        <w:tc>
          <w:tcPr>
            <w:tcW w:w="2310" w:type="dxa"/>
          </w:tcPr>
          <w:p w14:paraId="2CD7B906"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 data on conflict of interest and sponsorship.</w:t>
            </w:r>
          </w:p>
          <w:p w14:paraId="6AE1DA3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Sample size was not assessed before the study enrolment.</w:t>
            </w:r>
          </w:p>
        </w:tc>
      </w:tr>
      <w:tr w:rsidR="00FE70B1" w:rsidRPr="00DD429A" w14:paraId="22980C8D"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446589F1" w14:textId="77777777" w:rsidR="00FE70B1" w:rsidRPr="00DD429A" w:rsidRDefault="00FE70B1" w:rsidP="00F3671F">
            <w:pPr>
              <w:spacing w:before="0"/>
              <w:rPr>
                <w:sz w:val="22"/>
                <w:szCs w:val="22"/>
                <w:lang w:val="en-GB"/>
              </w:rPr>
            </w:pPr>
            <w:r w:rsidRPr="00DD429A">
              <w:rPr>
                <w:sz w:val="22"/>
                <w:szCs w:val="22"/>
                <w:lang w:val="en-GB"/>
              </w:rPr>
              <w:t>Kang et al, 2020</w:t>
            </w:r>
          </w:p>
          <w:p w14:paraId="0669C430" w14:textId="77777777" w:rsidR="00FE70B1" w:rsidRPr="00DD429A" w:rsidRDefault="00FE70B1" w:rsidP="00F3671F">
            <w:pPr>
              <w:spacing w:before="0"/>
              <w:rPr>
                <w:sz w:val="22"/>
                <w:szCs w:val="22"/>
                <w:lang w:val="en-GB"/>
              </w:rPr>
            </w:pPr>
            <w:r w:rsidRPr="00DD429A">
              <w:rPr>
                <w:sz w:val="22"/>
                <w:szCs w:val="22"/>
                <w:lang w:val="en-GB"/>
              </w:rPr>
              <w:t xml:space="preserve">Fomepizole </w:t>
            </w:r>
          </w:p>
        </w:tc>
      </w:tr>
      <w:tr w:rsidR="00FE70B1" w:rsidRPr="00DD429A" w14:paraId="2DFFFA4A"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3E265005"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5ED89EA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LOW/UNCLEAR</w:t>
            </w:r>
          </w:p>
        </w:tc>
        <w:tc>
          <w:tcPr>
            <w:tcW w:w="1485" w:type="dxa"/>
            <w:shd w:val="clear" w:color="auto" w:fill="F2F2F2" w:themeFill="background1" w:themeFillShade="F2"/>
          </w:tcPr>
          <w:p w14:paraId="374AD6B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414" w:type="dxa"/>
            <w:shd w:val="clear" w:color="auto" w:fill="F2F2F2" w:themeFill="background1" w:themeFillShade="F2"/>
          </w:tcPr>
          <w:p w14:paraId="4D1BFBD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316" w:type="dxa"/>
            <w:shd w:val="clear" w:color="auto" w:fill="F2F2F2" w:themeFill="background1" w:themeFillShade="F2"/>
          </w:tcPr>
          <w:p w14:paraId="4599BE1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2310" w:type="dxa"/>
            <w:shd w:val="clear" w:color="auto" w:fill="F2F2F2" w:themeFill="background1" w:themeFillShade="F2"/>
          </w:tcPr>
          <w:p w14:paraId="361DBD9D"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r>
      <w:tr w:rsidR="00FE70B1" w:rsidRPr="00DD429A" w14:paraId="04581823"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5031C2F2"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2010A47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Randomized by blind draw from an envelope to start with one of two treatments, but allocation was not concealed due to cross over study design.</w:t>
            </w:r>
          </w:p>
        </w:tc>
        <w:tc>
          <w:tcPr>
            <w:tcW w:w="1485" w:type="dxa"/>
          </w:tcPr>
          <w:p w14:paraId="398342CD"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Method not described.</w:t>
            </w:r>
          </w:p>
        </w:tc>
        <w:tc>
          <w:tcPr>
            <w:tcW w:w="1414" w:type="dxa"/>
          </w:tcPr>
          <w:p w14:paraId="7BA681D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16.67% (1/6) patients withdrew due to reason adequately described. </w:t>
            </w:r>
          </w:p>
        </w:tc>
        <w:tc>
          <w:tcPr>
            <w:tcW w:w="1316" w:type="dxa"/>
          </w:tcPr>
          <w:p w14:paraId="3DCF3CD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All outcomes stated in the Method section were reported.</w:t>
            </w:r>
          </w:p>
        </w:tc>
        <w:tc>
          <w:tcPr>
            <w:tcW w:w="2310" w:type="dxa"/>
          </w:tcPr>
          <w:p w14:paraId="525DDF2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Each participant received a $200 gift card for participating. </w:t>
            </w:r>
          </w:p>
          <w:p w14:paraId="76465C8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FE70B1" w:rsidRPr="00DD429A" w14:paraId="4E66BE70"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42A2A4A5" w14:textId="77777777" w:rsidR="00FE70B1" w:rsidRPr="00DD429A" w:rsidRDefault="00FE70B1" w:rsidP="00F3671F">
            <w:pPr>
              <w:spacing w:before="0"/>
              <w:rPr>
                <w:sz w:val="22"/>
                <w:szCs w:val="22"/>
                <w:lang w:val="de-AT"/>
              </w:rPr>
            </w:pPr>
            <w:r w:rsidRPr="00DD429A">
              <w:rPr>
                <w:sz w:val="22"/>
                <w:szCs w:val="22"/>
                <w:lang w:val="de-AT"/>
              </w:rPr>
              <w:t>Zell-Kanter et al. 2013, Shah 2020., Rampon et al, 2020</w:t>
            </w:r>
          </w:p>
          <w:p w14:paraId="7493350A" w14:textId="77777777" w:rsidR="00FE70B1" w:rsidRPr="00DD429A" w:rsidRDefault="00FE70B1" w:rsidP="00F3671F">
            <w:pPr>
              <w:spacing w:before="0"/>
              <w:rPr>
                <w:sz w:val="22"/>
                <w:szCs w:val="22"/>
              </w:rPr>
            </w:pPr>
            <w:r w:rsidRPr="00DD429A">
              <w:rPr>
                <w:sz w:val="22"/>
                <w:szCs w:val="22"/>
                <w:lang w:val="en-GB"/>
              </w:rPr>
              <w:t>Fomepizole</w:t>
            </w:r>
            <w:r w:rsidRPr="00DD429A">
              <w:rPr>
                <w:sz w:val="22"/>
                <w:szCs w:val="22"/>
              </w:rPr>
              <w:t xml:space="preserve"> </w:t>
            </w:r>
          </w:p>
        </w:tc>
      </w:tr>
      <w:tr w:rsidR="00FE70B1" w:rsidRPr="00DD429A" w14:paraId="47FF2B93"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56A4A7A0" w14:textId="77777777" w:rsidR="00FE70B1" w:rsidRPr="00DD429A" w:rsidRDefault="00FE70B1" w:rsidP="00F3671F">
            <w:pPr>
              <w:spacing w:before="0"/>
              <w:rPr>
                <w:b w:val="0"/>
                <w:sz w:val="22"/>
                <w:szCs w:val="22"/>
                <w:lang w:val="en-GB"/>
              </w:rPr>
            </w:pPr>
            <w:r w:rsidRPr="00DD429A">
              <w:rPr>
                <w:b w:val="0"/>
                <w:sz w:val="22"/>
                <w:szCs w:val="22"/>
                <w:lang w:val="en-GB"/>
              </w:rPr>
              <w:t>Judgment llow/unclear/high)</w:t>
            </w:r>
          </w:p>
        </w:tc>
        <w:tc>
          <w:tcPr>
            <w:tcW w:w="2117" w:type="dxa"/>
            <w:shd w:val="clear" w:color="auto" w:fill="F2F2F2" w:themeFill="background1" w:themeFillShade="F2"/>
          </w:tcPr>
          <w:p w14:paraId="05BF964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r w:rsidRPr="00DD429A">
              <w:rPr>
                <w:sz w:val="22"/>
                <w:szCs w:val="22"/>
                <w:lang w:val="en-GB"/>
              </w:rPr>
              <w:tab/>
            </w:r>
          </w:p>
        </w:tc>
        <w:tc>
          <w:tcPr>
            <w:tcW w:w="1485" w:type="dxa"/>
            <w:shd w:val="clear" w:color="auto" w:fill="F2F2F2" w:themeFill="background1" w:themeFillShade="F2"/>
          </w:tcPr>
          <w:p w14:paraId="21F4932F"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14" w:type="dxa"/>
            <w:shd w:val="clear" w:color="auto" w:fill="F2F2F2" w:themeFill="background1" w:themeFillShade="F2"/>
          </w:tcPr>
          <w:p w14:paraId="3EBF3BC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316" w:type="dxa"/>
            <w:shd w:val="clear" w:color="auto" w:fill="F2F2F2" w:themeFill="background1" w:themeFillShade="F2"/>
          </w:tcPr>
          <w:p w14:paraId="49661D7C"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2310" w:type="dxa"/>
            <w:shd w:val="clear" w:color="auto" w:fill="F2F2F2" w:themeFill="background1" w:themeFillShade="F2"/>
          </w:tcPr>
          <w:p w14:paraId="6D85FB1B"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16106B85"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23378E7B"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2561C3A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randomized.</w:t>
            </w:r>
          </w:p>
        </w:tc>
        <w:tc>
          <w:tcPr>
            <w:tcW w:w="1485" w:type="dxa"/>
          </w:tcPr>
          <w:p w14:paraId="329A9AC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double blinded.</w:t>
            </w:r>
          </w:p>
        </w:tc>
        <w:tc>
          <w:tcPr>
            <w:tcW w:w="1414" w:type="dxa"/>
          </w:tcPr>
          <w:p w14:paraId="7030B356"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Descriptive report of clinical cases.</w:t>
            </w:r>
          </w:p>
        </w:tc>
        <w:tc>
          <w:tcPr>
            <w:tcW w:w="1316" w:type="dxa"/>
          </w:tcPr>
          <w:p w14:paraId="175CCB6D"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Descriptive report of clinical cases. </w:t>
            </w:r>
          </w:p>
        </w:tc>
        <w:tc>
          <w:tcPr>
            <w:tcW w:w="2310" w:type="dxa"/>
          </w:tcPr>
          <w:p w14:paraId="5DF4DEB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Case reports and series (6 cases).</w:t>
            </w:r>
          </w:p>
        </w:tc>
      </w:tr>
      <w:tr w:rsidR="00FE70B1" w:rsidRPr="00DD429A" w14:paraId="77495CA5"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0EF995C6" w14:textId="77777777" w:rsidR="00FE70B1" w:rsidRPr="00DD429A" w:rsidRDefault="00FE70B1" w:rsidP="00F3671F">
            <w:pPr>
              <w:spacing w:before="0"/>
              <w:rPr>
                <w:sz w:val="22"/>
                <w:szCs w:val="22"/>
                <w:lang w:val="en-GB"/>
              </w:rPr>
            </w:pPr>
            <w:r w:rsidRPr="00DD429A">
              <w:rPr>
                <w:sz w:val="22"/>
                <w:szCs w:val="22"/>
                <w:lang w:val="en-GB"/>
              </w:rPr>
              <w:t>Gulati et al., 2010</w:t>
            </w:r>
          </w:p>
          <w:p w14:paraId="17F39936" w14:textId="77777777" w:rsidR="00FE70B1" w:rsidRPr="00DD429A" w:rsidRDefault="00FE70B1" w:rsidP="00F3671F">
            <w:pPr>
              <w:spacing w:before="0"/>
              <w:rPr>
                <w:sz w:val="22"/>
                <w:szCs w:val="22"/>
                <w:lang w:val="en-GB"/>
              </w:rPr>
            </w:pPr>
            <w:r w:rsidRPr="00DD429A">
              <w:rPr>
                <w:sz w:val="22"/>
                <w:szCs w:val="22"/>
                <w:lang w:val="en-GB"/>
              </w:rPr>
              <w:t xml:space="preserve">Livina </w:t>
            </w:r>
          </w:p>
        </w:tc>
      </w:tr>
      <w:tr w:rsidR="00FE70B1" w:rsidRPr="00DD429A" w14:paraId="2ECB64EA"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54741057"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03A3B0C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485" w:type="dxa"/>
            <w:shd w:val="clear" w:color="auto" w:fill="F2F2F2" w:themeFill="background1" w:themeFillShade="F2"/>
          </w:tcPr>
          <w:p w14:paraId="39C072B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14" w:type="dxa"/>
            <w:shd w:val="clear" w:color="auto" w:fill="F2F2F2" w:themeFill="background1" w:themeFillShade="F2"/>
          </w:tcPr>
          <w:p w14:paraId="26FEB75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316" w:type="dxa"/>
            <w:shd w:val="clear" w:color="auto" w:fill="F2F2F2" w:themeFill="background1" w:themeFillShade="F2"/>
          </w:tcPr>
          <w:p w14:paraId="14CB858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2310" w:type="dxa"/>
            <w:shd w:val="clear" w:color="auto" w:fill="F2F2F2" w:themeFill="background1" w:themeFillShade="F2"/>
          </w:tcPr>
          <w:p w14:paraId="5ECE637C"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71C4CE06"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4BEB28D1"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1789C28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Computer generated randomization chart.</w:t>
            </w:r>
          </w:p>
        </w:tc>
        <w:tc>
          <w:tcPr>
            <w:tcW w:w="1485" w:type="dxa"/>
          </w:tcPr>
          <w:p w14:paraId="1AF87E66"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Single blind study.</w:t>
            </w:r>
          </w:p>
        </w:tc>
        <w:tc>
          <w:tcPr>
            <w:tcW w:w="1414" w:type="dxa"/>
          </w:tcPr>
          <w:p w14:paraId="4A15E23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6/48 patients withdrew from the study, reasons not described.</w:t>
            </w:r>
          </w:p>
        </w:tc>
        <w:tc>
          <w:tcPr>
            <w:tcW w:w="1316" w:type="dxa"/>
          </w:tcPr>
          <w:p w14:paraId="4494966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All outcomes stated in the Method section were reported.</w:t>
            </w:r>
          </w:p>
        </w:tc>
        <w:tc>
          <w:tcPr>
            <w:tcW w:w="2310" w:type="dxa"/>
          </w:tcPr>
          <w:p w14:paraId="1359A96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 data on conflict of interest and sponsorship. Sample size was not assessed before the study enrolment.</w:t>
            </w:r>
          </w:p>
        </w:tc>
      </w:tr>
      <w:tr w:rsidR="00FE70B1" w:rsidRPr="00DD429A" w14:paraId="65F8C89A"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2620B4D1" w14:textId="77777777" w:rsidR="00FE70B1" w:rsidRPr="00DD429A" w:rsidRDefault="00FE70B1" w:rsidP="00F3671F">
            <w:pPr>
              <w:spacing w:before="0"/>
              <w:rPr>
                <w:sz w:val="22"/>
                <w:szCs w:val="22"/>
                <w:lang w:val="de-AT"/>
              </w:rPr>
            </w:pPr>
            <w:r w:rsidRPr="00DD429A">
              <w:rPr>
                <w:sz w:val="22"/>
                <w:szCs w:val="22"/>
                <w:lang w:val="de-AT"/>
              </w:rPr>
              <w:t>Wang et al., 2019</w:t>
            </w:r>
          </w:p>
          <w:p w14:paraId="4FC57A7C" w14:textId="77777777" w:rsidR="00FE70B1" w:rsidRPr="00DD429A" w:rsidRDefault="00FE70B1" w:rsidP="00F3671F">
            <w:pPr>
              <w:spacing w:before="0"/>
              <w:rPr>
                <w:sz w:val="22"/>
                <w:szCs w:val="22"/>
                <w:lang w:val="de-AT"/>
              </w:rPr>
            </w:pPr>
            <w:r w:rsidRPr="00DD429A">
              <w:rPr>
                <w:sz w:val="22"/>
                <w:szCs w:val="22"/>
                <w:lang w:val="de-AT"/>
              </w:rPr>
              <w:t xml:space="preserve">Magnesium Isoglycyrrhizinate </w:t>
            </w:r>
          </w:p>
        </w:tc>
      </w:tr>
      <w:tr w:rsidR="00FE70B1" w:rsidRPr="00DD429A" w14:paraId="7AAF7FF9"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1434A8D2" w14:textId="77777777" w:rsidR="00FE70B1" w:rsidRPr="00DD429A" w:rsidRDefault="00FE70B1" w:rsidP="00F3671F">
            <w:pPr>
              <w:spacing w:before="0"/>
              <w:rPr>
                <w:b w:val="0"/>
                <w:sz w:val="22"/>
                <w:szCs w:val="22"/>
                <w:lang w:val="en-GB"/>
              </w:rPr>
            </w:pPr>
            <w:r w:rsidRPr="00DD429A">
              <w:rPr>
                <w:b w:val="0"/>
                <w:sz w:val="22"/>
                <w:szCs w:val="22"/>
                <w:lang w:val="en-GB"/>
              </w:rPr>
              <w:lastRenderedPageBreak/>
              <w:t>Judgment (low/unclear/high)</w:t>
            </w:r>
          </w:p>
        </w:tc>
        <w:tc>
          <w:tcPr>
            <w:tcW w:w="2117" w:type="dxa"/>
            <w:shd w:val="clear" w:color="auto" w:fill="F2F2F2" w:themeFill="background1" w:themeFillShade="F2"/>
          </w:tcPr>
          <w:p w14:paraId="433D30D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485" w:type="dxa"/>
            <w:shd w:val="clear" w:color="auto" w:fill="F2F2F2" w:themeFill="background1" w:themeFillShade="F2"/>
          </w:tcPr>
          <w:p w14:paraId="1D879CEC"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414" w:type="dxa"/>
            <w:shd w:val="clear" w:color="auto" w:fill="F2F2F2" w:themeFill="background1" w:themeFillShade="F2"/>
          </w:tcPr>
          <w:p w14:paraId="769BC40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316" w:type="dxa"/>
            <w:shd w:val="clear" w:color="auto" w:fill="F2F2F2" w:themeFill="background1" w:themeFillShade="F2"/>
          </w:tcPr>
          <w:p w14:paraId="50BC268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2310" w:type="dxa"/>
            <w:shd w:val="clear" w:color="auto" w:fill="F2F2F2" w:themeFill="background1" w:themeFillShade="F2"/>
          </w:tcPr>
          <w:p w14:paraId="5D1E9E6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r>
      <w:tr w:rsidR="00FE70B1" w:rsidRPr="00DD429A" w14:paraId="1931F440"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39CD7A41"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1AD7E0C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Method not described.</w:t>
            </w:r>
          </w:p>
        </w:tc>
        <w:tc>
          <w:tcPr>
            <w:tcW w:w="1485" w:type="dxa"/>
          </w:tcPr>
          <w:p w14:paraId="66D667D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Method not described.</w:t>
            </w:r>
          </w:p>
        </w:tc>
        <w:tc>
          <w:tcPr>
            <w:tcW w:w="1414" w:type="dxa"/>
          </w:tcPr>
          <w:p w14:paraId="4A5981A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Analyses performed as ITT. All dropouts (19/174) were adequately reported and reasons described. </w:t>
            </w:r>
          </w:p>
        </w:tc>
        <w:tc>
          <w:tcPr>
            <w:tcW w:w="1316" w:type="dxa"/>
          </w:tcPr>
          <w:p w14:paraId="66CF135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All outcomes stated in the Method section were reported.</w:t>
            </w:r>
          </w:p>
        </w:tc>
        <w:tc>
          <w:tcPr>
            <w:tcW w:w="2310" w:type="dxa"/>
          </w:tcPr>
          <w:p w14:paraId="3125FB9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Sponsored by Chia Tai Tianqing Pharmaceutical Group Co., Ltd. Sites involved in the study were also supported by the Major Project of National Twelfth Five Plan and the Major Project of National Thirteenth Five Plan.</w:t>
            </w:r>
          </w:p>
        </w:tc>
      </w:tr>
      <w:tr w:rsidR="00FE70B1" w:rsidRPr="00DD429A" w14:paraId="280A55D5"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2C7402A8" w14:textId="77777777" w:rsidR="00FE70B1" w:rsidRPr="00DD429A" w:rsidRDefault="00FE70B1" w:rsidP="00F3671F">
            <w:pPr>
              <w:spacing w:before="0"/>
              <w:rPr>
                <w:sz w:val="22"/>
                <w:szCs w:val="22"/>
                <w:lang w:val="en-GB"/>
              </w:rPr>
            </w:pPr>
            <w:r w:rsidRPr="00DD429A">
              <w:rPr>
                <w:sz w:val="22"/>
                <w:szCs w:val="22"/>
                <w:lang w:val="en-GB"/>
              </w:rPr>
              <w:t>Gaur and Bhosale, 2002; Bhosale et al., 2013</w:t>
            </w:r>
          </w:p>
          <w:p w14:paraId="7996C4D7" w14:textId="77777777" w:rsidR="00FE70B1" w:rsidRPr="00DD429A" w:rsidRDefault="00FE70B1" w:rsidP="00F3671F">
            <w:pPr>
              <w:spacing w:before="0"/>
              <w:rPr>
                <w:sz w:val="22"/>
                <w:szCs w:val="22"/>
                <w:lang w:val="en-GB"/>
              </w:rPr>
            </w:pPr>
            <w:r w:rsidRPr="00DD429A">
              <w:rPr>
                <w:sz w:val="22"/>
                <w:szCs w:val="22"/>
                <w:lang w:val="en-GB"/>
              </w:rPr>
              <w:t xml:space="preserve">Picroliv </w:t>
            </w:r>
          </w:p>
        </w:tc>
      </w:tr>
      <w:tr w:rsidR="00FE70B1" w:rsidRPr="00DD429A" w14:paraId="2D6D8C43"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2F8B8B3F"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1769B29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485" w:type="dxa"/>
            <w:shd w:val="clear" w:color="auto" w:fill="F2F2F2" w:themeFill="background1" w:themeFillShade="F2"/>
          </w:tcPr>
          <w:p w14:paraId="4CF47E3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414" w:type="dxa"/>
            <w:shd w:val="clear" w:color="auto" w:fill="F2F2F2" w:themeFill="background1" w:themeFillShade="F2"/>
          </w:tcPr>
          <w:p w14:paraId="5A9A71B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316" w:type="dxa"/>
            <w:shd w:val="clear" w:color="auto" w:fill="F2F2F2" w:themeFill="background1" w:themeFillShade="F2"/>
          </w:tcPr>
          <w:p w14:paraId="7208AD9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2310" w:type="dxa"/>
            <w:shd w:val="clear" w:color="auto" w:fill="F2F2F2" w:themeFill="background1" w:themeFillShade="F2"/>
          </w:tcPr>
          <w:p w14:paraId="51F7E08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791741F3"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5EAAAB6C"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547F3A3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Method not described.</w:t>
            </w:r>
          </w:p>
        </w:tc>
        <w:tc>
          <w:tcPr>
            <w:tcW w:w="1485" w:type="dxa"/>
          </w:tcPr>
          <w:p w14:paraId="2FE8D34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Method not described.</w:t>
            </w:r>
          </w:p>
        </w:tc>
        <w:tc>
          <w:tcPr>
            <w:tcW w:w="1414" w:type="dxa"/>
          </w:tcPr>
          <w:p w14:paraId="11FE2456"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described.</w:t>
            </w:r>
          </w:p>
        </w:tc>
        <w:tc>
          <w:tcPr>
            <w:tcW w:w="1316" w:type="dxa"/>
          </w:tcPr>
          <w:p w14:paraId="5DC4AD0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The prespecified outcomes remarkable differ from those published in abstract form only.</w:t>
            </w:r>
          </w:p>
        </w:tc>
        <w:tc>
          <w:tcPr>
            <w:tcW w:w="2310" w:type="dxa"/>
          </w:tcPr>
          <w:p w14:paraId="5D2F428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Conflict of interest and sponsorship data not reported.</w:t>
            </w:r>
          </w:p>
        </w:tc>
      </w:tr>
      <w:tr w:rsidR="00FE70B1" w:rsidRPr="00DD429A" w14:paraId="1F421B52"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0C4A077C" w14:textId="77777777" w:rsidR="00FE70B1" w:rsidRPr="00DD429A" w:rsidRDefault="00FE70B1" w:rsidP="00F3671F">
            <w:pPr>
              <w:spacing w:before="0"/>
              <w:rPr>
                <w:sz w:val="22"/>
                <w:szCs w:val="22"/>
                <w:lang w:val="en-GB"/>
              </w:rPr>
            </w:pPr>
            <w:r w:rsidRPr="00DD429A">
              <w:rPr>
                <w:sz w:val="22"/>
                <w:szCs w:val="22"/>
                <w:lang w:val="en-GB"/>
              </w:rPr>
              <w:t xml:space="preserve">Jothimani et al., 2018; </w:t>
            </w:r>
            <w:r w:rsidRPr="00DD429A">
              <w:rPr>
                <w:sz w:val="22"/>
                <w:szCs w:val="22"/>
              </w:rPr>
              <w:t>Sachan et al., 2017</w:t>
            </w:r>
          </w:p>
          <w:p w14:paraId="0F0DCB6F" w14:textId="77777777" w:rsidR="00FE70B1" w:rsidRPr="00DD429A" w:rsidRDefault="00FE70B1" w:rsidP="00F3671F">
            <w:pPr>
              <w:spacing w:before="0"/>
              <w:rPr>
                <w:sz w:val="22"/>
                <w:szCs w:val="22"/>
                <w:lang w:val="en-GB"/>
              </w:rPr>
            </w:pPr>
            <w:r w:rsidRPr="00DD429A">
              <w:rPr>
                <w:sz w:val="22"/>
                <w:szCs w:val="22"/>
                <w:lang w:val="en-GB"/>
              </w:rPr>
              <w:t>Plasma exchange</w:t>
            </w:r>
          </w:p>
        </w:tc>
      </w:tr>
      <w:tr w:rsidR="00FE70B1" w:rsidRPr="00DD429A" w14:paraId="6927BD50"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461EE2E5"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29F3375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85" w:type="dxa"/>
            <w:shd w:val="clear" w:color="auto" w:fill="F2F2F2" w:themeFill="background1" w:themeFillShade="F2"/>
          </w:tcPr>
          <w:p w14:paraId="729E0D3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14" w:type="dxa"/>
            <w:shd w:val="clear" w:color="auto" w:fill="F2F2F2" w:themeFill="background1" w:themeFillShade="F2"/>
          </w:tcPr>
          <w:p w14:paraId="346EF62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316" w:type="dxa"/>
            <w:shd w:val="clear" w:color="auto" w:fill="F2F2F2" w:themeFill="background1" w:themeFillShade="F2"/>
          </w:tcPr>
          <w:p w14:paraId="1FE67FCD"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2310" w:type="dxa"/>
            <w:shd w:val="clear" w:color="auto" w:fill="F2F2F2" w:themeFill="background1" w:themeFillShade="F2"/>
          </w:tcPr>
          <w:p w14:paraId="68C1AD7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7B8F0AF6"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34968A2B"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0E3F60E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randomized.</w:t>
            </w:r>
          </w:p>
        </w:tc>
        <w:tc>
          <w:tcPr>
            <w:tcW w:w="1485" w:type="dxa"/>
          </w:tcPr>
          <w:p w14:paraId="30742F4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double blinded.</w:t>
            </w:r>
          </w:p>
        </w:tc>
        <w:tc>
          <w:tcPr>
            <w:tcW w:w="1414" w:type="dxa"/>
          </w:tcPr>
          <w:p w14:paraId="74461EE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Descriptive report of clinical cases.</w:t>
            </w:r>
          </w:p>
        </w:tc>
        <w:tc>
          <w:tcPr>
            <w:tcW w:w="1316" w:type="dxa"/>
          </w:tcPr>
          <w:p w14:paraId="411BECD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Descriptive report of clinical cases in abstract form only.</w:t>
            </w:r>
          </w:p>
        </w:tc>
        <w:tc>
          <w:tcPr>
            <w:tcW w:w="2310" w:type="dxa"/>
          </w:tcPr>
          <w:p w14:paraId="6759D00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Conflict of interest reported. Sponsorship data not reported.</w:t>
            </w:r>
          </w:p>
        </w:tc>
      </w:tr>
      <w:tr w:rsidR="00FE70B1" w:rsidRPr="00DD429A" w14:paraId="435C3D79"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39A47ED2" w14:textId="77777777" w:rsidR="00FE70B1" w:rsidRPr="00DD429A" w:rsidRDefault="00FE70B1" w:rsidP="00F3671F">
            <w:pPr>
              <w:spacing w:before="0"/>
              <w:rPr>
                <w:sz w:val="22"/>
                <w:szCs w:val="22"/>
                <w:lang w:val="en-GB"/>
              </w:rPr>
            </w:pPr>
            <w:r w:rsidRPr="00DD429A">
              <w:rPr>
                <w:sz w:val="22"/>
                <w:szCs w:val="22"/>
                <w:lang w:val="en-GB"/>
              </w:rPr>
              <w:t>Aydemir et al., 2005; Bilgir et al., 2013; Liu et al., 2013; Göpel et al., 2016; Philips et al., 2017; Riveiro-Barciela et al., 2019; Rong et al., 2020</w:t>
            </w:r>
          </w:p>
          <w:p w14:paraId="76A21713" w14:textId="77777777" w:rsidR="00FE70B1" w:rsidRPr="00DD429A" w:rsidRDefault="00FE70B1" w:rsidP="00F3671F">
            <w:pPr>
              <w:spacing w:before="0"/>
              <w:rPr>
                <w:sz w:val="22"/>
                <w:szCs w:val="22"/>
                <w:lang w:val="en-GB"/>
              </w:rPr>
            </w:pPr>
            <w:r w:rsidRPr="00DD429A">
              <w:rPr>
                <w:sz w:val="22"/>
                <w:szCs w:val="22"/>
                <w:lang w:val="en-GB"/>
              </w:rPr>
              <w:t xml:space="preserve">Plasma exchange </w:t>
            </w:r>
          </w:p>
        </w:tc>
      </w:tr>
      <w:tr w:rsidR="00FE70B1" w:rsidRPr="00DD429A" w14:paraId="5F2E5454"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44AF1151"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0B38196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85" w:type="dxa"/>
            <w:shd w:val="clear" w:color="auto" w:fill="F2F2F2" w:themeFill="background1" w:themeFillShade="F2"/>
          </w:tcPr>
          <w:p w14:paraId="0233817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14" w:type="dxa"/>
            <w:shd w:val="clear" w:color="auto" w:fill="F2F2F2" w:themeFill="background1" w:themeFillShade="F2"/>
          </w:tcPr>
          <w:p w14:paraId="0CFADED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r w:rsidRPr="00DD429A">
              <w:rPr>
                <w:sz w:val="22"/>
                <w:szCs w:val="22"/>
                <w:lang w:val="en-GB"/>
              </w:rPr>
              <w:tab/>
            </w:r>
          </w:p>
        </w:tc>
        <w:tc>
          <w:tcPr>
            <w:tcW w:w="1316" w:type="dxa"/>
            <w:shd w:val="clear" w:color="auto" w:fill="F2F2F2" w:themeFill="background1" w:themeFillShade="F2"/>
          </w:tcPr>
          <w:p w14:paraId="0F44B15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2310" w:type="dxa"/>
            <w:shd w:val="clear" w:color="auto" w:fill="F2F2F2" w:themeFill="background1" w:themeFillShade="F2"/>
          </w:tcPr>
          <w:p w14:paraId="5952F92F"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79409ABE"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0F66115B"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59B486A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randomized.</w:t>
            </w:r>
          </w:p>
        </w:tc>
        <w:tc>
          <w:tcPr>
            <w:tcW w:w="1485" w:type="dxa"/>
          </w:tcPr>
          <w:p w14:paraId="7D9FAB0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blinded.</w:t>
            </w:r>
          </w:p>
        </w:tc>
        <w:tc>
          <w:tcPr>
            <w:tcW w:w="1414" w:type="dxa"/>
          </w:tcPr>
          <w:p w14:paraId="717057D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Descriptive report of clinical cases.</w:t>
            </w:r>
          </w:p>
        </w:tc>
        <w:tc>
          <w:tcPr>
            <w:tcW w:w="1316" w:type="dxa"/>
          </w:tcPr>
          <w:p w14:paraId="7DE6FDDD"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Descriptive report of clinical cases.</w:t>
            </w:r>
          </w:p>
        </w:tc>
        <w:tc>
          <w:tcPr>
            <w:tcW w:w="2310" w:type="dxa"/>
          </w:tcPr>
          <w:p w14:paraId="21A605F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Case reports and series (19 cases).</w:t>
            </w:r>
          </w:p>
        </w:tc>
      </w:tr>
      <w:tr w:rsidR="00FE70B1" w:rsidRPr="00DD429A" w14:paraId="4AC4F350"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3E7D5114" w14:textId="77777777" w:rsidR="00FE70B1" w:rsidRPr="00DD429A" w:rsidRDefault="00FE70B1" w:rsidP="00F3671F">
            <w:pPr>
              <w:spacing w:before="0"/>
              <w:rPr>
                <w:color w:val="000000"/>
                <w:sz w:val="22"/>
                <w:szCs w:val="22"/>
                <w:lang w:val="de-AT"/>
              </w:rPr>
            </w:pPr>
            <w:r w:rsidRPr="00DD429A">
              <w:rPr>
                <w:color w:val="000000"/>
                <w:sz w:val="22"/>
                <w:szCs w:val="22"/>
                <w:lang w:val="de-AT"/>
              </w:rPr>
              <w:t xml:space="preserve">Sinha et al., 2020 </w:t>
            </w:r>
          </w:p>
          <w:p w14:paraId="689C2F06" w14:textId="77777777" w:rsidR="00FE70B1" w:rsidRPr="00DD429A" w:rsidRDefault="00FE70B1" w:rsidP="00F3671F">
            <w:pPr>
              <w:spacing w:before="0"/>
              <w:rPr>
                <w:color w:val="000000"/>
                <w:sz w:val="22"/>
                <w:szCs w:val="22"/>
                <w:lang w:val="de-AT"/>
              </w:rPr>
            </w:pPr>
            <w:r w:rsidRPr="00DD429A">
              <w:rPr>
                <w:sz w:val="22"/>
                <w:szCs w:val="22"/>
                <w:lang w:val="de-AT"/>
              </w:rPr>
              <w:lastRenderedPageBreak/>
              <w:t xml:space="preserve">Plasma exchange </w:t>
            </w:r>
          </w:p>
        </w:tc>
      </w:tr>
      <w:tr w:rsidR="00FE70B1" w:rsidRPr="00DD429A" w14:paraId="6B370BDA"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00B720C1" w14:textId="77777777" w:rsidR="00FE70B1" w:rsidRPr="00DD429A" w:rsidRDefault="00FE70B1" w:rsidP="00F3671F">
            <w:pPr>
              <w:spacing w:before="0"/>
              <w:rPr>
                <w:b w:val="0"/>
                <w:sz w:val="22"/>
                <w:szCs w:val="22"/>
                <w:lang w:val="en-GB"/>
              </w:rPr>
            </w:pPr>
            <w:r w:rsidRPr="00DD429A">
              <w:rPr>
                <w:b w:val="0"/>
                <w:sz w:val="22"/>
                <w:szCs w:val="22"/>
                <w:lang w:val="en-GB"/>
              </w:rPr>
              <w:lastRenderedPageBreak/>
              <w:t>Judgment (low/unclear/high)</w:t>
            </w:r>
          </w:p>
        </w:tc>
        <w:tc>
          <w:tcPr>
            <w:tcW w:w="2117" w:type="dxa"/>
            <w:shd w:val="clear" w:color="auto" w:fill="F2F2F2" w:themeFill="background1" w:themeFillShade="F2"/>
          </w:tcPr>
          <w:p w14:paraId="0C7033A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85" w:type="dxa"/>
            <w:shd w:val="clear" w:color="auto" w:fill="F2F2F2" w:themeFill="background1" w:themeFillShade="F2"/>
          </w:tcPr>
          <w:p w14:paraId="477B4A1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14" w:type="dxa"/>
            <w:shd w:val="clear" w:color="auto" w:fill="F2F2F2" w:themeFill="background1" w:themeFillShade="F2"/>
          </w:tcPr>
          <w:p w14:paraId="5FD63C5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LOW</w:t>
            </w:r>
          </w:p>
        </w:tc>
        <w:tc>
          <w:tcPr>
            <w:tcW w:w="1316" w:type="dxa"/>
            <w:shd w:val="clear" w:color="auto" w:fill="F2F2F2" w:themeFill="background1" w:themeFillShade="F2"/>
          </w:tcPr>
          <w:p w14:paraId="38D4DD6C"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2310" w:type="dxa"/>
            <w:shd w:val="clear" w:color="auto" w:fill="F2F2F2" w:themeFill="background1" w:themeFillShade="F2"/>
          </w:tcPr>
          <w:p w14:paraId="593F4496"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78CD19AB"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39CE9079"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4489498C"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Not randomized. </w:t>
            </w:r>
          </w:p>
        </w:tc>
        <w:tc>
          <w:tcPr>
            <w:tcW w:w="1485" w:type="dxa"/>
          </w:tcPr>
          <w:p w14:paraId="61D766A9"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Not double-blind. </w:t>
            </w:r>
          </w:p>
        </w:tc>
        <w:tc>
          <w:tcPr>
            <w:tcW w:w="1414" w:type="dxa"/>
          </w:tcPr>
          <w:p w14:paraId="1F8A435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 withdrawals reported, although it was a descriptive study.</w:t>
            </w:r>
          </w:p>
        </w:tc>
        <w:tc>
          <w:tcPr>
            <w:tcW w:w="1316" w:type="dxa"/>
          </w:tcPr>
          <w:p w14:paraId="1645B08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Descriptive report in abstract form only. It seems that prespecified endpoint described in Methods have not been reported in Results.</w:t>
            </w:r>
          </w:p>
        </w:tc>
        <w:tc>
          <w:tcPr>
            <w:tcW w:w="2310" w:type="dxa"/>
          </w:tcPr>
          <w:p w14:paraId="0A91072E"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Conflict of interest, sponsorship data not reported.</w:t>
            </w:r>
          </w:p>
        </w:tc>
      </w:tr>
      <w:tr w:rsidR="00FE70B1" w:rsidRPr="00DD429A" w14:paraId="136381BC"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6F5EAA88" w14:textId="77777777" w:rsidR="00FE70B1" w:rsidRPr="00DD429A" w:rsidRDefault="00FE70B1" w:rsidP="00F3671F">
            <w:pPr>
              <w:spacing w:before="0"/>
              <w:rPr>
                <w:color w:val="000000"/>
                <w:sz w:val="22"/>
                <w:szCs w:val="22"/>
                <w:lang w:val="en-GB"/>
              </w:rPr>
            </w:pPr>
            <w:r w:rsidRPr="00DD429A">
              <w:rPr>
                <w:color w:val="000000"/>
                <w:sz w:val="22"/>
                <w:szCs w:val="22"/>
                <w:lang w:val="en-GB"/>
              </w:rPr>
              <w:t>Jing et al., 2017</w:t>
            </w:r>
          </w:p>
          <w:p w14:paraId="1DC11586" w14:textId="77777777" w:rsidR="00FE70B1" w:rsidRPr="00DD429A" w:rsidRDefault="00FE70B1" w:rsidP="00F3671F">
            <w:pPr>
              <w:spacing w:before="0"/>
              <w:rPr>
                <w:color w:val="000000"/>
                <w:sz w:val="22"/>
                <w:szCs w:val="22"/>
                <w:lang w:val="en-GB"/>
              </w:rPr>
            </w:pPr>
            <w:r w:rsidRPr="00DD429A">
              <w:rPr>
                <w:color w:val="000000"/>
                <w:sz w:val="22"/>
                <w:szCs w:val="22"/>
                <w:lang w:val="en-GB"/>
              </w:rPr>
              <w:t xml:space="preserve">Radix Paeoniae Rubra </w:t>
            </w:r>
          </w:p>
        </w:tc>
      </w:tr>
      <w:tr w:rsidR="00FE70B1" w:rsidRPr="00DD429A" w14:paraId="508DDC09"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6B74CAC8"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7A94516A"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85" w:type="dxa"/>
            <w:shd w:val="clear" w:color="auto" w:fill="F2F2F2" w:themeFill="background1" w:themeFillShade="F2"/>
          </w:tcPr>
          <w:p w14:paraId="27044BF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HIGH</w:t>
            </w:r>
          </w:p>
        </w:tc>
        <w:tc>
          <w:tcPr>
            <w:tcW w:w="1414" w:type="dxa"/>
            <w:shd w:val="clear" w:color="auto" w:fill="F2F2F2" w:themeFill="background1" w:themeFillShade="F2"/>
          </w:tcPr>
          <w:p w14:paraId="6AE31154"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1316" w:type="dxa"/>
            <w:shd w:val="clear" w:color="auto" w:fill="F2F2F2" w:themeFill="background1" w:themeFillShade="F2"/>
          </w:tcPr>
          <w:p w14:paraId="241CB21D"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c>
          <w:tcPr>
            <w:tcW w:w="2310" w:type="dxa"/>
            <w:shd w:val="clear" w:color="auto" w:fill="F2F2F2" w:themeFill="background1" w:themeFillShade="F2"/>
          </w:tcPr>
          <w:p w14:paraId="7BE9B9E7"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UNCLEAR</w:t>
            </w:r>
          </w:p>
        </w:tc>
      </w:tr>
      <w:tr w:rsidR="00FE70B1" w:rsidRPr="00DD429A" w14:paraId="27F080B8"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6D3F2EB1"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2BEF2BF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randomized.</w:t>
            </w:r>
          </w:p>
        </w:tc>
        <w:tc>
          <w:tcPr>
            <w:tcW w:w="1485" w:type="dxa"/>
          </w:tcPr>
          <w:p w14:paraId="1175AF4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Not blinded.</w:t>
            </w:r>
          </w:p>
        </w:tc>
        <w:tc>
          <w:tcPr>
            <w:tcW w:w="1414" w:type="dxa"/>
          </w:tcPr>
          <w:p w14:paraId="6AD1A11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Descriptive report of clinical cases.</w:t>
            </w:r>
          </w:p>
        </w:tc>
        <w:tc>
          <w:tcPr>
            <w:tcW w:w="1316" w:type="dxa"/>
          </w:tcPr>
          <w:p w14:paraId="071CC91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 xml:space="preserve">Descriptive report in abstract form only. </w:t>
            </w:r>
          </w:p>
        </w:tc>
        <w:tc>
          <w:tcPr>
            <w:tcW w:w="2310" w:type="dxa"/>
          </w:tcPr>
          <w:p w14:paraId="765B4EF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lang w:val="en-GB"/>
              </w:rPr>
              <w:t>Conflict of interest and sponsorship data not reported.</w:t>
            </w:r>
          </w:p>
        </w:tc>
      </w:tr>
      <w:tr w:rsidR="00FE70B1" w:rsidRPr="00DD429A" w14:paraId="26F37973" w14:textId="77777777" w:rsidTr="00DD429A">
        <w:tc>
          <w:tcPr>
            <w:cnfStyle w:val="001000000000" w:firstRow="0" w:lastRow="0" w:firstColumn="1" w:lastColumn="0" w:oddVBand="0" w:evenVBand="0" w:oddHBand="0" w:evenHBand="0" w:firstRowFirstColumn="0" w:firstRowLastColumn="0" w:lastRowFirstColumn="0" w:lastRowLastColumn="0"/>
            <w:tcW w:w="10060" w:type="dxa"/>
            <w:gridSpan w:val="6"/>
            <w:shd w:val="clear" w:color="auto" w:fill="F2F2F2" w:themeFill="background1" w:themeFillShade="F2"/>
          </w:tcPr>
          <w:p w14:paraId="5086CE69" w14:textId="77777777" w:rsidR="00FE70B1" w:rsidRPr="00DD429A" w:rsidRDefault="00FE70B1" w:rsidP="00F3671F">
            <w:pPr>
              <w:spacing w:before="0"/>
              <w:rPr>
                <w:sz w:val="22"/>
                <w:szCs w:val="22"/>
                <w:lang w:val="en-GB"/>
              </w:rPr>
            </w:pPr>
            <w:r w:rsidRPr="00DD429A">
              <w:rPr>
                <w:sz w:val="22"/>
                <w:szCs w:val="22"/>
                <w:lang w:val="en-GB"/>
              </w:rPr>
              <w:t>Santini et al., 2003, Vincenzi et al., 2011, Vincenzi et al., 2012</w:t>
            </w:r>
          </w:p>
          <w:p w14:paraId="5EA97B7E" w14:textId="77777777" w:rsidR="00FE70B1" w:rsidRPr="00DD429A" w:rsidRDefault="00FE70B1" w:rsidP="00F3671F">
            <w:pPr>
              <w:spacing w:before="0"/>
              <w:rPr>
                <w:sz w:val="22"/>
                <w:szCs w:val="22"/>
                <w:lang w:val="en-GB"/>
              </w:rPr>
            </w:pPr>
            <w:r w:rsidRPr="00DD429A">
              <w:rPr>
                <w:sz w:val="22"/>
                <w:szCs w:val="22"/>
                <w:lang w:val="en-GB"/>
              </w:rPr>
              <w:t xml:space="preserve">S-adenosylmethionine </w:t>
            </w:r>
          </w:p>
        </w:tc>
      </w:tr>
      <w:tr w:rsidR="00FE70B1" w:rsidRPr="00DD429A" w14:paraId="2B6E1E10" w14:textId="77777777" w:rsidTr="00DD429A">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65870119" w14:textId="77777777" w:rsidR="00FE70B1" w:rsidRPr="00DD429A" w:rsidRDefault="00FE70B1" w:rsidP="00F3671F">
            <w:pPr>
              <w:spacing w:before="0"/>
              <w:rPr>
                <w:b w:val="0"/>
                <w:sz w:val="22"/>
                <w:szCs w:val="22"/>
                <w:lang w:val="en-GB"/>
              </w:rPr>
            </w:pPr>
            <w:r w:rsidRPr="00DD429A">
              <w:rPr>
                <w:b w:val="0"/>
                <w:sz w:val="22"/>
                <w:szCs w:val="22"/>
                <w:lang w:val="en-GB"/>
              </w:rPr>
              <w:t>Judgment (low/unclear/high)</w:t>
            </w:r>
          </w:p>
        </w:tc>
        <w:tc>
          <w:tcPr>
            <w:tcW w:w="2117" w:type="dxa"/>
            <w:shd w:val="clear" w:color="auto" w:fill="F2F2F2" w:themeFill="background1" w:themeFillShade="F2"/>
          </w:tcPr>
          <w:p w14:paraId="07421180"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HIGH</w:t>
            </w:r>
          </w:p>
        </w:tc>
        <w:tc>
          <w:tcPr>
            <w:tcW w:w="1485" w:type="dxa"/>
            <w:shd w:val="clear" w:color="auto" w:fill="F2F2F2" w:themeFill="background1" w:themeFillShade="F2"/>
          </w:tcPr>
          <w:p w14:paraId="0CA600D1"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HIGH</w:t>
            </w:r>
          </w:p>
        </w:tc>
        <w:tc>
          <w:tcPr>
            <w:tcW w:w="1414" w:type="dxa"/>
            <w:shd w:val="clear" w:color="auto" w:fill="F2F2F2" w:themeFill="background1" w:themeFillShade="F2"/>
          </w:tcPr>
          <w:p w14:paraId="577A16EF"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UNCLEAR</w:t>
            </w:r>
          </w:p>
        </w:tc>
        <w:tc>
          <w:tcPr>
            <w:tcW w:w="1316" w:type="dxa"/>
            <w:shd w:val="clear" w:color="auto" w:fill="F2F2F2" w:themeFill="background1" w:themeFillShade="F2"/>
          </w:tcPr>
          <w:p w14:paraId="01CEB3D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LOW</w:t>
            </w:r>
          </w:p>
        </w:tc>
        <w:tc>
          <w:tcPr>
            <w:tcW w:w="2310" w:type="dxa"/>
            <w:shd w:val="clear" w:color="auto" w:fill="F2F2F2" w:themeFill="background1" w:themeFillShade="F2"/>
          </w:tcPr>
          <w:p w14:paraId="71D5A028"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LOW/UNCLEAR</w:t>
            </w:r>
          </w:p>
        </w:tc>
      </w:tr>
      <w:tr w:rsidR="00FE70B1" w:rsidRPr="00DD429A" w14:paraId="42746C22" w14:textId="77777777" w:rsidTr="00F3671F">
        <w:tc>
          <w:tcPr>
            <w:cnfStyle w:val="001000000000" w:firstRow="0" w:lastRow="0" w:firstColumn="1" w:lastColumn="0" w:oddVBand="0" w:evenVBand="0" w:oddHBand="0" w:evenHBand="0" w:firstRowFirstColumn="0" w:firstRowLastColumn="0" w:lastRowFirstColumn="0" w:lastRowLastColumn="0"/>
            <w:tcW w:w="1418" w:type="dxa"/>
          </w:tcPr>
          <w:p w14:paraId="3A841C36" w14:textId="77777777" w:rsidR="00FE70B1" w:rsidRPr="00DD429A" w:rsidRDefault="00FE70B1" w:rsidP="00F3671F">
            <w:pPr>
              <w:spacing w:before="0"/>
              <w:rPr>
                <w:b w:val="0"/>
                <w:sz w:val="22"/>
                <w:szCs w:val="22"/>
                <w:lang w:val="en-GB"/>
              </w:rPr>
            </w:pPr>
            <w:r w:rsidRPr="00DD429A">
              <w:rPr>
                <w:b w:val="0"/>
                <w:sz w:val="22"/>
                <w:szCs w:val="22"/>
                <w:lang w:val="en-GB"/>
              </w:rPr>
              <w:t>Support for judgments</w:t>
            </w:r>
          </w:p>
        </w:tc>
        <w:tc>
          <w:tcPr>
            <w:tcW w:w="2117" w:type="dxa"/>
          </w:tcPr>
          <w:p w14:paraId="793B19A2"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 xml:space="preserve">Not randomized. </w:t>
            </w:r>
          </w:p>
        </w:tc>
        <w:tc>
          <w:tcPr>
            <w:tcW w:w="1485" w:type="dxa"/>
          </w:tcPr>
          <w:p w14:paraId="6B5349C5"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 xml:space="preserve">Not blinded. </w:t>
            </w:r>
          </w:p>
        </w:tc>
        <w:tc>
          <w:tcPr>
            <w:tcW w:w="1414" w:type="dxa"/>
          </w:tcPr>
          <w:p w14:paraId="7541F663"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Not described.</w:t>
            </w:r>
          </w:p>
        </w:tc>
        <w:tc>
          <w:tcPr>
            <w:tcW w:w="1316" w:type="dxa"/>
          </w:tcPr>
          <w:p w14:paraId="7E961C7C"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It seems that all outcomes stated in Methods were reported.</w:t>
            </w:r>
          </w:p>
        </w:tc>
        <w:tc>
          <w:tcPr>
            <w:tcW w:w="2310" w:type="dxa"/>
          </w:tcPr>
          <w:p w14:paraId="5FCFD03C" w14:textId="77777777" w:rsidR="00FE70B1" w:rsidRPr="00DD429A" w:rsidRDefault="00FE70B1" w:rsidP="00F3671F">
            <w:pPr>
              <w:spacing w:before="0"/>
              <w:cnfStyle w:val="000000000000" w:firstRow="0" w:lastRow="0" w:firstColumn="0" w:lastColumn="0" w:oddVBand="0" w:evenVBand="0" w:oddHBand="0" w:evenHBand="0" w:firstRowFirstColumn="0" w:firstRowLastColumn="0" w:lastRowFirstColumn="0" w:lastRowLastColumn="0"/>
              <w:rPr>
                <w:sz w:val="22"/>
                <w:szCs w:val="22"/>
                <w:lang w:val="en-GB"/>
              </w:rPr>
            </w:pPr>
            <w:r w:rsidRPr="00DD429A">
              <w:rPr>
                <w:sz w:val="22"/>
                <w:szCs w:val="22"/>
              </w:rPr>
              <w:t xml:space="preserve">The authors declare no conflict of interest and no sponsors for one study. </w:t>
            </w:r>
          </w:p>
        </w:tc>
      </w:tr>
    </w:tbl>
    <w:p w14:paraId="07652222" w14:textId="77777777" w:rsidR="00FE70B1" w:rsidRPr="00DD429A" w:rsidRDefault="00FE70B1">
      <w:pPr>
        <w:rPr>
          <w:rFonts w:ascii="Times New Roman" w:hAnsi="Times New Roman" w:cs="Times New Roman"/>
        </w:rPr>
      </w:pPr>
    </w:p>
    <w:sectPr w:rsidR="00FE70B1" w:rsidRPr="00DD4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B1"/>
    <w:rsid w:val="002916E1"/>
    <w:rsid w:val="00DD429A"/>
    <w:rsid w:val="00EB74A3"/>
    <w:rsid w:val="00FE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65F3"/>
  <w15:chartTrackingRefBased/>
  <w15:docId w15:val="{B264A961-0076-4D0A-B5E3-73093082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FE70B1"/>
    <w:pPr>
      <w:spacing w:before="120" w:after="0" w:line="240" w:lineRule="auto"/>
    </w:pPr>
    <w:rPr>
      <w:rFonts w:ascii="Times New Roman" w:eastAsia="Times New Roman" w:hAnsi="Times New Roman" w:cs="Times New Roman"/>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5132</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Jack Maurice</cp:lastModifiedBy>
  <cp:revision>3</cp:revision>
  <dcterms:created xsi:type="dcterms:W3CDTF">2021-12-05T13:00:00Z</dcterms:created>
  <dcterms:modified xsi:type="dcterms:W3CDTF">2022-01-12T14:23:00Z</dcterms:modified>
</cp:coreProperties>
</file>