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Supplement</w:t>
      </w:r>
    </w:p>
    <w:p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Clinical relevance of functional antibodies to the angiotensin II type1-receptor in systemic sclerosis detected by a new luminometric assay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Lukas Bankamp, Beate Preuß, Ann-Christin Pecher, Nicola Beucke, Jörg Henes, Reinhild Klein</w:t>
      </w:r>
    </w:p>
    <w:p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Methods</w:t>
      </w:r>
    </w:p>
    <w:p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Tables</w:t>
      </w:r>
    </w:p>
    <w:p>
      <w:pPr>
        <w:spacing w:line="48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t xml:space="preserve">Table S1 </w:t>
      </w:r>
      <w:r>
        <w:rPr>
          <w:rFonts w:ascii="Arial" w:hAnsi="Arial" w:cs="Arial"/>
          <w:b/>
          <w:lang w:val="en-US"/>
        </w:rPr>
        <w:t>Clinical data in 98 patients with SSc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77"/>
        <w:gridCol w:w="215"/>
        <w:gridCol w:w="2552"/>
        <w:gridCol w:w="1839"/>
      </w:tblGrid>
      <w:tr>
        <w:tc>
          <w:tcPr>
            <w:tcW w:w="5070" w:type="dxa"/>
            <w:gridSpan w:val="5"/>
          </w:tcPr>
          <w:p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Clinical parameters in 98 SSc patients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>
        <w:tc>
          <w:tcPr>
            <w:tcW w:w="2518" w:type="dxa"/>
            <w:gridSpan w:val="4"/>
            <w:vMerge w:val="restart"/>
            <w:tcBorders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 at first manifes</w:t>
            </w:r>
            <w:r>
              <w:rPr>
                <w:rFonts w:ascii="Arial" w:hAnsi="Arial" w:cs="Arial"/>
                <w:lang w:val="en-US"/>
              </w:rPr>
              <w:softHyphen/>
              <w:t>ta</w:t>
            </w:r>
            <w:r>
              <w:rPr>
                <w:rFonts w:ascii="Arial" w:hAnsi="Arial" w:cs="Arial"/>
                <w:lang w:val="en-US"/>
              </w:rPr>
              <w:softHyphen/>
              <w:t>tion (years)</w:t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mean</w:t>
            </w:r>
            <w:r>
              <w:rPr>
                <w:rFonts w:ascii="Arial" w:hAnsi="Arial" w:cs="Arial"/>
                <w:u w:val="single"/>
                <w:lang w:val="en-US"/>
              </w:rPr>
              <w:t>+</w:t>
            </w:r>
            <w:r>
              <w:rPr>
                <w:rFonts w:ascii="Arial" w:hAnsi="Arial" w:cs="Arial"/>
                <w:lang w:val="en-US"/>
              </w:rPr>
              <w:t>SD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54 </w:t>
            </w:r>
            <w:r>
              <w:rPr>
                <w:rFonts w:ascii="Arial" w:hAnsi="Arial" w:cs="Arial"/>
                <w:u w:val="single"/>
                <w:lang w:val="en-US"/>
              </w:rPr>
              <w:t>+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</w:p>
        </w:tc>
      </w:tr>
      <w:tr>
        <w:tc>
          <w:tcPr>
            <w:tcW w:w="2518" w:type="dxa"/>
            <w:gridSpan w:val="4"/>
            <w:vMerge/>
            <w:tcBorders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median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57</w:t>
            </w:r>
          </w:p>
        </w:tc>
      </w:tr>
      <w:tr>
        <w:tc>
          <w:tcPr>
            <w:tcW w:w="2518" w:type="dxa"/>
            <w:gridSpan w:val="4"/>
            <w:vMerge/>
            <w:tcBorders>
              <w:bottom w:val="single" w:sz="4" w:space="0" w:color="auto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range</w:t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17 - 83</w:t>
            </w:r>
          </w:p>
        </w:tc>
      </w:tr>
      <w:tr>
        <w:tc>
          <w:tcPr>
            <w:tcW w:w="2518" w:type="dxa"/>
            <w:gridSpan w:val="4"/>
            <w:tcBorders>
              <w:bottom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Sex </w:t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females: number (%)</w:t>
            </w:r>
          </w:p>
        </w:tc>
        <w:tc>
          <w:tcPr>
            <w:tcW w:w="1839" w:type="dxa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87 (89%)</w:t>
            </w:r>
          </w:p>
        </w:tc>
      </w:tr>
      <w:tr>
        <w:tc>
          <w:tcPr>
            <w:tcW w:w="2518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males: number (%)</w:t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 (11%)</w:t>
            </w:r>
          </w:p>
        </w:tc>
      </w:tr>
      <w:tr>
        <w:tc>
          <w:tcPr>
            <w:tcW w:w="2518" w:type="dxa"/>
            <w:gridSpan w:val="4"/>
            <w:vMerge w:val="restart"/>
            <w:tcBorders>
              <w:bottom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Duration of disease at last visit (years)</w:t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mean</w:t>
            </w:r>
            <w:r>
              <w:rPr>
                <w:rFonts w:ascii="Arial" w:hAnsi="Arial" w:cs="Arial"/>
                <w:u w:val="single"/>
                <w:lang w:val="en-US"/>
              </w:rPr>
              <w:t>+</w:t>
            </w:r>
            <w:r>
              <w:rPr>
                <w:rFonts w:ascii="Arial" w:hAnsi="Arial" w:cs="Arial"/>
                <w:lang w:val="en-US"/>
              </w:rPr>
              <w:t>SD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 </w:t>
            </w:r>
            <w:r>
              <w:rPr>
                <w:rFonts w:ascii="Arial" w:hAnsi="Arial" w:cs="Arial"/>
                <w:u w:val="single"/>
                <w:lang w:val="en-US"/>
              </w:rPr>
              <w:t>+</w:t>
            </w:r>
            <w:r>
              <w:rPr>
                <w:rFonts w:ascii="Arial" w:hAnsi="Arial" w:cs="Arial"/>
                <w:lang w:val="en-US"/>
              </w:rPr>
              <w:t xml:space="preserve"> 7</w:t>
            </w:r>
          </w:p>
        </w:tc>
      </w:tr>
      <w:tr>
        <w:tc>
          <w:tcPr>
            <w:tcW w:w="2518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median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>
        <w:tc>
          <w:tcPr>
            <w:tcW w:w="2518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range</w:t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0.5 - 28</w:t>
            </w:r>
          </w:p>
        </w:tc>
      </w:tr>
      <w:tr>
        <w:tc>
          <w:tcPr>
            <w:tcW w:w="2518" w:type="dxa"/>
            <w:gridSpan w:val="4"/>
            <w:tcBorders>
              <w:bottom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Kind of SSc</w:t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lc</w:t>
            </w:r>
            <w:proofErr w:type="spellEnd"/>
            <w:r>
              <w:rPr>
                <w:rFonts w:ascii="Arial" w:hAnsi="Arial" w:cs="Arial"/>
                <w:lang w:val="en-US"/>
              </w:rPr>
              <w:t>: number</w:t>
            </w:r>
          </w:p>
        </w:tc>
        <w:tc>
          <w:tcPr>
            <w:tcW w:w="1839" w:type="dxa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</w:t>
            </w:r>
          </w:p>
        </w:tc>
      </w:tr>
      <w:tr>
        <w:tc>
          <w:tcPr>
            <w:tcW w:w="2518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dc: number</w:t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</w:tr>
      <w:tr>
        <w:tc>
          <w:tcPr>
            <w:tcW w:w="2518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mRSS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mean</w:t>
            </w:r>
            <w:r>
              <w:rPr>
                <w:rFonts w:ascii="Arial" w:hAnsi="Arial" w:cs="Arial"/>
                <w:u w:val="single"/>
                <w:lang w:val="en-US"/>
              </w:rPr>
              <w:t>+</w:t>
            </w:r>
            <w:r>
              <w:rPr>
                <w:rFonts w:ascii="Arial" w:hAnsi="Arial" w:cs="Arial"/>
                <w:lang w:val="en-US"/>
              </w:rPr>
              <w:t>SD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7.7 </w:t>
            </w:r>
            <w:r>
              <w:rPr>
                <w:rFonts w:ascii="Arial" w:hAnsi="Arial" w:cs="Arial"/>
                <w:u w:val="single"/>
                <w:lang w:val="en-US"/>
              </w:rPr>
              <w:t>+</w:t>
            </w:r>
            <w:r>
              <w:rPr>
                <w:rFonts w:ascii="Arial" w:hAnsi="Arial" w:cs="Arial"/>
                <w:lang w:val="en-US"/>
              </w:rPr>
              <w:t xml:space="preserve"> 7.3</w:t>
            </w:r>
          </w:p>
        </w:tc>
      </w:tr>
      <w:tr>
        <w:tc>
          <w:tcPr>
            <w:tcW w:w="2518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median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>
        <w:tc>
          <w:tcPr>
            <w:tcW w:w="2518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range</w:t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0 - 30</w:t>
            </w:r>
          </w:p>
        </w:tc>
      </w:tr>
      <w:tr>
        <w:tc>
          <w:tcPr>
            <w:tcW w:w="251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Organ manifestations (total number)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mean</w:t>
            </w:r>
            <w:r>
              <w:rPr>
                <w:rFonts w:ascii="Arial" w:hAnsi="Arial" w:cs="Arial"/>
                <w:u w:val="single"/>
                <w:lang w:val="en-US"/>
              </w:rPr>
              <w:t>+</w:t>
            </w:r>
            <w:r>
              <w:rPr>
                <w:rFonts w:ascii="Arial" w:hAnsi="Arial" w:cs="Arial"/>
                <w:lang w:val="en-US"/>
              </w:rPr>
              <w:t>SD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3.2 </w:t>
            </w:r>
            <w:r>
              <w:rPr>
                <w:rFonts w:ascii="Arial" w:hAnsi="Arial" w:cs="Arial"/>
                <w:u w:val="single"/>
                <w:lang w:val="en-US"/>
              </w:rPr>
              <w:t>+</w:t>
            </w:r>
            <w:r>
              <w:rPr>
                <w:rFonts w:ascii="Arial" w:hAnsi="Arial" w:cs="Arial"/>
                <w:lang w:val="en-US"/>
              </w:rPr>
              <w:t xml:space="preserve"> 1.6</w:t>
            </w:r>
          </w:p>
        </w:tc>
      </w:tr>
      <w:tr>
        <w:tc>
          <w:tcPr>
            <w:tcW w:w="2518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median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>
        <w:tc>
          <w:tcPr>
            <w:tcW w:w="2518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range</w:t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 – 7</w:t>
            </w:r>
            <w:r>
              <w:rPr>
                <w:rFonts w:ascii="Arial" w:hAnsi="Arial" w:cs="Arial"/>
                <w:vertAlign w:val="superscript"/>
                <w:lang w:val="en-US"/>
              </w:rPr>
              <w:t>a)</w:t>
            </w:r>
          </w:p>
        </w:tc>
      </w:tr>
      <w:tr>
        <w:tc>
          <w:tcPr>
            <w:tcW w:w="5070" w:type="dxa"/>
            <w:gridSpan w:val="5"/>
            <w:tcBorders>
              <w:bottom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Skin manifestations: number</w:t>
            </w:r>
          </w:p>
        </w:tc>
        <w:tc>
          <w:tcPr>
            <w:tcW w:w="1839" w:type="dxa"/>
            <w:tcBorders>
              <w:left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84</w:t>
            </w:r>
          </w:p>
        </w:tc>
      </w:tr>
      <w:tr>
        <w:tc>
          <w:tcPr>
            <w:tcW w:w="2303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Calcinosis: number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  <w:tr>
        <w:tc>
          <w:tcPr>
            <w:tcW w:w="230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Digital ulcers: number</w:t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</w:tr>
      <w:tr>
        <w:tc>
          <w:tcPr>
            <w:tcW w:w="5070" w:type="dxa"/>
            <w:gridSpan w:val="5"/>
            <w:tcBorders>
              <w:bottom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Lung involvement: number</w:t>
            </w:r>
          </w:p>
        </w:tc>
        <w:tc>
          <w:tcPr>
            <w:tcW w:w="1839" w:type="dxa"/>
            <w:tcBorders>
              <w:left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</w:t>
            </w:r>
          </w:p>
        </w:tc>
      </w:tr>
      <w:tr>
        <w:tc>
          <w:tcPr>
            <w:tcW w:w="675" w:type="dxa"/>
            <w:tcBorders>
              <w:top w:val="nil"/>
              <w:righ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Pulmonary arterial hypertension: number</w:t>
            </w:r>
          </w:p>
        </w:tc>
        <w:tc>
          <w:tcPr>
            <w:tcW w:w="1839" w:type="dxa"/>
            <w:tcBorders>
              <w:top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</w:tr>
      <w:tr>
        <w:tc>
          <w:tcPr>
            <w:tcW w:w="5070" w:type="dxa"/>
            <w:gridSpan w:val="5"/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Esophagus: number</w:t>
            </w:r>
          </w:p>
        </w:tc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55</w:t>
            </w:r>
          </w:p>
        </w:tc>
      </w:tr>
      <w:tr>
        <w:tc>
          <w:tcPr>
            <w:tcW w:w="5070" w:type="dxa"/>
            <w:gridSpan w:val="5"/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Muscles (myositis): number</w:t>
            </w:r>
          </w:p>
        </w:tc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</w:tr>
      <w:tr>
        <w:tc>
          <w:tcPr>
            <w:tcW w:w="5070" w:type="dxa"/>
            <w:gridSpan w:val="5"/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Kidney: number</w:t>
            </w:r>
          </w:p>
        </w:tc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>
        <w:tc>
          <w:tcPr>
            <w:tcW w:w="5070" w:type="dxa"/>
            <w:gridSpan w:val="5"/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Heart: number</w:t>
            </w:r>
          </w:p>
        </w:tc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  <w:tr>
        <w:tc>
          <w:tcPr>
            <w:tcW w:w="5070" w:type="dxa"/>
            <w:gridSpan w:val="5"/>
            <w:tcBorders>
              <w:bottom w:val="single" w:sz="4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Exocrine glands (sicca syndrome): number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</w:tr>
      <w:tr>
        <w:tc>
          <w:tcPr>
            <w:tcW w:w="1526" w:type="dxa"/>
            <w:gridSpan w:val="2"/>
            <w:tcBorders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Antibodies to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Scl70 (immunodiffusion): number</w:t>
            </w:r>
          </w:p>
        </w:tc>
        <w:tc>
          <w:tcPr>
            <w:tcW w:w="1839" w:type="dxa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31 </w:t>
            </w:r>
          </w:p>
        </w:tc>
      </w:tr>
      <w:tr>
        <w:tc>
          <w:tcPr>
            <w:tcW w:w="1526" w:type="dxa"/>
            <w:gridSpan w:val="2"/>
            <w:tcBorders>
              <w:top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Centromeres (ACA; IFT): number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31 </w:t>
            </w:r>
          </w:p>
        </w:tc>
      </w:tr>
      <w:tr>
        <w:tc>
          <w:tcPr>
            <w:tcW w:w="1526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Nucleoli (fibrillarin; IFT): number</w:t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 xml:space="preserve">a) </w:t>
      </w:r>
      <w:r>
        <w:rPr>
          <w:rFonts w:ascii="Arial" w:hAnsi="Arial" w:cs="Arial"/>
          <w:lang w:val="en-US"/>
        </w:rPr>
        <w:t>4 patients had no organ manifestation and suffered only from Raynaud syndrome.</w:t>
      </w:r>
    </w:p>
    <w:p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Five patients suffered additionally from primary biliary cholangitis as shown by the pr</w:t>
      </w:r>
      <w:r>
        <w:rPr>
          <w:rFonts w:ascii="Arial" w:hAnsi="Arial" w:cs="Arial"/>
          <w:lang w:val="en-US"/>
        </w:rPr>
        <w:softHyphen/>
        <w:t>e</w:t>
      </w:r>
      <w:r>
        <w:rPr>
          <w:rFonts w:ascii="Arial" w:hAnsi="Arial" w:cs="Arial"/>
          <w:lang w:val="en-US"/>
        </w:rPr>
        <w:softHyphen/>
        <w:t>sence of antimitochondrial antibodies of the anti-M2 type reacting with PDC-E2 and eleva</w:t>
      </w:r>
      <w:r>
        <w:rPr>
          <w:rFonts w:ascii="Arial" w:hAnsi="Arial" w:cs="Arial"/>
          <w:lang w:val="en-US"/>
        </w:rPr>
        <w:softHyphen/>
        <w:t>tion of cho</w:t>
      </w:r>
      <w:r>
        <w:rPr>
          <w:rFonts w:ascii="Arial" w:hAnsi="Arial" w:cs="Arial"/>
          <w:lang w:val="en-US"/>
        </w:rPr>
        <w:softHyphen/>
        <w:t>lestatic enzymes. In two patients, liver biopsy was performed revealing PBC stage I/II</w:t>
      </w:r>
    </w:p>
    <w:p>
      <w:pPr>
        <w:spacing w:line="480" w:lineRule="auto"/>
        <w:jc w:val="both"/>
        <w:rPr>
          <w:rFonts w:ascii="Arial" w:hAnsi="Arial" w:cs="Arial"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b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b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b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b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b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b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b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b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Table S2</w:t>
      </w:r>
      <w:r>
        <w:rPr>
          <w:rFonts w:ascii="Arial" w:hAnsi="Arial" w:cs="Arial"/>
          <w:lang w:val="en-US"/>
        </w:rPr>
        <w:t xml:space="preserve"> Age and sex distribution in patients with different disorders analyzed for functionally active antibodies to the AT</w:t>
      </w:r>
      <w:r>
        <w:rPr>
          <w:rFonts w:ascii="Arial" w:hAnsi="Arial" w:cs="Arial"/>
          <w:vertAlign w:val="subscript"/>
          <w:lang w:val="en-US"/>
        </w:rPr>
        <w:t>1</w:t>
      </w:r>
      <w:r>
        <w:rPr>
          <w:rFonts w:ascii="Arial" w:hAnsi="Arial" w:cs="Arial"/>
          <w:lang w:val="en-US"/>
        </w:rPr>
        <w:t>R.</w:t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992"/>
        <w:gridCol w:w="1134"/>
        <w:gridCol w:w="1418"/>
      </w:tblGrid>
      <w:tr>
        <w:trPr>
          <w:trHeight w:val="1538"/>
        </w:trPr>
        <w:tc>
          <w:tcPr>
            <w:tcW w:w="4361" w:type="dxa"/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Diagnosis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patients tested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 (mean)</w:t>
            </w:r>
          </w:p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years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 (range) years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fe</w:t>
            </w:r>
            <w:r>
              <w:rPr>
                <w:rFonts w:ascii="Arial" w:hAnsi="Arial" w:cs="Arial"/>
                <w:lang w:val="en-US"/>
              </w:rPr>
              <w:softHyphen/>
              <w:t>males/ males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Ratio f:m</w:t>
            </w:r>
          </w:p>
        </w:tc>
      </w:tr>
      <w:tr>
        <w:tc>
          <w:tcPr>
            <w:tcW w:w="4361" w:type="dxa"/>
            <w:tcBorders>
              <w:bottom w:val="nil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SSc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17-78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62/11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5,6 : 1</w:t>
            </w:r>
          </w:p>
        </w:tc>
      </w:tr>
      <w:tr>
        <w:tc>
          <w:tcPr>
            <w:tcW w:w="4361" w:type="dxa"/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mixed connective tissue disease (MCTD)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38,6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10-69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18/7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2,6 : 1</w:t>
            </w:r>
          </w:p>
        </w:tc>
      </w:tr>
      <w:tr>
        <w:tc>
          <w:tcPr>
            <w:tcW w:w="4361" w:type="dxa"/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primary Sjoegren disease (pSS)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49,8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18-84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23/1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23 : 1</w:t>
            </w:r>
          </w:p>
        </w:tc>
      </w:tr>
      <w:tr>
        <w:tc>
          <w:tcPr>
            <w:tcW w:w="4361" w:type="dxa"/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systemic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lupus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erythematosus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(SLE)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44,7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26-77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19/2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9,5 : 1</w:t>
            </w:r>
          </w:p>
        </w:tc>
      </w:tr>
      <w:tr>
        <w:tc>
          <w:tcPr>
            <w:tcW w:w="4361" w:type="dxa"/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rheumatoid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arthritis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(RA)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61,0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33-80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18/6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6 : 1</w:t>
            </w:r>
          </w:p>
        </w:tc>
      </w:tr>
      <w:tr>
        <w:tc>
          <w:tcPr>
            <w:tcW w:w="4361" w:type="dxa"/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polymyalgia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rheumatica (PM)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65,6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43-80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8/8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1 : 1 </w:t>
            </w:r>
          </w:p>
        </w:tc>
      </w:tr>
      <w:tr>
        <w:tc>
          <w:tcPr>
            <w:tcW w:w="4361" w:type="dxa"/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autoimmune liver diseases (PBC, PSC, AIH)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97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47,9</w:t>
            </w: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17-78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67/30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2,2 : 1</w:t>
            </w:r>
          </w:p>
        </w:tc>
      </w:tr>
      <w:tr>
        <w:tc>
          <w:tcPr>
            <w:tcW w:w="4361" w:type="dxa"/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none autoimmune liver diseases (toxic, vi</w:t>
            </w: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softHyphen/>
              <w:t>ral)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59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53,0</w:t>
            </w: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20-81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22/37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1 : 1,7</w:t>
            </w:r>
          </w:p>
        </w:tc>
      </w:tr>
      <w:tr>
        <w:tc>
          <w:tcPr>
            <w:tcW w:w="4361" w:type="dxa"/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blood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donors</w:t>
            </w:r>
            <w:proofErr w:type="spellEnd"/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31,2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  <w:lang w:val="en-US"/>
              </w:rPr>
              <w:t>20-69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18/18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 : 1</w:t>
            </w:r>
          </w:p>
        </w:tc>
      </w:tr>
    </w:tbl>
    <w:p>
      <w:pPr>
        <w:spacing w:line="480" w:lineRule="auto"/>
        <w:jc w:val="both"/>
        <w:rPr>
          <w:rFonts w:ascii="Arial" w:hAnsi="Arial" w:cs="Arial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Table S3</w:t>
      </w:r>
      <w:r>
        <w:rPr>
          <w:rFonts w:ascii="Arial" w:hAnsi="Arial" w:cs="Arial"/>
          <w:lang w:val="en-US"/>
        </w:rPr>
        <w:t xml:space="preserve"> ROC analysis for functionally active anti-AT1R-antibodies and anti-AT1R antibodies detected by ELISA: comparison of the different disorders with healthy controls</w:t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992"/>
        <w:gridCol w:w="1134"/>
        <w:gridCol w:w="1418"/>
      </w:tblGrid>
      <w:tr>
        <w:trPr>
          <w:trHeight w:val="1538"/>
        </w:trPr>
        <w:tc>
          <w:tcPr>
            <w:tcW w:w="4361" w:type="dxa"/>
            <w:vMerge w:val="restart"/>
            <w:tcBorders>
              <w:right w:val="single" w:sz="12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Diagnosis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patients tested</w:t>
            </w:r>
          </w:p>
        </w:tc>
        <w:tc>
          <w:tcPr>
            <w:tcW w:w="467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Anti-AT1R antibodies detected by</w:t>
            </w:r>
          </w:p>
        </w:tc>
      </w:tr>
      <w:tr>
        <w:tc>
          <w:tcPr>
            <w:tcW w:w="4361" w:type="dxa"/>
            <w:vMerge/>
            <w:tcBorders>
              <w:right w:val="single" w:sz="12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Functional lumino</w:t>
            </w:r>
            <w:r>
              <w:rPr>
                <w:rFonts w:ascii="Arial" w:hAnsi="Arial" w:cs="Arial"/>
                <w:lang w:val="en-US"/>
              </w:rPr>
              <w:softHyphen/>
              <w:t>metric assay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ELISA</w:t>
            </w:r>
          </w:p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>
        <w:tc>
          <w:tcPr>
            <w:tcW w:w="4361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AUC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AUC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</w:p>
        </w:tc>
      </w:tr>
      <w:tr>
        <w:tc>
          <w:tcPr>
            <w:tcW w:w="4361" w:type="dxa"/>
            <w:tcBorders>
              <w:top w:val="single" w:sz="8" w:space="0" w:color="auto"/>
              <w:bottom w:val="nil"/>
              <w:right w:val="single" w:sz="12" w:space="0" w:color="auto"/>
            </w:tcBorders>
          </w:tcPr>
          <w:p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SSc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0.63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0.03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0.68</w:t>
            </w:r>
          </w:p>
        </w:tc>
        <w:tc>
          <w:tcPr>
            <w:tcW w:w="141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0.03</w:t>
            </w:r>
          </w:p>
        </w:tc>
      </w:tr>
      <w:tr>
        <w:tc>
          <w:tcPr>
            <w:tcW w:w="4361" w:type="dxa"/>
            <w:tcBorders>
              <w:right w:val="single" w:sz="12" w:space="0" w:color="auto"/>
            </w:tcBorders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mixed connective tissue disease (MCTD)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0.68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t>0.02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0.93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t>0.0001</w:t>
            </w:r>
          </w:p>
        </w:tc>
      </w:tr>
      <w:tr>
        <w:tc>
          <w:tcPr>
            <w:tcW w:w="4361" w:type="dxa"/>
            <w:tcBorders>
              <w:right w:val="single" w:sz="12" w:space="0" w:color="auto"/>
            </w:tcBorders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Primary Sjoegren disease (pSS)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24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0.51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0.88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0.66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0.08</w:t>
            </w:r>
          </w:p>
        </w:tc>
      </w:tr>
      <w:tr>
        <w:tc>
          <w:tcPr>
            <w:tcW w:w="4361" w:type="dxa"/>
            <w:tcBorders>
              <w:right w:val="single" w:sz="12" w:space="0" w:color="auto"/>
            </w:tcBorders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Systemic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lupus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erythematosus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(SLE)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21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0.55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0.49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0.86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t>0.0002</w:t>
            </w:r>
          </w:p>
        </w:tc>
      </w:tr>
      <w:tr>
        <w:tc>
          <w:tcPr>
            <w:tcW w:w="4361" w:type="dxa"/>
            <w:tcBorders>
              <w:right w:val="single" w:sz="12" w:space="0" w:color="auto"/>
            </w:tcBorders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Rheumatoid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arthritis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(RA)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24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0.63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0.09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0.76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t>0.006</w:t>
            </w:r>
          </w:p>
        </w:tc>
      </w:tr>
      <w:tr>
        <w:tc>
          <w:tcPr>
            <w:tcW w:w="4361" w:type="dxa"/>
            <w:tcBorders>
              <w:right w:val="single" w:sz="12" w:space="0" w:color="auto"/>
            </w:tcBorders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Polymyalgia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rheumatica (PM)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0.68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0.04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0.79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DE"/>
              </w:rPr>
              <w:t>0.006</w:t>
            </w:r>
          </w:p>
        </w:tc>
      </w:tr>
      <w:tr>
        <w:tc>
          <w:tcPr>
            <w:tcW w:w="4361" w:type="dxa"/>
            <w:tcBorders>
              <w:right w:val="single" w:sz="12" w:space="0" w:color="auto"/>
            </w:tcBorders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Autoimmune liver diseases (PBC, PSC, AIH)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97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0.51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0.83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0.69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 w:eastAsia="de-DE"/>
              </w:rPr>
              <w:t>0.02</w:t>
            </w:r>
          </w:p>
        </w:tc>
      </w:tr>
      <w:tr>
        <w:tc>
          <w:tcPr>
            <w:tcW w:w="4361" w:type="dxa"/>
            <w:tcBorders>
              <w:right w:val="single" w:sz="12" w:space="0" w:color="auto"/>
            </w:tcBorders>
            <w:vAlign w:val="bottom"/>
          </w:tcPr>
          <w:p>
            <w:pPr>
              <w:spacing w:line="480" w:lineRule="auto"/>
              <w:jc w:val="both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None autoimmune liver diseases (toxic, vi</w:t>
            </w: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softHyphen/>
              <w:t>ral)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57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0.56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0.37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0.77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 w:eastAsia="de-DE"/>
              </w:rPr>
              <w:t>0.002</w:t>
            </w:r>
          </w:p>
        </w:tc>
      </w:tr>
    </w:tbl>
    <w:p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AUC: area under the curve</w:t>
      </w: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S4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Correlation between functional anti-AT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antibodies and clinical symptoms in 73 pa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tients with SSc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3085"/>
        <w:gridCol w:w="1163"/>
        <w:gridCol w:w="1134"/>
        <w:gridCol w:w="992"/>
        <w:gridCol w:w="1247"/>
        <w:gridCol w:w="1446"/>
      </w:tblGrid>
      <w:tr>
        <w:tc>
          <w:tcPr>
            <w:tcW w:w="4248" w:type="dxa"/>
            <w:gridSpan w:val="2"/>
            <w:vMerge w:val="restart"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symptoms</w:t>
            </w:r>
          </w:p>
        </w:tc>
        <w:tc>
          <w:tcPr>
            <w:tcW w:w="1134" w:type="dxa"/>
            <w:vMerge w:val="restart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tested</w:t>
            </w:r>
          </w:p>
        </w:tc>
        <w:tc>
          <w:tcPr>
            <w:tcW w:w="3685" w:type="dxa"/>
            <w:gridSpan w:val="3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Antibodies to AT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>
        <w:tc>
          <w:tcPr>
            <w:tcW w:w="4248" w:type="dxa"/>
            <w:gridSpan w:val="2"/>
            <w:vMerge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47" w:type="dxa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tory</w:t>
            </w:r>
          </w:p>
        </w:tc>
        <w:tc>
          <w:tcPr>
            <w:tcW w:w="1446" w:type="dxa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stimula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tory</w:t>
            </w:r>
          </w:p>
        </w:tc>
      </w:tr>
      <w:t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(%) positive</w:t>
            </w:r>
          </w:p>
        </w:tc>
      </w:tr>
      <w:tr>
        <w:tc>
          <w:tcPr>
            <w:tcW w:w="3085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</w:p>
        </w:tc>
        <w:tc>
          <w:tcPr>
            <w:tcW w:w="1163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(38)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(14)</w:t>
            </w:r>
          </w:p>
        </w:tc>
        <w:tc>
          <w:tcPr>
            <w:tcW w:w="1446" w:type="dxa"/>
            <w:tcBorders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(24)</w:t>
            </w:r>
          </w:p>
        </w:tc>
      </w:tr>
      <w:tr>
        <w:tc>
          <w:tcPr>
            <w:tcW w:w="308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</w:t>
            </w:r>
            <w:proofErr w:type="spellEnd"/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(57)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(19)</w:t>
            </w: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(38)</w:t>
            </w:r>
          </w:p>
        </w:tc>
      </w:tr>
      <w:tr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organ manifestations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(62)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(17)</w:t>
            </w:r>
          </w:p>
        </w:tc>
        <w:tc>
          <w:tcPr>
            <w:tcW w:w="1446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(46)</w:t>
            </w:r>
          </w:p>
        </w:tc>
      </w:tr>
      <w:tr>
        <w:tc>
          <w:tcPr>
            <w:tcW w:w="3085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(54)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(18)</w:t>
            </w: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(36)</w:t>
            </w:r>
          </w:p>
        </w:tc>
      </w:tr>
      <w:tr>
        <w:tc>
          <w:tcPr>
            <w:tcW w:w="308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(38)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(19)</w:t>
            </w: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(19)</w:t>
            </w:r>
          </w:p>
        </w:tc>
      </w:tr>
      <w:tr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manifestions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(43)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(18)</w:t>
            </w:r>
          </w:p>
        </w:tc>
        <w:tc>
          <w:tcPr>
            <w:tcW w:w="1446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(45)</w:t>
            </w:r>
          </w:p>
        </w:tc>
      </w:tr>
      <w:tr>
        <w:tc>
          <w:tcPr>
            <w:tcW w:w="3085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(31)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(18)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(32)</w:t>
            </w:r>
          </w:p>
        </w:tc>
      </w:tr>
      <w:tr>
        <w:tc>
          <w:tcPr>
            <w:tcW w:w="3085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calcinosis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(59)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(19)</w:t>
            </w: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(40)</w:t>
            </w:r>
          </w:p>
        </w:tc>
      </w:tr>
      <w:tr>
        <w:tc>
          <w:tcPr>
            <w:tcW w:w="3085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(66)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(33)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(33)</w:t>
            </w:r>
          </w:p>
        </w:tc>
      </w:tr>
      <w:tr>
        <w:tc>
          <w:tcPr>
            <w:tcW w:w="3085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ulcers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without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(52)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(14)</w:t>
            </w: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(39)</w:t>
            </w:r>
          </w:p>
        </w:tc>
      </w:tr>
      <w:tr>
        <w:tc>
          <w:tcPr>
            <w:tcW w:w="3085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(48)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(21)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(28)</w:t>
            </w:r>
          </w:p>
        </w:tc>
      </w:tr>
      <w:tr>
        <w:tc>
          <w:tcPr>
            <w:tcW w:w="3085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Lung manifestations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(60)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(21)</w:t>
            </w: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(39)</w:t>
            </w:r>
          </w:p>
        </w:tc>
      </w:tr>
      <w:tr>
        <w:tc>
          <w:tcPr>
            <w:tcW w:w="3085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(43)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(13)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(30)</w:t>
            </w:r>
          </w:p>
        </w:tc>
      </w:tr>
      <w:tr>
        <w:tc>
          <w:tcPr>
            <w:tcW w:w="3085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PAH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(50)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(17)</w:t>
            </w: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(34)</w:t>
            </w:r>
          </w:p>
        </w:tc>
      </w:tr>
      <w:tr>
        <w:tc>
          <w:tcPr>
            <w:tcW w:w="3085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(50)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(14)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(36)</w:t>
            </w:r>
          </w:p>
        </w:tc>
      </w:tr>
      <w:tr>
        <w:tc>
          <w:tcPr>
            <w:tcW w:w="3085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 manifestation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(53)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(19)</w:t>
            </w: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(34)</w:t>
            </w:r>
          </w:p>
        </w:tc>
      </w:tr>
      <w:tr>
        <w:tc>
          <w:tcPr>
            <w:tcW w:w="3085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(33)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(33)</w:t>
            </w:r>
          </w:p>
        </w:tc>
      </w:tr>
      <w:tr>
        <w:tc>
          <w:tcPr>
            <w:tcW w:w="3085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Sicca syndrome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(48)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(14)</w:t>
            </w: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(34)</w:t>
            </w:r>
          </w:p>
        </w:tc>
      </w:tr>
      <w:tr>
        <w:tc>
          <w:tcPr>
            <w:tcW w:w="3085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(64)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(29)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(36)</w:t>
            </w:r>
          </w:p>
        </w:tc>
      </w:tr>
      <w:tr>
        <w:tc>
          <w:tcPr>
            <w:tcW w:w="3085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myositis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(54)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(15)</w:t>
            </w: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(38)</w:t>
            </w:r>
          </w:p>
        </w:tc>
      </w:tr>
      <w:tr>
        <w:tc>
          <w:tcPr>
            <w:tcW w:w="3085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(25)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(25)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</w:tr>
      <w:tr>
        <w:tc>
          <w:tcPr>
            <w:tcW w:w="3085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Esophageal manifestation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(52)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(14)</w:t>
            </w:r>
          </w:p>
        </w:tc>
        <w:tc>
          <w:tcPr>
            <w:tcW w:w="1446" w:type="dxa"/>
            <w:tcBorders>
              <w:top w:val="nil"/>
              <w:bottom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(39)</w:t>
            </w:r>
          </w:p>
        </w:tc>
      </w:tr>
      <w:tr>
        <w:tc>
          <w:tcPr>
            <w:tcW w:w="3085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(49)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(21)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(28)</w:t>
            </w:r>
          </w:p>
        </w:tc>
      </w:tr>
    </w:tbl>
    <w:p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significant as compared to without myositis (p &lt; 0.05)</w:t>
      </w:r>
    </w:p>
    <w:p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S5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Correlation between antibodies to AT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R, ET-1 and topo-I measured by ELISA and clinical symp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toms in 73 patients with SSc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276"/>
        <w:gridCol w:w="1278"/>
        <w:gridCol w:w="103"/>
        <w:gridCol w:w="1866"/>
      </w:tblGrid>
      <w:tr>
        <w:tc>
          <w:tcPr>
            <w:tcW w:w="2235" w:type="dxa"/>
            <w:vMerge w:val="restart"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 involvement/symptoms</w:t>
            </w:r>
          </w:p>
        </w:tc>
        <w:tc>
          <w:tcPr>
            <w:tcW w:w="2409" w:type="dxa"/>
            <w:vMerge w:val="restart"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 patients teste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R-ET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1-Topo-I)</w:t>
            </w:r>
          </w:p>
        </w:tc>
        <w:tc>
          <w:tcPr>
            <w:tcW w:w="4523" w:type="dxa"/>
            <w:gridSpan w:val="4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antibodies to</w:t>
            </w:r>
          </w:p>
        </w:tc>
      </w:tr>
      <w:tr>
        <w:tc>
          <w:tcPr>
            <w:tcW w:w="2235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Topo-I</w:t>
            </w:r>
          </w:p>
        </w:tc>
      </w:tr>
      <w:tr>
        <w:trPr>
          <w:trHeight w:val="584"/>
        </w:trPr>
        <w:tc>
          <w:tcPr>
            <w:tcW w:w="2235" w:type="dxa"/>
            <w:vMerge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3" w:type="dxa"/>
            <w:gridSpan w:val="4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(%) positive)</w:t>
            </w:r>
          </w:p>
        </w:tc>
      </w:tr>
      <w:tr>
        <w:tc>
          <w:tcPr>
            <w:tcW w:w="2235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SSc type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(n=68-62-71)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 (49)</w:t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(23)</w:t>
            </w:r>
          </w:p>
        </w:tc>
        <w:tc>
          <w:tcPr>
            <w:tcW w:w="186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(28)</w:t>
            </w:r>
          </w:p>
        </w:tc>
      </w:tr>
      <w:t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 (n=27-27-27)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(70)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(44)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(63)</w:t>
            </w:r>
          </w:p>
        </w:tc>
      </w:tr>
      <w:t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organ manifestations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0-1(n=15-13-15)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(47)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(13)</w:t>
            </w:r>
          </w:p>
        </w:tc>
      </w:tr>
      <w:tr>
        <w:tc>
          <w:tcPr>
            <w:tcW w:w="2235" w:type="dxa"/>
            <w:vMerge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 (n=60-57-59)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(52)</w:t>
            </w:r>
          </w:p>
        </w:tc>
        <w:tc>
          <w:tcPr>
            <w:tcW w:w="1381" w:type="dxa"/>
            <w:gridSpan w:val="2"/>
            <w:tcBorders>
              <w:top w:val="nil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(30)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(44)</w:t>
            </w:r>
          </w:p>
        </w:tc>
      </w:tr>
      <w:tr>
        <w:tc>
          <w:tcPr>
            <w:tcW w:w="2235" w:type="dxa"/>
            <w:vMerge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 (n=20-19-21)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(65)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(42)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(43)</w:t>
            </w:r>
          </w:p>
        </w:tc>
      </w:tr>
      <w:t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skin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(n=14-13-14)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(36)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(8)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(7)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 xml:space="preserve"> *</w:t>
            </w:r>
          </w:p>
        </w:tc>
      </w:tr>
      <w:t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(n=81-76-84)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 (57)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(34)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(43)</w:t>
            </w:r>
          </w:p>
        </w:tc>
      </w:tr>
      <w:tr>
        <w:tc>
          <w:tcPr>
            <w:tcW w:w="2235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calcinosis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(n=85-80-87)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(55)</w:t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(29)</w:t>
            </w:r>
          </w:p>
        </w:tc>
        <w:tc>
          <w:tcPr>
            <w:tcW w:w="186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(40)</w:t>
            </w:r>
          </w:p>
        </w:tc>
      </w:tr>
      <w:t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(n=10-9-11)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(40)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(33)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(18)</w:t>
            </w:r>
          </w:p>
        </w:tc>
      </w:tr>
      <w:tr>
        <w:tc>
          <w:tcPr>
            <w:tcW w:w="2235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ulcers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(n=62-58-64)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(44)</w:t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(21)</w:t>
            </w:r>
          </w:p>
        </w:tc>
        <w:tc>
          <w:tcPr>
            <w:tcW w:w="186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(31)</w:t>
            </w:r>
          </w:p>
        </w:tc>
      </w:tr>
      <w:t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(n=33-31-34)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(76)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(45)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(50)</w:t>
            </w:r>
          </w:p>
        </w:tc>
      </w:tr>
      <w:tr>
        <w:tc>
          <w:tcPr>
            <w:tcW w:w="2235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Lung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(n=38-33-40)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(39)</w:t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(15)</w:t>
            </w:r>
          </w:p>
        </w:tc>
        <w:tc>
          <w:tcPr>
            <w:tcW w:w="186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(13)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 xml:space="preserve"> ****</w:t>
            </w:r>
          </w:p>
        </w:tc>
      </w:tr>
      <w:t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(n=57-56-58)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(53)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(38)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(55)</w:t>
            </w:r>
          </w:p>
        </w:tc>
      </w:tr>
      <w:tr>
        <w:tc>
          <w:tcPr>
            <w:tcW w:w="2235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Pulmonary arterial 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(n=77-71-79)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 (55)</w:t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(21)</w:t>
            </w:r>
          </w:p>
        </w:tc>
        <w:tc>
          <w:tcPr>
            <w:tcW w:w="186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(39)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 xml:space="preserve"> **</w:t>
            </w:r>
          </w:p>
        </w:tc>
      </w:tr>
      <w:t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hypertension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(n=18-18-19)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(56)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(33)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(32)</w:t>
            </w:r>
          </w:p>
        </w:tc>
      </w:tr>
      <w:tr>
        <w:tc>
          <w:tcPr>
            <w:tcW w:w="2235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esophageal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(n=42-40-43)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(52)</w:t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(15)</w:t>
            </w:r>
          </w:p>
        </w:tc>
        <w:tc>
          <w:tcPr>
            <w:tcW w:w="186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(21)</w:t>
            </w:r>
          </w:p>
        </w:tc>
      </w:tr>
      <w:t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manifestation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(n=53-49-55)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(57)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(39)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(51)</w:t>
            </w:r>
          </w:p>
        </w:tc>
      </w:tr>
      <w:tr>
        <w:tc>
          <w:tcPr>
            <w:tcW w:w="2235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myositis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(n=84-78-86)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 (54)</w:t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(27)</w:t>
            </w:r>
          </w:p>
        </w:tc>
        <w:tc>
          <w:tcPr>
            <w:tcW w:w="186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(37)</w:t>
            </w:r>
          </w:p>
        </w:tc>
      </w:tr>
      <w:t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(n=11-11-12)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(64)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(45)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(42)</w:t>
            </w:r>
          </w:p>
        </w:tc>
      </w:tr>
      <w:tr>
        <w:tc>
          <w:tcPr>
            <w:tcW w:w="2235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Sicca syndrome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(n=74-69-77)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 (59)</w:t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(30)</w:t>
            </w:r>
          </w:p>
        </w:tc>
        <w:tc>
          <w:tcPr>
            <w:tcW w:w="186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(39)</w:t>
            </w:r>
          </w:p>
        </w:tc>
      </w:tr>
      <w:t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(n=21-20-21)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(43)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(25)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(33)</w:t>
            </w:r>
          </w:p>
        </w:tc>
      </w:tr>
      <w:tr>
        <w:tc>
          <w:tcPr>
            <w:tcW w:w="2235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(n=84-78-87)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(52)</w:t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(27)</w:t>
            </w:r>
          </w:p>
        </w:tc>
        <w:tc>
          <w:tcPr>
            <w:tcW w:w="186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(38)</w:t>
            </w:r>
          </w:p>
        </w:tc>
      </w:tr>
      <w:t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(n=11-11-11)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(64)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(45)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(45)</w:t>
            </w:r>
          </w:p>
        </w:tc>
      </w:tr>
      <w:tr>
        <w:tc>
          <w:tcPr>
            <w:tcW w:w="2235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kidney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(n=90-84-93)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 (54)</w:t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(32)</w:t>
            </w:r>
          </w:p>
        </w:tc>
        <w:tc>
          <w:tcPr>
            <w:tcW w:w="186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(40)</w:t>
            </w:r>
          </w:p>
        </w:tc>
      </w:tr>
      <w:t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(n=5-5-5)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(20)</w:t>
            </w:r>
          </w:p>
        </w:tc>
        <w:tc>
          <w:tcPr>
            <w:tcW w:w="1381" w:type="dxa"/>
            <w:gridSpan w:val="2"/>
            <w:tcBorders>
              <w:top w:val="nil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rPr>
          <w:trHeight w:val="417"/>
        </w:trPr>
        <w:tc>
          <w:tcPr>
            <w:tcW w:w="2235" w:type="dxa"/>
            <w:vMerge w:val="restart"/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biliary cho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langitis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(n=88-82-91)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 (55)</w:t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(30)</w:t>
            </w:r>
          </w:p>
        </w:tc>
        <w:tc>
          <w:tcPr>
            <w:tcW w:w="1866" w:type="dxa"/>
            <w:tcBorders>
              <w:bottom w:val="nil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(41)</w:t>
            </w:r>
          </w:p>
        </w:tc>
      </w:tr>
      <w:tr>
        <w:tc>
          <w:tcPr>
            <w:tcW w:w="2235" w:type="dxa"/>
            <w:vMerge/>
            <w:tcBorders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(n=7-7-7)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(43)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(14) 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Significance levels between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lc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dc as well as without and with the different organ mani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softHyphen/>
        <w:t>fe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softHyphen/>
        <w:t xml:space="preserve">stations: 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=p&lt;0.05; 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**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= p&lt; 0.01;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***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p &lt; 0.001; 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****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p &lt; 0.0001</w:t>
      </w:r>
    </w:p>
    <w:p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Figure S1</w:t>
      </w: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-1650365</wp:posOffset>
                </wp:positionH>
                <wp:positionV relativeFrom="paragraph">
                  <wp:posOffset>3119922</wp:posOffset>
                </wp:positionV>
                <wp:extent cx="448945" cy="224155"/>
                <wp:effectExtent l="0" t="0" r="0" b="4445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9.95pt;margin-top:245.65pt;width:35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-1644015</wp:posOffset>
                </wp:positionH>
                <wp:positionV relativeFrom="paragraph">
                  <wp:posOffset>2396323</wp:posOffset>
                </wp:positionV>
                <wp:extent cx="448945" cy="224155"/>
                <wp:effectExtent l="0" t="0" r="0" b="444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9.45pt;margin-top:188.7pt;width:35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-1669415</wp:posOffset>
                </wp:positionH>
                <wp:positionV relativeFrom="paragraph">
                  <wp:posOffset>1863257</wp:posOffset>
                </wp:positionV>
                <wp:extent cx="448945" cy="224155"/>
                <wp:effectExtent l="0" t="0" r="0" b="444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31.45pt;margin-top:146.7pt;width:35.3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-1593382</wp:posOffset>
                </wp:positionH>
                <wp:positionV relativeFrom="paragraph">
                  <wp:posOffset>4363085</wp:posOffset>
                </wp:positionV>
                <wp:extent cx="448945" cy="224155"/>
                <wp:effectExtent l="0" t="0" r="0" b="444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5.45pt;margin-top:343.55pt;width:35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-1647357</wp:posOffset>
                </wp:positionH>
                <wp:positionV relativeFrom="paragraph">
                  <wp:posOffset>1295400</wp:posOffset>
                </wp:positionV>
                <wp:extent cx="448945" cy="224155"/>
                <wp:effectExtent l="0" t="0" r="0" b="444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9.7pt;margin-top:102pt;width:35.3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-1647190</wp:posOffset>
                </wp:positionH>
                <wp:positionV relativeFrom="paragraph">
                  <wp:posOffset>390692</wp:posOffset>
                </wp:positionV>
                <wp:extent cx="449179" cy="224589"/>
                <wp:effectExtent l="0" t="0" r="0" b="444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79" cy="224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150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57175" cy="128588"/>
                                  <wp:effectExtent l="0" t="0" r="0" b="5080"/>
                                  <wp:docPr id="23" name="Grafik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28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29.7pt;margin-top:30.75pt;width:35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150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57175" cy="128588"/>
                            <wp:effectExtent l="0" t="0" r="0" b="5080"/>
                            <wp:docPr id="23" name="Grafi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28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-1656882</wp:posOffset>
                </wp:positionH>
                <wp:positionV relativeFrom="paragraph">
                  <wp:posOffset>0</wp:posOffset>
                </wp:positionV>
                <wp:extent cx="449179" cy="224589"/>
                <wp:effectExtent l="0" t="0" r="0" b="444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79" cy="224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30.45pt;margin-top:0;width:35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3596640" cy="3371215"/>
            <wp:effectExtent l="0" t="0" r="0" b="0"/>
            <wp:docPr id="1042" name="Grafik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3609340" cy="3359150"/>
            <wp:effectExtent l="0" t="0" r="0" b="0"/>
            <wp:docPr id="1044" name="Grafik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Figure S1 </w:t>
      </w:r>
      <w:r>
        <w:rPr>
          <w:rFonts w:ascii="Arial" w:hAnsi="Arial" w:cs="Arial"/>
          <w:lang w:val="en-US"/>
        </w:rPr>
        <w:t xml:space="preserve">Analysis of purified plasma membranes from CHO-cells (A) and Huh7-cells (B) for the expression of the angiotensin II receptor 1 and a contamination with non-membranous antigens by Western blotting </w:t>
      </w:r>
    </w:p>
    <w:p>
      <w:p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MW: molecular marker (Precision Plus Protein Dual </w:t>
      </w:r>
      <w:proofErr w:type="spellStart"/>
      <w:r>
        <w:rPr>
          <w:rFonts w:ascii="Arial" w:hAnsi="Arial" w:cs="Arial"/>
          <w:lang w:val="en-US"/>
        </w:rPr>
        <w:t>Xtra</w:t>
      </w:r>
      <w:proofErr w:type="spellEnd"/>
      <w:r>
        <w:rPr>
          <w:rFonts w:ascii="Arial" w:hAnsi="Arial" w:cs="Arial"/>
          <w:lang w:val="en-US"/>
        </w:rPr>
        <w:t xml:space="preserve"> Standards; </w:t>
      </w:r>
      <w:proofErr w:type="spellStart"/>
      <w:r>
        <w:rPr>
          <w:rFonts w:ascii="Arial" w:hAnsi="Arial" w:cs="Arial"/>
          <w:lang w:val="en-US"/>
        </w:rPr>
        <w:t>BioRad</w:t>
      </w:r>
      <w:proofErr w:type="spellEnd"/>
      <w:r>
        <w:rPr>
          <w:rFonts w:ascii="Arial" w:hAnsi="Arial" w:cs="Arial"/>
          <w:lang w:val="en-US"/>
        </w:rPr>
        <w:t>, Hercules, CA, USA)</w:t>
      </w:r>
    </w:p>
    <w:p>
      <w:p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lanes 1-5: plasma membranes from CHO- (A) and Huh7 cells (B) tested against </w:t>
      </w:r>
      <w:proofErr w:type="spellStart"/>
      <w:r>
        <w:rPr>
          <w:rFonts w:ascii="Arial" w:hAnsi="Arial" w:cs="Arial"/>
          <w:lang w:val="en-US"/>
        </w:rPr>
        <w:t>a</w:t>
      </w:r>
      <w:proofErr w:type="spellEnd"/>
      <w:r>
        <w:rPr>
          <w:rFonts w:ascii="Arial" w:hAnsi="Arial" w:cs="Arial"/>
          <w:lang w:val="en-US"/>
        </w:rPr>
        <w:t xml:space="preserve"> anti-AT1R ab from rabbit (</w:t>
      </w:r>
      <w:proofErr w:type="spellStart"/>
      <w:r>
        <w:rPr>
          <w:rFonts w:ascii="Arial" w:hAnsi="Arial" w:cs="Arial"/>
          <w:lang w:val="en-US"/>
        </w:rPr>
        <w:t>Biozol</w:t>
      </w:r>
      <w:proofErr w:type="spellEnd"/>
      <w:r>
        <w:rPr>
          <w:rFonts w:ascii="Arial" w:hAnsi="Arial" w:cs="Arial"/>
          <w:lang w:val="en-US"/>
        </w:rPr>
        <w:t>) reacting with the AT</w:t>
      </w:r>
      <w:r>
        <w:rPr>
          <w:rFonts w:ascii="Arial" w:hAnsi="Arial" w:cs="Arial"/>
          <w:vertAlign w:val="subscript"/>
          <w:lang w:val="en-US"/>
        </w:rPr>
        <w:t>1</w:t>
      </w:r>
      <w:r>
        <w:rPr>
          <w:rFonts w:ascii="Arial" w:hAnsi="Arial" w:cs="Arial"/>
          <w:lang w:val="en-US"/>
        </w:rPr>
        <w:t xml:space="preserve">R at about 47 </w:t>
      </w:r>
      <w:proofErr w:type="spellStart"/>
      <w:r>
        <w:rPr>
          <w:rFonts w:ascii="Arial" w:hAnsi="Arial" w:cs="Arial"/>
          <w:lang w:val="en-US"/>
        </w:rPr>
        <w:t>kDa</w:t>
      </w:r>
      <w:proofErr w:type="spellEnd"/>
      <w:r>
        <w:rPr>
          <w:rFonts w:ascii="Arial" w:hAnsi="Arial" w:cs="Arial"/>
          <w:lang w:val="en-US"/>
        </w:rPr>
        <w:t xml:space="preserve"> (1), a serum from a patient with primary biliary cholangitis with antimitochondrial antibodies directed to two antigens at 70 and 45 </w:t>
      </w:r>
      <w:proofErr w:type="spellStart"/>
      <w:r>
        <w:rPr>
          <w:rFonts w:ascii="Arial" w:hAnsi="Arial" w:cs="Arial"/>
          <w:lang w:val="en-US"/>
        </w:rPr>
        <w:t>kDa</w:t>
      </w:r>
      <w:proofErr w:type="spellEnd"/>
      <w:r>
        <w:rPr>
          <w:rFonts w:ascii="Arial" w:hAnsi="Arial" w:cs="Arial"/>
          <w:lang w:val="en-US"/>
        </w:rPr>
        <w:t xml:space="preserve"> of the pyruvate dehydrogenase complex (2), a serum from a patient with sys</w:t>
      </w:r>
      <w:r>
        <w:rPr>
          <w:rFonts w:ascii="Arial" w:hAnsi="Arial" w:cs="Arial"/>
          <w:lang w:val="en-US"/>
        </w:rPr>
        <w:softHyphen/>
        <w:t xml:space="preserve">temic sclerosis with anti-Scl70 antibodies reacting with topoisomerase I at 100 </w:t>
      </w:r>
      <w:proofErr w:type="spellStart"/>
      <w:r>
        <w:rPr>
          <w:rFonts w:ascii="Arial" w:hAnsi="Arial" w:cs="Arial"/>
          <w:lang w:val="en-US"/>
        </w:rPr>
        <w:t>kDa</w:t>
      </w:r>
      <w:proofErr w:type="spellEnd"/>
      <w:r>
        <w:rPr>
          <w:rFonts w:ascii="Arial" w:hAnsi="Arial" w:cs="Arial"/>
          <w:lang w:val="en-US"/>
        </w:rPr>
        <w:t xml:space="preserve"> (3), a se</w:t>
      </w:r>
      <w:r>
        <w:rPr>
          <w:rFonts w:ascii="Arial" w:hAnsi="Arial" w:cs="Arial"/>
          <w:lang w:val="en-US"/>
        </w:rPr>
        <w:softHyphen/>
        <w:t>rum from a patient with mixed connective tissue disease reacting with  reacting with snRNP68 (4) and a normal serum from a healthy donor (5).</w:t>
      </w: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Figure S2</w:t>
      </w:r>
    </w:p>
    <w:p>
      <w:pPr>
        <w:spacing w:line="480" w:lineRule="auto"/>
        <w:jc w:val="both"/>
        <w:rPr>
          <w:rFonts w:ascii="Arial" w:hAnsi="Arial" w:cs="Arial"/>
          <w:b/>
          <w:lang w:val="en-US"/>
        </w:rPr>
      </w:pPr>
      <w:r>
        <w:object w:dxaOrig="12917" w:dyaOrig="5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89.75pt" o:ole="">
            <v:imagedata r:id="rId10" o:title=""/>
          </v:shape>
          <o:OLEObject Type="Embed" ProgID="Prism9.Document" ShapeID="_x0000_i1025" DrawAspect="Content" ObjectID="_1697835570" r:id="rId11"/>
        </w:object>
      </w:r>
      <w:r>
        <w:rPr>
          <w:rFonts w:ascii="Arial" w:hAnsi="Arial" w:cs="Arial"/>
          <w:b/>
          <w:lang w:val="en-US"/>
        </w:rPr>
        <w:t xml:space="preserve"> Figure S2 </w:t>
      </w:r>
      <w:r>
        <w:rPr>
          <w:rFonts w:ascii="Arial" w:hAnsi="Arial" w:cs="Arial"/>
          <w:bCs/>
          <w:lang w:val="en-US"/>
        </w:rPr>
        <w:t>Inhibition of the AT</w:t>
      </w:r>
      <w:r>
        <w:rPr>
          <w:rFonts w:ascii="Arial" w:hAnsi="Arial" w:cs="Arial"/>
          <w:bCs/>
          <w:vertAlign w:val="subscript"/>
          <w:lang w:val="en-US"/>
        </w:rPr>
        <w:t>1</w:t>
      </w:r>
      <w:r>
        <w:rPr>
          <w:rFonts w:ascii="Arial" w:hAnsi="Arial" w:cs="Arial"/>
          <w:bCs/>
          <w:lang w:val="en-US"/>
        </w:rPr>
        <w:t>R expressed by CHO-cells transfected with this receptor and Huh7-cells expressing this receptor constitutively by the specific AT</w:t>
      </w:r>
      <w:r>
        <w:rPr>
          <w:rFonts w:ascii="Arial" w:hAnsi="Arial" w:cs="Arial"/>
          <w:bCs/>
          <w:vertAlign w:val="subscript"/>
          <w:lang w:val="en-US"/>
        </w:rPr>
        <w:t>1</w:t>
      </w:r>
      <w:r>
        <w:rPr>
          <w:rFonts w:ascii="Arial" w:hAnsi="Arial" w:cs="Arial"/>
          <w:bCs/>
          <w:lang w:val="en-US"/>
        </w:rPr>
        <w:t xml:space="preserve">R-antagonist losartan in different concentrations measured in the luminometric assay. Results are given as percent of untreated cells. 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>Mean and standard deviation of fourfold determination are given.</w:t>
      </w: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line="480" w:lineRule="auto"/>
        <w:rPr>
          <w:lang w:val="en-US"/>
        </w:rPr>
      </w:pPr>
    </w:p>
    <w:p>
      <w:pPr>
        <w:spacing w:line="480" w:lineRule="auto"/>
        <w:jc w:val="both"/>
        <w:rPr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rPr>
          <w:rFonts w:ascii="Arial" w:hAnsi="Arial" w:cs="Arial"/>
          <w:b/>
          <w:sz w:val="24"/>
          <w:szCs w:val="24"/>
          <w:lang w:val="en-US"/>
        </w:rPr>
      </w:pPr>
    </w:p>
    <w:p>
      <w:pPr>
        <w:rPr>
          <w:rFonts w:ascii="Arial" w:hAnsi="Arial" w:cs="Arial"/>
          <w:b/>
          <w:sz w:val="24"/>
          <w:szCs w:val="24"/>
          <w:lang w:val="en-US"/>
        </w:rPr>
      </w:pPr>
    </w:p>
    <w:p>
      <w:pPr>
        <w:rPr>
          <w:rFonts w:ascii="Arial" w:hAnsi="Arial" w:cs="Arial"/>
          <w:b/>
          <w:sz w:val="24"/>
          <w:szCs w:val="24"/>
          <w:lang w:val="en-US"/>
        </w:rPr>
      </w:pPr>
    </w:p>
    <w:p>
      <w:pPr>
        <w:rPr>
          <w:rFonts w:ascii="Arial" w:hAnsi="Arial" w:cs="Arial"/>
          <w:b/>
          <w:sz w:val="24"/>
          <w:szCs w:val="24"/>
          <w:lang w:val="en-US"/>
        </w:rPr>
      </w:pPr>
    </w:p>
    <w:p>
      <w:pPr>
        <w:rPr>
          <w:rFonts w:ascii="Arial" w:hAnsi="Arial" w:cs="Arial"/>
          <w:b/>
          <w:sz w:val="24"/>
          <w:szCs w:val="24"/>
          <w:lang w:val="en-US"/>
        </w:rPr>
      </w:pPr>
    </w:p>
    <w:p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Figure S3</w:t>
      </w:r>
    </w:p>
    <w:p>
      <w:pPr>
        <w:rPr>
          <w:rFonts w:ascii="Arial" w:hAnsi="Arial" w:cs="Arial"/>
          <w:b/>
          <w:sz w:val="24"/>
          <w:szCs w:val="24"/>
          <w:lang w:val="en-US"/>
        </w:rPr>
      </w:pPr>
      <w:r>
        <w:object w:dxaOrig="14580" w:dyaOrig="10649">
          <v:shape id="_x0000_i1026" type="#_x0000_t75" style="width:453.75pt;height:331.5pt" o:ole="">
            <v:imagedata r:id="rId12" o:title=""/>
          </v:shape>
          <o:OLEObject Type="Embed" ProgID="Prism9.Document" ShapeID="_x0000_i1026" DrawAspect="Content" ObjectID="_1697835571" r:id="rId13"/>
        </w:object>
      </w:r>
    </w:p>
    <w:p>
      <w:pPr>
        <w:rPr>
          <w:rFonts w:ascii="Arial" w:hAnsi="Arial" w:cs="Arial"/>
          <w:b/>
          <w:sz w:val="24"/>
          <w:szCs w:val="24"/>
          <w:lang w:val="en-US"/>
        </w:rPr>
      </w:pPr>
    </w:p>
    <w:p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bCs/>
          <w:lang w:val="en-US"/>
        </w:rPr>
        <w:t>Figure S3</w:t>
      </w:r>
      <w:r>
        <w:rPr>
          <w:rFonts w:ascii="Arial" w:hAnsi="Arial" w:cs="Arial"/>
          <w:lang w:val="en-US"/>
        </w:rPr>
        <w:t>: Correlation between the mRSS and reactivity of functionally active antibodies to the AT1R (a), and of antibodies to AT</w:t>
      </w:r>
      <w:r>
        <w:rPr>
          <w:rFonts w:ascii="Arial" w:hAnsi="Arial" w:cs="Arial"/>
          <w:vertAlign w:val="subscript"/>
          <w:lang w:val="en-US"/>
        </w:rPr>
        <w:t>1</w:t>
      </w:r>
      <w:r>
        <w:rPr>
          <w:rFonts w:ascii="Arial" w:hAnsi="Arial" w:cs="Arial"/>
          <w:lang w:val="en-US"/>
        </w:rPr>
        <w:t>R (b), ET</w:t>
      </w:r>
      <w:r>
        <w:rPr>
          <w:rFonts w:ascii="Arial" w:hAnsi="Arial" w:cs="Arial"/>
          <w:vertAlign w:val="subscript"/>
          <w:lang w:val="en-US"/>
        </w:rPr>
        <w:t>A</w:t>
      </w:r>
      <w:r>
        <w:rPr>
          <w:rFonts w:ascii="Arial" w:hAnsi="Arial" w:cs="Arial"/>
          <w:lang w:val="en-US"/>
        </w:rPr>
        <w:t xml:space="preserve">1 (c) and topo I (d) measured by ELISA </w:t>
      </w:r>
    </w:p>
    <w:p>
      <w:pPr>
        <w:rPr>
          <w:rFonts w:ascii="Arial" w:hAnsi="Arial" w:cs="Arial"/>
          <w:b/>
          <w:sz w:val="24"/>
          <w:szCs w:val="24"/>
          <w:lang w:val="en-US"/>
        </w:rPr>
      </w:pPr>
    </w:p>
    <w:p>
      <w:pPr>
        <w:rPr>
          <w:rFonts w:ascii="Arial" w:hAnsi="Arial" w:cs="Arial"/>
          <w:b/>
          <w:sz w:val="24"/>
          <w:szCs w:val="24"/>
          <w:lang w:val="en-US"/>
        </w:rPr>
      </w:pPr>
    </w:p>
    <w:p>
      <w:pPr>
        <w:rPr>
          <w:rFonts w:ascii="Arial" w:hAnsi="Arial" w:cs="Arial"/>
          <w:b/>
          <w:sz w:val="24"/>
          <w:szCs w:val="24"/>
          <w:lang w:val="en-US"/>
        </w:rPr>
      </w:pPr>
    </w:p>
    <w:p>
      <w:pPr>
        <w:rPr>
          <w:rFonts w:ascii="Arial" w:hAnsi="Arial" w:cs="Arial"/>
          <w:b/>
          <w:sz w:val="24"/>
          <w:szCs w:val="24"/>
          <w:lang w:val="en-US"/>
        </w:rPr>
      </w:pPr>
      <w:bookmarkStart w:id="1" w:name="_Hlk86676049"/>
    </w:p>
    <w:p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bookmarkEnd w:id="1"/>
    <w:p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pStyle w:val="Listenabsatz"/>
        <w:spacing w:before="120" w:after="0" w:line="480" w:lineRule="auto"/>
        <w:ind w:left="0"/>
        <w:jc w:val="both"/>
        <w:rPr>
          <w:rFonts w:ascii="Arial" w:hAnsi="Arial" w:cs="Arial"/>
          <w:b/>
          <w:bCs/>
          <w:lang w:val="en-US"/>
        </w:rPr>
      </w:pPr>
    </w:p>
    <w:p>
      <w:pPr>
        <w:spacing w:line="480" w:lineRule="auto"/>
        <w:jc w:val="both"/>
        <w:rPr>
          <w:rFonts w:ascii="Arial" w:hAnsi="Arial" w:cs="Arial"/>
          <w:lang w:val="en-US"/>
        </w:rPr>
      </w:pPr>
    </w:p>
    <w:p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ascii="Arial" w:hAnsi="Arial" w:cs="Arial"/>
          <w:b/>
          <w:sz w:val="24"/>
          <w:szCs w:val="24"/>
          <w:lang w:val="en-US"/>
        </w:rPr>
      </w:pPr>
    </w:p>
    <w:sectPr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1925117"/>
      <w:docPartObj>
        <w:docPartGallery w:val="Page Numbers (Bottom of Page)"/>
        <w:docPartUnique/>
      </w:docPartObj>
    </w:sdtPr>
    <w:sdtContent>
      <w:p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7B18"/>
    <w:multiLevelType w:val="hybridMultilevel"/>
    <w:tmpl w:val="0318E77A"/>
    <w:lvl w:ilvl="0" w:tplc="A78C2F2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41649"/>
    <w:multiLevelType w:val="hybridMultilevel"/>
    <w:tmpl w:val="AFCCBAC0"/>
    <w:lvl w:ilvl="0" w:tplc="D5F6C010">
      <w:start w:val="26"/>
      <w:numFmt w:val="bullet"/>
      <w:lvlText w:val="−"/>
      <w:lvlJc w:val="left"/>
      <w:pPr>
        <w:ind w:left="644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s00ztp0o5wfsxe2velv5pfb0vwazp0w9rvt&quot;&gt;functional antibodies PSS-Converted&lt;record-ids&gt;&lt;item&gt;4&lt;/item&gt;&lt;item&gt;89&lt;/item&gt;&lt;/record-ids&gt;&lt;/item&gt;&lt;/Libraries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456D714-2CBD-4789-973E-82ECC5E6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EndNoteBibliographyTitle">
    <w:name w:val="EndNote Bibliography Title"/>
    <w:basedOn w:val="Standard"/>
    <w:link w:val="EndNoteBibliographyTitleZchn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1046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Tübingen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Reinhild Klein</dc:creator>
  <cp:lastModifiedBy>Dr. Reinhild Klein</cp:lastModifiedBy>
  <cp:revision>4</cp:revision>
  <cp:lastPrinted>2021-09-06T10:48:00Z</cp:lastPrinted>
  <dcterms:created xsi:type="dcterms:W3CDTF">2021-11-01T15:36:00Z</dcterms:created>
  <dcterms:modified xsi:type="dcterms:W3CDTF">2021-11-07T23:12:00Z</dcterms:modified>
</cp:coreProperties>
</file>