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20" w:beforeAutospacing="0" w:after="240" w:afterAutospacing="0" w:line="240" w:lineRule="auto"/>
        <w:ind w:left="0" w:right="0"/>
        <w:jc w:val="both"/>
        <w:rPr>
          <w:rFonts w:hint="default" w:ascii="Times New Roman" w:hAnsi="Times New Roman" w:eastAsia="Helvetica Neue" w:cs="Times New Roman"/>
          <w:i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bookmarkStart w:id="0" w:name="_GoBack"/>
      <w:r>
        <w:rPr>
          <w:rFonts w:hint="default" w:ascii="Times New Roman" w:hAnsi="Times New Roman" w:eastAsia="Calibri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Supplementary Table 1. Cognitive attributes of reading comprehension</w:t>
      </w:r>
      <w:r>
        <w:rPr>
          <w:rFonts w:hint="default" w:eastAsia="Calibri" w:cs="Times New Roman"/>
          <w:b/>
          <w:bCs/>
          <w:color w:val="auto"/>
          <w:kern w:val="0"/>
          <w:sz w:val="24"/>
          <w:szCs w:val="24"/>
          <w:highlight w:val="none"/>
          <w:lang w:eastAsia="zh-CN" w:bidi="ar"/>
        </w:rPr>
        <w:t>.</w:t>
      </w:r>
    </w:p>
    <w:tbl>
      <w:tblPr>
        <w:tblStyle w:val="5"/>
        <w:tblW w:w="135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5"/>
        <w:gridCol w:w="1124"/>
        <w:gridCol w:w="591"/>
        <w:gridCol w:w="1143"/>
        <w:gridCol w:w="873"/>
        <w:gridCol w:w="1029"/>
        <w:gridCol w:w="1328"/>
        <w:gridCol w:w="1385"/>
        <w:gridCol w:w="1230"/>
        <w:gridCol w:w="1366"/>
        <w:gridCol w:w="1091"/>
        <w:gridCol w:w="1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38" w:hRule="atLeast"/>
          <w:jc w:val="center"/>
        </w:trPr>
        <w:tc>
          <w:tcPr>
            <w:tcW w:w="115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Test</w:t>
            </w:r>
          </w:p>
        </w:tc>
        <w:tc>
          <w:tcPr>
            <w:tcW w:w="1124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Author</w:t>
            </w:r>
          </w:p>
        </w:tc>
        <w:tc>
          <w:tcPr>
            <w:tcW w:w="591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Age</w:t>
            </w:r>
          </w:p>
        </w:tc>
        <w:tc>
          <w:tcPr>
            <w:tcW w:w="1143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Language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Background</w:t>
            </w:r>
          </w:p>
        </w:tc>
        <w:tc>
          <w:tcPr>
            <w:tcW w:w="873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Attribute Number</w:t>
            </w:r>
          </w:p>
        </w:tc>
        <w:tc>
          <w:tcPr>
            <w:tcW w:w="7429" w:type="dxa"/>
            <w:gridSpan w:val="6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Common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A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ttributes</w:t>
            </w:r>
          </w:p>
        </w:tc>
        <w:tc>
          <w:tcPr>
            <w:tcW w:w="127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highlight w:val="none"/>
              </w:rPr>
              <w:t>Specific Attributes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60" w:hRule="atLeast"/>
          <w:jc w:val="center"/>
        </w:trPr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PIRLS</w:t>
            </w:r>
          </w:p>
        </w:tc>
        <w:tc>
          <w:tcPr>
            <w:tcW w:w="112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(Yun, 2017)</w:t>
            </w:r>
          </w:p>
        </w:tc>
        <w:tc>
          <w:tcPr>
            <w:tcW w:w="59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default" w:cs="Times New Roman"/>
                <w:color w:val="auto"/>
                <w:sz w:val="21"/>
                <w:szCs w:val="21"/>
                <w:highlight w:val="none"/>
                <w:lang w:eastAsia="zh-CN"/>
              </w:rPr>
              <w:t xml:space="preserve">rade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Native</w:t>
            </w:r>
          </w:p>
        </w:tc>
        <w:tc>
          <w:tcPr>
            <w:tcW w:w="8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6</w:t>
            </w:r>
          </w:p>
        </w:tc>
        <w:tc>
          <w:tcPr>
            <w:tcW w:w="102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Retrieval</w:t>
            </w:r>
          </w:p>
        </w:tc>
        <w:tc>
          <w:tcPr>
            <w:tcW w:w="13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Inference</w:t>
            </w:r>
          </w:p>
        </w:tc>
        <w:tc>
          <w:tcPr>
            <w:tcW w:w="12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Integration</w:t>
            </w:r>
          </w:p>
        </w:tc>
        <w:tc>
          <w:tcPr>
            <w:tcW w:w="136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Evaluation</w:t>
            </w:r>
          </w:p>
        </w:tc>
        <w:tc>
          <w:tcPr>
            <w:tcW w:w="1091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Constructed response; Expository text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  <w:jc w:val="center"/>
        </w:trPr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PIRLS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(George &amp; Robitzsch, 2021; Toprak-Yildiz, 2021)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default" w:cs="Times New Roman"/>
                <w:color w:val="auto"/>
                <w:sz w:val="21"/>
                <w:szCs w:val="21"/>
                <w:highlight w:val="none"/>
                <w:lang w:eastAsia="zh-CN"/>
              </w:rPr>
              <w:t xml:space="preserve">rade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Native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4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Focus on &amp; retrieve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explicitly stated information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Make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straightforward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inferences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Interpret &amp;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integrate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ideas and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information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Evaluate &amp;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critique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content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and textual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elements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60" w:hRule="atLeast"/>
          <w:jc w:val="center"/>
        </w:trPr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Reading Achievement Measure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(Jang et al., 2015)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default" w:cs="Times New Roman"/>
                <w:color w:val="auto"/>
                <w:sz w:val="21"/>
                <w:szCs w:val="21"/>
                <w:highlight w:val="none"/>
                <w:lang w:eastAsia="zh-CN"/>
              </w:rPr>
              <w:t xml:space="preserve">rade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cs="Times New Roman"/>
                <w:sz w:val="21"/>
                <w:szCs w:val="21"/>
                <w:lang w:eastAsia="zh-CN"/>
              </w:rPr>
              <w:t>–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Diverse backgrounds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6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Processing vocabulary knowledge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Textually explicit comprehension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Textually implicit comprehension; Inferencing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Summarizing main ideas in text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Processing grammatical knowledge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5" w:hRule="atLeast"/>
          <w:jc w:val="center"/>
        </w:trPr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eading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omprehension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ssessment of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odern Chinese 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rose 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(Xie, 2014)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Grade 7-9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Native Chinese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W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ord decoding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nformation extraction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nformation deduce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ontent analysis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ontent generalization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ext evaluation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cs="Times New Roman" w:eastAsiaTheme="minorHAnsi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F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ormal schema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35" w:hRule="atLeast"/>
          <w:jc w:val="center"/>
        </w:trPr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PISA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(Chen &amp; 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de la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Torre, 2014)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default" w:cs="Times New Roman"/>
                <w:color w:val="auto"/>
                <w:sz w:val="21"/>
                <w:szCs w:val="21"/>
                <w:highlight w:val="none"/>
                <w:lang w:eastAsia="zh-CN"/>
              </w:rPr>
              <w:t xml:space="preserve"> y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Native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Locating information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Developing a logical interpretation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Forming a broad general understanding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Evaluating the quality or appropriateness of a text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Evaluating a number-rich text with number sense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20" w:hRule="atLeast"/>
          <w:jc w:val="center"/>
        </w:trPr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PISA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(Chen &amp; Chen, 2016)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default" w:cs="Times New Roman"/>
                <w:color w:val="auto"/>
                <w:sz w:val="21"/>
                <w:szCs w:val="21"/>
                <w:highlight w:val="none"/>
                <w:lang w:eastAsia="zh-CN"/>
              </w:rPr>
              <w:t xml:space="preserve"> y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Native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7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Interpreting 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onceptual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eanings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Identifying 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xplicit 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nformation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Making 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nferences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Generalizing 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ain 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deas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Evaluating and 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ommenting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Understanding 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harts and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raphs;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Expressing in 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w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ritten 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f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orms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95" w:hRule="atLeast"/>
          <w:jc w:val="center"/>
        </w:trPr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he CDSLRCT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(Toprak &amp; Cakir, 2021)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cs="Times New Roman"/>
                <w:sz w:val="21"/>
                <w:szCs w:val="21"/>
                <w:lang w:eastAsia="zh-CN"/>
              </w:rPr>
              <w:t>–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default" w:cs="Times New Roman"/>
                <w:color w:val="auto"/>
                <w:sz w:val="21"/>
                <w:szCs w:val="21"/>
                <w:highlight w:val="none"/>
                <w:lang w:eastAsia="zh-CN"/>
              </w:rPr>
              <w:t xml:space="preserve"> y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EFL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Understanding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explicit information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Inferencing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Using discourse knowledge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Recognizing mood, purpose, attitude, and tone of the author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Using syntax knowledge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  <w:jc w:val="center"/>
        </w:trPr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he INUEE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(Ravand, 2016; Ravand &amp; Robitzsch, 2018)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cs="Times New Roman"/>
                <w:sz w:val="21"/>
                <w:szCs w:val="21"/>
                <w:lang w:eastAsia="zh-CN"/>
              </w:rPr>
              <w:t>–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default" w:cs="Times New Roman"/>
                <w:color w:val="auto"/>
                <w:sz w:val="21"/>
                <w:szCs w:val="21"/>
                <w:highlight w:val="none"/>
                <w:lang w:eastAsia="zh-CN"/>
              </w:rPr>
              <w:t xml:space="preserve"> y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EFL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Vocabulary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Detail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Inference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Main idea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Syntax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  <w:jc w:val="center"/>
        </w:trPr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MELAB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(Sawaki, Kim &amp; Gentile, 2010; Li, 2011; Javidanmehr &amp; Sarab, 2019)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Adults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Diverse backgrounds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5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Vocabulary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Extracting explicit information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Making inferences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Connecting and synthesizing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Syntax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05" w:hRule="atLeast"/>
          <w:jc w:val="center"/>
        </w:trPr>
        <w:tc>
          <w:tcPr>
            <w:tcW w:w="1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MELAB</w:t>
            </w:r>
          </w:p>
        </w:tc>
        <w:tc>
          <w:tcPr>
            <w:tcW w:w="11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(Li &amp; Suen., 2013)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Adults</w:t>
            </w:r>
          </w:p>
        </w:tc>
        <w:tc>
          <w:tcPr>
            <w:tcW w:w="11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EFL</w:t>
            </w:r>
          </w:p>
        </w:tc>
        <w:tc>
          <w:tcPr>
            <w:tcW w:w="8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4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Vocabulary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Extracting explicit information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Connecting and synthesizing</w:t>
            </w:r>
          </w:p>
        </w:tc>
        <w:tc>
          <w:tcPr>
            <w:tcW w:w="13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Syntax</w:t>
            </w: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115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MELAB</w:t>
            </w:r>
          </w:p>
        </w:tc>
        <w:tc>
          <w:tcPr>
            <w:tcW w:w="1124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(Li et al., 2016)</w:t>
            </w:r>
          </w:p>
        </w:tc>
        <w:tc>
          <w:tcPr>
            <w:tcW w:w="59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Adults</w:t>
            </w:r>
          </w:p>
        </w:tc>
        <w:tc>
          <w:tcPr>
            <w:tcW w:w="1143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Diverse backgrounds</w:t>
            </w:r>
          </w:p>
        </w:tc>
        <w:tc>
          <w:tcPr>
            <w:tcW w:w="873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eastAsia="zh-CN"/>
              </w:rPr>
              <w:t>4</w:t>
            </w:r>
          </w:p>
        </w:tc>
        <w:tc>
          <w:tcPr>
            <w:tcW w:w="102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Vocabulary</w:t>
            </w:r>
          </w:p>
        </w:tc>
        <w:tc>
          <w:tcPr>
            <w:tcW w:w="1328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Extracting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explicit information</w:t>
            </w:r>
          </w:p>
        </w:tc>
        <w:tc>
          <w:tcPr>
            <w:tcW w:w="138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Understanding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implicit information</w:t>
            </w:r>
          </w:p>
        </w:tc>
        <w:tc>
          <w:tcPr>
            <w:tcW w:w="123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6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91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Syntax</w:t>
            </w:r>
          </w:p>
        </w:tc>
        <w:tc>
          <w:tcPr>
            <w:tcW w:w="127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beforeAutospacing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120" w:beforeAutospacing="0" w:after="240" w:afterAutospacing="0" w:line="240" w:lineRule="auto"/>
        <w:ind w:left="0" w:right="0"/>
        <w:jc w:val="both"/>
        <w:rPr>
          <w:rFonts w:hint="default" w:eastAsia="Calibri" w:cs="Times New Roman"/>
          <w:b w:val="0"/>
          <w:bCs w:val="0"/>
          <w:szCs w:val="24"/>
          <w:lang w:val="en-US" w:eastAsia="zh-CN" w:bidi="ar"/>
        </w:rPr>
        <w:sectPr>
          <w:pgSz w:w="15840" w:h="12240" w:orient="landscape"/>
          <w:pgMar w:top="1282" w:right="1138" w:bottom="1181" w:left="1138" w:header="283" w:footer="510" w:gutter="0"/>
          <w:lnNumType w:countBy="1" w:restart="continuous"/>
          <w:cols w:space="720" w:num="1"/>
          <w:titlePg/>
          <w:docGrid w:linePitch="360" w:charSpace="0"/>
        </w:sectPr>
      </w:pPr>
      <w:r>
        <w:rPr>
          <w:rFonts w:hint="eastAsia" w:eastAsia="Calibri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Note. </w:t>
      </w:r>
      <w:r>
        <w:rPr>
          <w:rFonts w:hint="eastAsia" w:eastAsia="Calibri" w:cs="Times New Roman"/>
          <w:b w:val="0"/>
          <w:bCs w:val="0"/>
          <w:color w:val="auto"/>
          <w:kern w:val="0"/>
          <w:sz w:val="24"/>
          <w:szCs w:val="24"/>
          <w:highlight w:val="none"/>
          <w:lang w:val="en-US" w:eastAsia="zh-CN" w:bidi="ar"/>
        </w:rPr>
        <w:t>PIRLS:</w:t>
      </w:r>
      <w:r>
        <w:rPr>
          <w:rFonts w:eastAsia="Calibri" w:cs="Times New Roman"/>
          <w:b w:val="0"/>
          <w:bCs w:val="0"/>
          <w:szCs w:val="24"/>
          <w:lang w:eastAsia="zh-CN" w:bidi="ar"/>
        </w:rPr>
        <w:t xml:space="preserve"> the Progress in International Reading Literacy Study</w:t>
      </w:r>
      <w:r>
        <w:rPr>
          <w:rFonts w:hint="eastAsia" w:eastAsia="Calibri" w:cs="Times New Roman"/>
          <w:b w:val="0"/>
          <w:bCs w:val="0"/>
          <w:szCs w:val="24"/>
          <w:lang w:val="en-US" w:eastAsia="zh-CN" w:bidi="ar"/>
        </w:rPr>
        <w:t>; PISA:</w:t>
      </w:r>
      <w:r>
        <w:rPr>
          <w:rFonts w:eastAsia="Calibri" w:cs="Times New Roman"/>
          <w:b w:val="0"/>
          <w:bCs w:val="0"/>
          <w:szCs w:val="24"/>
          <w:lang w:eastAsia="zh-CN" w:bidi="ar"/>
        </w:rPr>
        <w:t xml:space="preserve"> the Programme for International Student Assessment</w:t>
      </w:r>
      <w:r>
        <w:rPr>
          <w:rFonts w:hint="eastAsia" w:eastAsia="Calibri" w:cs="Times New Roman"/>
          <w:b w:val="0"/>
          <w:bCs w:val="0"/>
          <w:szCs w:val="24"/>
          <w:lang w:val="en-US" w:eastAsia="zh-CN" w:bidi="ar"/>
        </w:rPr>
        <w:t xml:space="preserve">; TOEFL: </w:t>
      </w:r>
      <w:r>
        <w:rPr>
          <w:rFonts w:eastAsia="Calibri" w:cs="Times New Roman"/>
          <w:b w:val="0"/>
          <w:bCs w:val="0"/>
          <w:szCs w:val="24"/>
          <w:lang w:eastAsia="zh-CN" w:bidi="ar"/>
        </w:rPr>
        <w:t>the Test of English as a Foreign Language</w:t>
      </w:r>
      <w:r>
        <w:rPr>
          <w:rFonts w:hint="eastAsia" w:eastAsia="Calibri" w:cs="Times New Roman"/>
          <w:b w:val="0"/>
          <w:bCs w:val="0"/>
          <w:szCs w:val="24"/>
          <w:lang w:val="en-US" w:eastAsia="zh-CN" w:bidi="ar"/>
        </w:rPr>
        <w:t>; t</w:t>
      </w:r>
      <w:r>
        <w:rPr>
          <w:rFonts w:hint="default" w:eastAsia="Calibri" w:cs="Times New Roman"/>
          <w:b w:val="0"/>
          <w:bCs w:val="0"/>
          <w:szCs w:val="24"/>
          <w:lang w:val="en-US" w:eastAsia="zh-CN" w:bidi="ar"/>
        </w:rPr>
        <w:t>he CDSLRCT</w:t>
      </w:r>
      <w:r>
        <w:rPr>
          <w:rFonts w:hint="eastAsia" w:eastAsia="Calibri" w:cs="Times New Roman"/>
          <w:b w:val="0"/>
          <w:bCs w:val="0"/>
          <w:szCs w:val="24"/>
          <w:lang w:val="en-US" w:eastAsia="zh-CN" w:bidi="ar"/>
        </w:rPr>
        <w:t xml:space="preserve">: the </w:t>
      </w:r>
      <w:r>
        <w:rPr>
          <w:rFonts w:eastAsia="Calibri" w:cs="Times New Roman"/>
          <w:b w:val="0"/>
          <w:bCs w:val="0"/>
          <w:szCs w:val="24"/>
          <w:lang w:eastAsia="zh-CN" w:bidi="ar"/>
        </w:rPr>
        <w:t>Cognitive Diagnostic Second Language Reading Comprehension Test</w:t>
      </w:r>
      <w:r>
        <w:rPr>
          <w:rFonts w:hint="eastAsia" w:eastAsia="Calibri" w:cs="Times New Roman"/>
          <w:b w:val="0"/>
          <w:bCs w:val="0"/>
          <w:szCs w:val="24"/>
          <w:lang w:val="en-US" w:eastAsia="zh-CN" w:bidi="ar"/>
        </w:rPr>
        <w:t>; MELAB:</w:t>
      </w:r>
      <w:r>
        <w:rPr>
          <w:rFonts w:eastAsia="Calibri" w:cs="Times New Roman"/>
          <w:b w:val="0"/>
          <w:bCs w:val="0"/>
          <w:szCs w:val="24"/>
          <w:lang w:eastAsia="zh-CN" w:bidi="ar"/>
        </w:rPr>
        <w:t xml:space="preserve"> the Michigan English Language Assessment Battery</w:t>
      </w:r>
      <w:r>
        <w:rPr>
          <w:rFonts w:hint="eastAsia" w:eastAsia="Calibri" w:cs="Times New Roman"/>
          <w:b w:val="0"/>
          <w:bCs w:val="0"/>
          <w:szCs w:val="24"/>
          <w:lang w:val="en-US" w:eastAsia="zh-CN" w:bidi="ar"/>
        </w:rPr>
        <w:t>; the INUEE:</w:t>
      </w:r>
      <w:r>
        <w:rPr>
          <w:rFonts w:eastAsia="Calibri" w:cs="Times New Roman"/>
          <w:b w:val="0"/>
          <w:bCs w:val="0"/>
          <w:szCs w:val="24"/>
          <w:lang w:eastAsia="zh-CN" w:bidi="ar"/>
        </w:rPr>
        <w:t xml:space="preserve"> the Iranian National University Entrance Examination</w:t>
      </w:r>
      <w:r>
        <w:rPr>
          <w:rFonts w:hint="default" w:eastAsia="Calibri" w:cs="Times New Roman"/>
          <w:b w:val="0"/>
          <w:bCs w:val="0"/>
          <w:szCs w:val="24"/>
          <w:lang w:eastAsia="zh-CN" w:bidi="ar"/>
        </w:rPr>
        <w:t>.</w:t>
      </w:r>
    </w:p>
    <w:p>
      <w:pPr>
        <w:jc w:val="both"/>
        <w:rPr>
          <w:rFonts w:hint="default" w:ascii="Times New Roman" w:hAnsi="Times New Roman" w:eastAsia="Calibri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" w:hAnsi="Times New Roman" w:eastAsia="Calibri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Supplementary Table </w:t>
      </w:r>
      <w:r>
        <w:rPr>
          <w:rFonts w:hint="eastAsia" w:ascii="Times New Roman" w:hAnsi="Times New Roman" w:eastAsia="Calibri" w:cs="Times New Roman"/>
          <w:b/>
          <w:bCs/>
          <w:color w:val="auto"/>
          <w:kern w:val="0"/>
          <w:sz w:val="24"/>
          <w:szCs w:val="24"/>
          <w:highlight w:val="none"/>
          <w:lang w:val="en-US" w:eastAsia="zh-CN" w:bidi="ar"/>
        </w:rPr>
        <w:t>2. The characteristics of the short texts in each booklet.</w:t>
      </w:r>
    </w:p>
    <w:tbl>
      <w:tblPr>
        <w:tblStyle w:val="5"/>
        <w:tblW w:w="4995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2549"/>
        <w:gridCol w:w="1948"/>
        <w:gridCol w:w="1403"/>
        <w:gridCol w:w="3074"/>
        <w:gridCol w:w="3552"/>
      </w:tblGrid>
      <w:tr>
        <w:tblPrEx>
          <w:shd w:val="clear" w:color="auto" w:fill="auto"/>
        </w:tblPrEx>
        <w:trPr>
          <w:trHeight w:val="397" w:hRule="atLeast"/>
        </w:trPr>
        <w:tc>
          <w:tcPr>
            <w:tcW w:w="516" w:type="pc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Booklet</w:t>
            </w:r>
          </w:p>
        </w:tc>
        <w:tc>
          <w:tcPr>
            <w:tcW w:w="912" w:type="pc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Text Difficulty</w:t>
            </w:r>
          </w:p>
        </w:tc>
        <w:tc>
          <w:tcPr>
            <w:tcW w:w="697" w:type="pc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Text length</w:t>
            </w:r>
          </w:p>
        </w:tc>
        <w:tc>
          <w:tcPr>
            <w:tcW w:w="502" w:type="pc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Tokens</w:t>
            </w:r>
          </w:p>
        </w:tc>
        <w:tc>
          <w:tcPr>
            <w:tcW w:w="1100" w:type="pc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Lexical Difficulty</w:t>
            </w:r>
          </w:p>
        </w:tc>
        <w:tc>
          <w:tcPr>
            <w:tcW w:w="1271" w:type="pct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Function Word Ratio</w:t>
            </w:r>
          </w:p>
        </w:tc>
      </w:tr>
      <w:tr>
        <w:tblPrEx>
          <w:shd w:val="clear" w:color="auto" w:fill="auto"/>
        </w:tblPrEx>
        <w:trPr>
          <w:trHeight w:val="397" w:hRule="atLeast"/>
        </w:trPr>
        <w:tc>
          <w:tcPr>
            <w:tcW w:w="51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KS1</w:t>
            </w:r>
          </w:p>
        </w:tc>
        <w:tc>
          <w:tcPr>
            <w:tcW w:w="91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3.38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150.60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81.20</w:t>
            </w:r>
          </w:p>
        </w:tc>
        <w:tc>
          <w:tcPr>
            <w:tcW w:w="110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2.60</w:t>
            </w:r>
          </w:p>
        </w:tc>
        <w:tc>
          <w:tcPr>
            <w:tcW w:w="1271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25.0%</w:t>
            </w:r>
          </w:p>
        </w:tc>
      </w:tr>
      <w:tr>
        <w:tblPrEx>
          <w:shd w:val="clear" w:color="auto" w:fill="auto"/>
        </w:tblPrEx>
        <w:trPr>
          <w:trHeight w:val="397" w:hRule="atLeast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KS2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3.69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156.87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86.53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3.08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22.4%</w:t>
            </w:r>
          </w:p>
        </w:tc>
      </w:tr>
      <w:tr>
        <w:tblPrEx>
          <w:shd w:val="clear" w:color="auto" w:fill="auto"/>
        </w:tblPrEx>
        <w:trPr>
          <w:trHeight w:val="397" w:hRule="atLeast"/>
        </w:trPr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KS3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4.40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278.57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131.93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3.03</w:t>
            </w:r>
          </w:p>
        </w:tc>
        <w:tc>
          <w:tcPr>
            <w:tcW w:w="1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25.7%</w:t>
            </w:r>
          </w:p>
        </w:tc>
      </w:tr>
      <w:tr>
        <w:tblPrEx>
          <w:shd w:val="clear" w:color="auto" w:fill="auto"/>
        </w:tblPrEx>
        <w:trPr>
          <w:trHeight w:val="397" w:hRule="atLeast"/>
        </w:trPr>
        <w:tc>
          <w:tcPr>
            <w:tcW w:w="516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Average</w:t>
            </w:r>
          </w:p>
        </w:tc>
        <w:tc>
          <w:tcPr>
            <w:tcW w:w="912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3.81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193.45</w:t>
            </w:r>
          </w:p>
        </w:tc>
        <w:tc>
          <w:tcPr>
            <w:tcW w:w="502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99.16</w:t>
            </w:r>
          </w:p>
        </w:tc>
        <w:tc>
          <w:tcPr>
            <w:tcW w:w="1100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2.90</w:t>
            </w:r>
          </w:p>
        </w:tc>
        <w:tc>
          <w:tcPr>
            <w:tcW w:w="1271" w:type="pct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spacing w:before="0" w:after="0"/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24.4%</w:t>
            </w:r>
          </w:p>
        </w:tc>
      </w:tr>
    </w:tbl>
    <w:p>
      <w:pPr>
        <w:jc w:val="both"/>
        <w:rPr>
          <w:rFonts w:cs="Times New Roman"/>
          <w:i w:val="0"/>
          <w:iCs w:val="0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sz w:val="24"/>
          <w:szCs w:val="24"/>
          <w:lang w:val="en-US" w:eastAsia="zh-CN" w:bidi="ar"/>
        </w:rPr>
        <w:t xml:space="preserve">Note. The text characteristics were calculated with the </w:t>
      </w:r>
      <w:r>
        <w:rPr>
          <w:rFonts w:hint="default" w:ascii="Times New Roman" w:hAnsi="Times New Roman" w:cs="Times New Roman" w:eastAsiaTheme="minorEastAsia"/>
          <w:i w:val="0"/>
          <w:iCs w:val="0"/>
          <w:sz w:val="24"/>
          <w:szCs w:val="24"/>
          <w:lang w:val="en-US" w:eastAsia="zh-Hans" w:bidi="ar"/>
        </w:rPr>
        <w:t>Chinese readability formu</w:t>
      </w:r>
      <w:r>
        <w:rPr>
          <w:rFonts w:hint="eastAsia" w:ascii="Times New Roman" w:hAnsi="Times New Roman" w:cs="Times New Roman" w:eastAsiaTheme="minorHAnsi"/>
          <w:i w:val="0"/>
          <w:iCs w:val="0"/>
          <w:sz w:val="24"/>
          <w:szCs w:val="24"/>
          <w:lang w:val="en-US" w:eastAsia="zh-CN" w:bidi="ar"/>
        </w:rPr>
        <w:t>la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 w:bidi="ar"/>
        </w:rPr>
        <w:t>, which</w:t>
      </w:r>
      <w:r>
        <w:rPr>
          <w:rFonts w:hint="eastAsia" w:ascii="Times New Roman" w:hAnsi="Times New Roman" w:cs="Times New Roman" w:eastAsiaTheme="minorHAnsi"/>
          <w:b w:val="0"/>
          <w:bCs w:val="0"/>
          <w:i w:val="0"/>
          <w:iCs w:val="0"/>
          <w:kern w:val="0"/>
          <w:sz w:val="24"/>
          <w:szCs w:val="24"/>
          <w:shd w:val="clear"/>
          <w:lang w:val="en-US" w:eastAsia="zh-CN" w:bidi="ar"/>
        </w:rPr>
        <w:t xml:space="preserve"> </w:t>
      </w:r>
      <w:r>
        <w:rPr>
          <w:rFonts w:hint="eastAsia" w:ascii="Times New Roman" w:hAnsi="Times New Roman" w:cs="Times New Roman" w:eastAsiaTheme="minorHAnsi"/>
          <w:b w:val="0"/>
          <w:bCs w:val="0"/>
          <w:i w:val="0"/>
          <w:iCs w:val="0"/>
          <w:kern w:val="0"/>
          <w:sz w:val="24"/>
          <w:szCs w:val="24"/>
          <w:shd w:val="clear"/>
          <w:lang w:val="en-US" w:eastAsia="zh-Hans" w:bidi="ar"/>
        </w:rPr>
        <w:t>was developed to link the average reading ability of primary students and the text difficulty levels of recommended reading materials for independent reading</w:t>
      </w:r>
      <w:r>
        <w:rPr>
          <w:rFonts w:hint="default" w:ascii="Times New Roman" w:hAnsi="Times New Roman" w:cs="Times New Roman" w:eastAsiaTheme="minorHAnsi"/>
          <w:b w:val="0"/>
          <w:bCs w:val="0"/>
          <w:i w:val="0"/>
          <w:iCs w:val="0"/>
          <w:kern w:val="0"/>
          <w:sz w:val="24"/>
          <w:szCs w:val="24"/>
          <w:shd w:val="clear"/>
          <w:lang w:val="en-US" w:eastAsia="zh-Hans" w:bidi="ar"/>
        </w:rPr>
        <w:t xml:space="preserve"> </w:t>
      </w:r>
      <w:r>
        <w:rPr>
          <w:rFonts w:hint="eastAsia" w:ascii="Times New Roman" w:hAnsi="Times New Roman" w:cs="Times New Roman" w:eastAsiaTheme="minorHAnsi"/>
          <w:i w:val="0"/>
          <w:iCs w:val="0"/>
          <w:sz w:val="24"/>
          <w:szCs w:val="24"/>
          <w:lang w:val="en-US" w:eastAsia="zh-Hans" w:bidi="ar"/>
        </w:rPr>
        <w:t>(</w:t>
      </w:r>
      <w:r>
        <w:rPr>
          <w:rFonts w:hint="default" w:ascii="Times New Roman" w:hAnsi="Times New Roman" w:cs="Times New Roman" w:eastAsiaTheme="minorEastAsia"/>
          <w:i w:val="0"/>
          <w:iCs w:val="0"/>
          <w:sz w:val="24"/>
          <w:szCs w:val="24"/>
          <w:lang w:val="en-US" w:eastAsia="zh-Hans" w:bidi="ar"/>
        </w:rPr>
        <w:t xml:space="preserve">Liu, Li, Wang, Gan &amp; Li, 2021). 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kern w:val="0"/>
          <w:sz w:val="24"/>
          <w:szCs w:val="24"/>
          <w:shd w:val="clear"/>
          <w:lang w:val="en-US" w:eastAsia="zh-Hans" w:bidi="ar"/>
        </w:rPr>
        <w:t>The text difficulty value ranges from 1 to 12, indicating the semester level of the recommended books or textbook materials that most students of that semester can read fluently.</w:t>
      </w:r>
      <w:r>
        <w:rPr>
          <w:rFonts w:hint="default" w:ascii="Times New Roman" w:hAnsi="Times New Roman" w:cs="Times New Roman" w:eastAsiaTheme="minorEastAsia"/>
          <w:i w:val="0"/>
          <w:iCs w:val="0"/>
          <w:sz w:val="24"/>
          <w:szCs w:val="24"/>
          <w:lang w:val="en-US" w:eastAsia="zh-Hans" w:bidi="ar"/>
        </w:rPr>
        <w:t xml:space="preserve"> 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 w:bidi="ar"/>
        </w:rPr>
        <w:t>The text difficulty value = -2.44 + 0.01 × tokens +1.03 × lexical difficulty + 9.32 × function word ratio. Tokens represent the type of Chinese characters in each text. Lexical difficulty reflects the average occurring levels of the non-repeated Chinese words in each text. In Chinese language, function words express the grammatical relationships of texts and have little semantic content of its own. The function word ratio is</w:t>
      </w:r>
      <w:r>
        <w:rPr>
          <w:rFonts w:hint="eastAsia" w:cs="Times New Roman"/>
          <w:i w:val="0"/>
          <w:iCs w:val="0"/>
          <w:sz w:val="24"/>
          <w:szCs w:val="24"/>
          <w:lang w:val="en-US" w:eastAsia="zh-CN" w:bidi="ar"/>
        </w:rPr>
        <w:t xml:space="preserve"> considered</w:t>
      </w:r>
      <w:r>
        <w:rPr>
          <w:rFonts w:hint="eastAsia" w:ascii="Times New Roman" w:hAnsi="Times New Roman" w:cs="Times New Roman"/>
          <w:i w:val="0"/>
          <w:iCs w:val="0"/>
          <w:sz w:val="24"/>
          <w:szCs w:val="24"/>
          <w:lang w:val="en-US" w:eastAsia="zh-CN" w:bidi="ar"/>
        </w:rPr>
        <w:t xml:space="preserve"> a proxy for sentence complexity, which is represented by the sum percentage of prepositions, conjunctions, modal particles, auxiliary words, adverbs and locatives in each text.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Lantinghei TC Extralight">
    <w:altName w:val="苹方-简"/>
    <w:panose1 w:val="03000509000000000000"/>
    <w:charset w:val="88"/>
    <w:family w:val="auto"/>
    <w:pitch w:val="default"/>
    <w:sig w:usb0="00000000" w:usb1="00000000" w:usb2="00000000" w:usb3="00000000" w:csb0="001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antinghei SC Extralight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antinghei SC Demibold">
    <w:altName w:val="冬青黑体简体中文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苹方-简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PMingLiU">
    <w:altName w:val="宋体-繁"/>
    <w:panose1 w:val="02020500000000000000"/>
    <w:charset w:val="00"/>
    <w:family w:val="roman"/>
    <w:pitch w:val="default"/>
    <w:sig w:usb0="00000000" w:usb1="00000000" w:usb2="00000016" w:usb3="00000000" w:csb0="0010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Georgia">
    <w:panose1 w:val="02040802050405020203"/>
    <w:charset w:val="00"/>
    <w:family w:val="roman"/>
    <w:pitch w:val="default"/>
    <w:sig w:usb0="00000287" w:usb1="00000000" w:usb2="00000000" w:usb3="00000000" w:csb0="2000009F" w:csb1="00000000"/>
  </w:font>
  <w:font w:name="Segoe UI Symbol">
    <w:altName w:val="苹方-简"/>
    <w:panose1 w:val="020B0502040204020203"/>
    <w:charset w:val="00"/>
    <w:family w:val="swiss"/>
    <w:pitch w:val="default"/>
    <w:sig w:usb0="00000000" w:usb1="00000000" w:usb2="0064C000" w:usb3="00000000" w:csb0="0000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">
    <w:altName w:val="宋体-繁"/>
    <w:panose1 w:val="02020509000000000000"/>
    <w:charset w:val="00"/>
    <w:family w:val="modern"/>
    <w:pitch w:val="default"/>
    <w:sig w:usb0="00000000" w:usb1="00000000" w:usb2="00000016" w:usb3="00000000" w:csb0="00100001" w:csb1="00000000"/>
  </w:font>
  <w:font w:name="华文仿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粗圆简体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Batang">
    <w:altName w:val="Apple SD Gothic Neo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ymbols">
    <w:panose1 w:val="02000000000000000000"/>
    <w:charset w:val="00"/>
    <w:family w:val="auto"/>
    <w:pitch w:val="default"/>
    <w:sig w:usb0="800000A3" w:usb1="08007BEB" w:usb2="01840034" w:usb3="0000A268" w:csb0="200001FB" w:csb1="DDFF0000"/>
  </w:font>
  <w:font w:name="TimesNewRomanPSMT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Myriad Pro">
    <w:altName w:val="苹方-简"/>
    <w:panose1 w:val="00000000000000000000"/>
    <w:charset w:val="00"/>
    <w:family w:val="swiss"/>
    <w:pitch w:val="default"/>
    <w:sig w:usb0="00000000" w:usb1="00000000" w:usb2="00000010" w:usb3="00000000" w:csb0="00040000" w:csb1="00000000"/>
  </w:font>
  <w:font w:name="SimHei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45192"/>
    <w:rsid w:val="03B32DE3"/>
    <w:rsid w:val="04A82DE3"/>
    <w:rsid w:val="051250B8"/>
    <w:rsid w:val="05CB0274"/>
    <w:rsid w:val="1EFF7D0D"/>
    <w:rsid w:val="224A3642"/>
    <w:rsid w:val="3A8C697D"/>
    <w:rsid w:val="3B545192"/>
    <w:rsid w:val="3DD36CD1"/>
    <w:rsid w:val="42007E92"/>
    <w:rsid w:val="4EAB56F6"/>
    <w:rsid w:val="5061079A"/>
    <w:rsid w:val="5EFB0787"/>
    <w:rsid w:val="6BB9A375"/>
    <w:rsid w:val="6C7A5BB4"/>
    <w:rsid w:val="777720E6"/>
    <w:rsid w:val="789E0475"/>
    <w:rsid w:val="7D325C89"/>
    <w:rsid w:val="F7BDD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3">
    <w:name w:val="header"/>
    <w:basedOn w:val="1"/>
    <w:unhideWhenUsed/>
    <w:qFormat/>
    <w:uiPriority w:val="99"/>
    <w:pPr>
      <w:tabs>
        <w:tab w:val="center" w:pos="4844"/>
        <w:tab w:val="right" w:pos="9689"/>
      </w:tabs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2021-09-28T05:22:00Z</dcterms:created>
  <dc:creator>Yan Li</dc:creator>
  <cp:lastModifiedBy>Yan Li</cp:lastModifiedBy>
  <dcterms:modified xsi:type="dcterms:W3CDTF">2021-11-12T21:43:34Z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7AE7ACA5DC1A45EAB153C993A12B49DC</vt:lpwstr>
  </property>
</Properties>
</file>