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8DC2" w14:textId="77777777" w:rsidR="006A2D47" w:rsidRDefault="005B45AB">
      <w:pPr>
        <w:pStyle w:val="SupplementaryMaterial"/>
        <w:rPr>
          <w:b w:val="0"/>
        </w:rPr>
      </w:pPr>
      <w:r>
        <w:t>Supplementary Material</w:t>
      </w:r>
    </w:p>
    <w:p w14:paraId="7DDE22B1" w14:textId="77777777" w:rsidR="006A2D47" w:rsidRDefault="005B45AB">
      <w:pPr>
        <w:pStyle w:val="1"/>
      </w:pPr>
      <w:bookmarkStart w:id="0" w:name="_Hlk83842883"/>
      <w:r>
        <w:t>Supplementary Figures and Tables</w:t>
      </w:r>
    </w:p>
    <w:bookmarkEnd w:id="0"/>
    <w:p w14:paraId="4DE5CAA0" w14:textId="77777777" w:rsidR="006A2D47" w:rsidRDefault="005B45AB">
      <w:pPr>
        <w:pStyle w:val="2"/>
      </w:pPr>
      <w:r>
        <w:t>Supplementary Figures</w:t>
      </w:r>
    </w:p>
    <w:p w14:paraId="039B2C61" w14:textId="77777777" w:rsidR="006A2D47" w:rsidRDefault="006A2D47">
      <w:pPr>
        <w:keepNext/>
        <w:rPr>
          <w:rFonts w:cs="Times New Roman"/>
          <w:szCs w:val="24"/>
        </w:rPr>
      </w:pPr>
    </w:p>
    <w:p w14:paraId="730226F4" w14:textId="77777777" w:rsidR="006A2D47" w:rsidRDefault="005B45AB">
      <w:pPr>
        <w:keepNext/>
        <w:jc w:val="center"/>
        <w:rPr>
          <w:rFonts w:cs="Times New Roman"/>
          <w:szCs w:val="24"/>
        </w:rPr>
      </w:pPr>
      <w:r>
        <w:rPr>
          <w:rFonts w:ascii="等线" w:eastAsia="等线" w:hAnsi="等线" w:cs="Times New Roman"/>
          <w:noProof/>
          <w:kern w:val="2"/>
          <w:sz w:val="21"/>
          <w:lang w:eastAsia="zh-CN"/>
        </w:rPr>
        <w:drawing>
          <wp:inline distT="0" distB="0" distL="0" distR="0" wp14:anchorId="04A8D0E8" wp14:editId="5B63146B">
            <wp:extent cx="5274310" cy="11760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D54CE" w14:textId="22F35DFD" w:rsidR="006A2D47" w:rsidRDefault="005B45AB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Supplemental Figure 1. </w:t>
      </w:r>
      <w:r>
        <w:rPr>
          <w:rFonts w:cs="Times New Roman"/>
          <w:szCs w:val="24"/>
        </w:rPr>
        <w:t xml:space="preserve">Comparison of tracheid morphology between </w:t>
      </w:r>
      <w:r>
        <w:rPr>
          <w:rFonts w:cs="Times New Roman" w:hint="eastAsia"/>
          <w:szCs w:val="24"/>
          <w:lang w:eastAsia="zh-CN"/>
        </w:rPr>
        <w:t>wild</w:t>
      </w:r>
      <w:r w:rsidR="009F4F0B">
        <w:rPr>
          <w:rFonts w:cs="Times New Roman" w:hint="eastAsia"/>
          <w:szCs w:val="24"/>
          <w:lang w:eastAsia="zh-CN"/>
        </w:rPr>
        <w:t>-</w:t>
      </w:r>
      <w:r>
        <w:rPr>
          <w:rFonts w:cs="Times New Roman" w:hint="eastAsia"/>
          <w:szCs w:val="24"/>
          <w:lang w:eastAsia="zh-CN"/>
        </w:rPr>
        <w:t>type</w:t>
      </w:r>
      <w:r>
        <w:rPr>
          <w:rFonts w:cs="Times New Roman"/>
          <w:szCs w:val="24"/>
        </w:rPr>
        <w:t xml:space="preserve"> and mutant</w:t>
      </w:r>
      <w:r>
        <w:rPr>
          <w:rFonts w:cs="Times New Roman" w:hint="eastAsia"/>
          <w:szCs w:val="24"/>
          <w:lang w:eastAsia="zh-CN"/>
        </w:rPr>
        <w:t xml:space="preserve"> plants</w:t>
      </w:r>
      <w:r>
        <w:rPr>
          <w:rFonts w:cs="Times New Roman"/>
          <w:szCs w:val="24"/>
        </w:rPr>
        <w:t xml:space="preserve">. (a) The length of tracheid. (b) The width of tracheid. (c) The length-width ratio of tracheid. The error bars represent standard error. ‘*’ on error bars indicate significant differences at </w:t>
      </w:r>
      <w:r>
        <w:rPr>
          <w:rFonts w:cs="Times New Roman"/>
          <w:i/>
          <w:iCs/>
          <w:szCs w:val="24"/>
        </w:rPr>
        <w:t>p</w:t>
      </w:r>
      <w:r>
        <w:rPr>
          <w:rFonts w:cs="Times New Roman"/>
          <w:szCs w:val="24"/>
        </w:rPr>
        <w:t xml:space="preserve"> &lt; 0.05, ‘**’ on error bars indicate significant differences at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</w:rPr>
        <w:t>p</w:t>
      </w:r>
      <w:r>
        <w:rPr>
          <w:rFonts w:cs="Times New Roman"/>
          <w:szCs w:val="24"/>
        </w:rPr>
        <w:t xml:space="preserve"> &lt; 0.01. </w:t>
      </w:r>
    </w:p>
    <w:p w14:paraId="12CB278C" w14:textId="77777777" w:rsidR="006A2D47" w:rsidRDefault="006A2D47">
      <w:pPr>
        <w:jc w:val="both"/>
        <w:rPr>
          <w:rFonts w:cs="Times New Roman"/>
          <w:szCs w:val="24"/>
        </w:rPr>
      </w:pPr>
    </w:p>
    <w:p w14:paraId="16B8EEFE" w14:textId="77777777" w:rsidR="006A2D47" w:rsidRDefault="005B45AB">
      <w:pPr>
        <w:spacing w:before="240"/>
        <w:ind w:firstLineChars="550" w:firstLine="1155"/>
      </w:pPr>
      <w:r>
        <w:rPr>
          <w:rFonts w:ascii="等线" w:eastAsia="等线" w:hAnsi="等线" w:cs="Times New Roman"/>
          <w:noProof/>
          <w:kern w:val="2"/>
          <w:sz w:val="21"/>
          <w:lang w:eastAsia="zh-CN"/>
        </w:rPr>
        <w:drawing>
          <wp:inline distT="0" distB="0" distL="0" distR="0" wp14:anchorId="0313394C" wp14:editId="1389C5B8">
            <wp:extent cx="4763770" cy="29648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7464" cy="296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448A" w14:textId="6D697418" w:rsidR="006A2D47" w:rsidRDefault="005B45AB">
      <w:pPr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Supplemental Figure 2. </w:t>
      </w:r>
      <w:r>
        <w:rPr>
          <w:rFonts w:cs="Times New Roman"/>
          <w:bCs/>
          <w:szCs w:val="24"/>
        </w:rPr>
        <w:t xml:space="preserve">Comparison of pith cell and tracheid morphology between </w:t>
      </w:r>
      <w:r>
        <w:rPr>
          <w:rFonts w:cs="Times New Roman" w:hint="eastAsia"/>
          <w:bCs/>
          <w:szCs w:val="24"/>
          <w:lang w:eastAsia="zh-CN"/>
        </w:rPr>
        <w:t>wild</w:t>
      </w:r>
      <w:r w:rsidR="009F4F0B">
        <w:rPr>
          <w:rFonts w:cs="Times New Roman" w:hint="eastAsia"/>
          <w:bCs/>
          <w:szCs w:val="24"/>
          <w:lang w:eastAsia="zh-CN"/>
        </w:rPr>
        <w:t>-</w:t>
      </w:r>
      <w:r>
        <w:rPr>
          <w:rFonts w:cs="Times New Roman" w:hint="eastAsia"/>
          <w:bCs/>
          <w:szCs w:val="24"/>
          <w:lang w:eastAsia="zh-CN"/>
        </w:rPr>
        <w:t>type</w:t>
      </w:r>
      <w:r>
        <w:rPr>
          <w:rFonts w:cs="Times New Roman"/>
          <w:bCs/>
          <w:szCs w:val="24"/>
        </w:rPr>
        <w:t xml:space="preserve"> (N') and mutant</w:t>
      </w:r>
      <w:r>
        <w:t xml:space="preserve"> </w:t>
      </w:r>
      <w:r>
        <w:rPr>
          <w:rFonts w:cs="Times New Roman"/>
          <w:bCs/>
          <w:szCs w:val="24"/>
        </w:rPr>
        <w:t xml:space="preserve">plants (V') from </w:t>
      </w:r>
      <w:r>
        <w:rPr>
          <w:rFonts w:cs="Times New Roman"/>
          <w:bCs/>
          <w:i/>
          <w:iCs/>
          <w:szCs w:val="24"/>
        </w:rPr>
        <w:t>L. olgensis</w:t>
      </w:r>
      <w:r>
        <w:rPr>
          <w:rFonts w:cs="Times New Roman"/>
          <w:bCs/>
          <w:szCs w:val="24"/>
        </w:rPr>
        <w:t xml:space="preserve"> parent trees. (a) The inside diameter of pith cell. (b) The double wall thickness of pith cell. (c) The insi</w:t>
      </w:r>
      <w:r>
        <w:rPr>
          <w:rFonts w:cs="Times New Roman"/>
          <w:bCs/>
          <w:szCs w:val="24"/>
        </w:rPr>
        <w:t xml:space="preserve">de diameter of tracheid. (d) The double wall thickness of tracheid. The error bars represent standard error. ‘*’ on error bars indicate significant differences at </w:t>
      </w:r>
      <w:r>
        <w:rPr>
          <w:rFonts w:cs="Times New Roman"/>
          <w:bCs/>
          <w:i/>
          <w:iCs/>
          <w:szCs w:val="24"/>
        </w:rPr>
        <w:t xml:space="preserve">p </w:t>
      </w:r>
      <w:r>
        <w:rPr>
          <w:rFonts w:cs="Times New Roman"/>
          <w:bCs/>
          <w:szCs w:val="24"/>
        </w:rPr>
        <w:t xml:space="preserve">&lt; 0.05, ‘**’ on error bars indicate significant differences at </w:t>
      </w:r>
      <w:r>
        <w:rPr>
          <w:rFonts w:cs="Times New Roman"/>
          <w:bCs/>
          <w:i/>
          <w:iCs/>
          <w:szCs w:val="24"/>
        </w:rPr>
        <w:t>p</w:t>
      </w:r>
      <w:r>
        <w:rPr>
          <w:rFonts w:cs="Times New Roman"/>
          <w:bCs/>
          <w:szCs w:val="24"/>
        </w:rPr>
        <w:t xml:space="preserve"> &lt; 0.01.</w:t>
      </w:r>
    </w:p>
    <w:p w14:paraId="781339CC" w14:textId="77777777" w:rsidR="006A2D47" w:rsidRDefault="005B45AB">
      <w:pPr>
        <w:ind w:firstLineChars="450" w:firstLine="945"/>
        <w:jc w:val="both"/>
        <w:rPr>
          <w:rFonts w:cs="Times New Roman"/>
          <w:bCs/>
          <w:szCs w:val="24"/>
        </w:rPr>
      </w:pPr>
      <w:r>
        <w:rPr>
          <w:rFonts w:ascii="等线" w:eastAsia="等线" w:hAnsi="等线" w:cs="Times New Roman"/>
          <w:noProof/>
          <w:kern w:val="2"/>
          <w:sz w:val="21"/>
          <w:lang w:eastAsia="zh-CN"/>
        </w:rPr>
        <w:lastRenderedPageBreak/>
        <w:drawing>
          <wp:inline distT="0" distB="0" distL="0" distR="0" wp14:anchorId="2772E4A9" wp14:editId="7DBAF671">
            <wp:extent cx="5274310" cy="36347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34E2" w14:textId="0197BDF9" w:rsidR="006A2D47" w:rsidRDefault="005B45AB">
      <w:pPr>
        <w:widowControl w:val="0"/>
        <w:spacing w:before="0" w:after="0"/>
        <w:jc w:val="both"/>
        <w:rPr>
          <w:rFonts w:cs="Times New Roman"/>
          <w:bCs/>
          <w:szCs w:val="24"/>
        </w:rPr>
      </w:pPr>
      <w:r>
        <w:rPr>
          <w:rFonts w:eastAsia="等线" w:cs="Times New Roman"/>
          <w:b/>
          <w:bCs/>
          <w:kern w:val="2"/>
          <w:szCs w:val="24"/>
          <w:lang w:eastAsia="zh-CN"/>
        </w:rPr>
        <w:t>Supplemental Fig</w:t>
      </w:r>
      <w:r>
        <w:rPr>
          <w:rFonts w:eastAsia="等线" w:cs="Times New Roman"/>
          <w:b/>
          <w:bCs/>
          <w:kern w:val="2"/>
          <w:szCs w:val="24"/>
          <w:lang w:eastAsia="zh-CN"/>
        </w:rPr>
        <w:t xml:space="preserve">ure 3. </w:t>
      </w:r>
      <w:r>
        <w:rPr>
          <w:rFonts w:cs="Times New Roman"/>
          <w:bCs/>
          <w:szCs w:val="24"/>
        </w:rPr>
        <w:t xml:space="preserve">Comparison of </w:t>
      </w:r>
      <w:r>
        <w:rPr>
          <w:rFonts w:cs="Times New Roman" w:hint="eastAsia"/>
          <w:bCs/>
          <w:szCs w:val="24"/>
        </w:rPr>
        <w:t>p</w:t>
      </w:r>
      <w:r>
        <w:rPr>
          <w:rFonts w:cs="Times New Roman"/>
          <w:bCs/>
          <w:szCs w:val="24"/>
        </w:rPr>
        <w:t xml:space="preserve">hotosynthetic indicators and hormone content between </w:t>
      </w:r>
      <w:r>
        <w:rPr>
          <w:rFonts w:cs="Times New Roman" w:hint="eastAsia"/>
          <w:bCs/>
          <w:szCs w:val="24"/>
          <w:lang w:eastAsia="zh-CN"/>
        </w:rPr>
        <w:t>wild</w:t>
      </w:r>
      <w:r w:rsidR="009F4F0B">
        <w:rPr>
          <w:rFonts w:cs="Times New Roman" w:hint="eastAsia"/>
          <w:bCs/>
          <w:szCs w:val="24"/>
          <w:lang w:eastAsia="zh-CN"/>
        </w:rPr>
        <w:t>-</w:t>
      </w:r>
      <w:r>
        <w:rPr>
          <w:rFonts w:cs="Times New Roman" w:hint="eastAsia"/>
          <w:bCs/>
          <w:szCs w:val="24"/>
          <w:lang w:eastAsia="zh-CN"/>
        </w:rPr>
        <w:t>type</w:t>
      </w:r>
      <w:r>
        <w:rPr>
          <w:rFonts w:cs="Times New Roman"/>
          <w:bCs/>
          <w:szCs w:val="24"/>
        </w:rPr>
        <w:t xml:space="preserve"> and mutant plants. (a) Net photosynthetic rate. (b) Stomatal conductivity. (c) Intercellular carbon dioxide concentration. (d) Transpiration rate. (e) Water use efficiency.</w:t>
      </w:r>
      <w:r>
        <w:rPr>
          <w:rFonts w:cs="Times New Roman"/>
          <w:bCs/>
          <w:szCs w:val="24"/>
        </w:rPr>
        <w:t xml:space="preserve"> (f) IAA content. (g) GA3 content. (h) ABA content. (i) ETH content. The error bars represent standard error. ‘*’ on error bars indicate significant differences at </w:t>
      </w:r>
      <w:r>
        <w:rPr>
          <w:rFonts w:cs="Times New Roman"/>
          <w:bCs/>
          <w:i/>
          <w:iCs/>
          <w:szCs w:val="24"/>
        </w:rPr>
        <w:t>p</w:t>
      </w:r>
      <w:r>
        <w:rPr>
          <w:rFonts w:cs="Times New Roman"/>
          <w:bCs/>
          <w:szCs w:val="24"/>
        </w:rPr>
        <w:t xml:space="preserve"> &lt; 0.05, ‘**’ on error bars indicate significant differences at </w:t>
      </w:r>
      <w:r>
        <w:rPr>
          <w:rFonts w:cs="Times New Roman"/>
          <w:bCs/>
          <w:i/>
          <w:iCs/>
          <w:szCs w:val="24"/>
        </w:rPr>
        <w:t>p</w:t>
      </w:r>
      <w:r>
        <w:rPr>
          <w:rFonts w:cs="Times New Roman"/>
          <w:bCs/>
          <w:szCs w:val="24"/>
        </w:rPr>
        <w:t xml:space="preserve"> &lt; 0.01. </w:t>
      </w:r>
    </w:p>
    <w:p w14:paraId="6E02799F" w14:textId="77777777" w:rsidR="006A2D47" w:rsidRDefault="006A2D47">
      <w:pPr>
        <w:widowControl w:val="0"/>
        <w:spacing w:before="0" w:after="0"/>
        <w:jc w:val="both"/>
        <w:rPr>
          <w:rFonts w:cs="Times New Roman"/>
          <w:bCs/>
          <w:szCs w:val="24"/>
        </w:rPr>
      </w:pPr>
    </w:p>
    <w:p w14:paraId="7000B974" w14:textId="77777777" w:rsidR="006A2D47" w:rsidRDefault="005B45AB">
      <w:pPr>
        <w:widowControl w:val="0"/>
        <w:spacing w:before="0" w:after="0"/>
        <w:ind w:firstLineChars="500" w:firstLine="1200"/>
        <w:jc w:val="both"/>
        <w:rPr>
          <w:rFonts w:cs="Times New Roman"/>
          <w:bCs/>
          <w:szCs w:val="24"/>
          <w:lang w:eastAsia="zh-CN"/>
        </w:rPr>
      </w:pPr>
      <w:r>
        <w:rPr>
          <w:noProof/>
        </w:rPr>
        <w:lastRenderedPageBreak/>
        <w:drawing>
          <wp:inline distT="0" distB="0" distL="0" distR="0" wp14:anchorId="088D3F18" wp14:editId="2DBA40E1">
            <wp:extent cx="4573905" cy="4229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6182" cy="423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bCs/>
          <w:szCs w:val="24"/>
          <w:lang w:eastAsia="zh-CN"/>
        </w:rPr>
        <w:t xml:space="preserve"> </w:t>
      </w:r>
      <w:r>
        <w:rPr>
          <w:rFonts w:cs="Times New Roman"/>
          <w:bCs/>
          <w:szCs w:val="24"/>
          <w:lang w:eastAsia="zh-CN"/>
        </w:rPr>
        <w:t xml:space="preserve"> </w:t>
      </w:r>
    </w:p>
    <w:p w14:paraId="66D7782C" w14:textId="77777777" w:rsidR="006A2D47" w:rsidRDefault="006A2D47">
      <w:pPr>
        <w:widowControl w:val="0"/>
        <w:spacing w:before="0" w:after="0"/>
        <w:ind w:firstLineChars="500" w:firstLine="1200"/>
        <w:jc w:val="both"/>
        <w:rPr>
          <w:rFonts w:cs="Times New Roman"/>
          <w:bCs/>
          <w:szCs w:val="24"/>
          <w:lang w:eastAsia="zh-CN"/>
        </w:rPr>
      </w:pPr>
    </w:p>
    <w:p w14:paraId="732A1283" w14:textId="355FB9AC" w:rsidR="006A2D47" w:rsidRDefault="005B45AB">
      <w:pPr>
        <w:widowControl w:val="0"/>
        <w:spacing w:before="0" w:after="0"/>
        <w:jc w:val="both"/>
        <w:rPr>
          <w:rFonts w:cs="Times New Roman"/>
          <w:bCs/>
          <w:szCs w:val="24"/>
          <w:lang w:eastAsia="zh-CN"/>
        </w:rPr>
      </w:pPr>
      <w:r>
        <w:rPr>
          <w:rFonts w:cs="Times New Roman"/>
          <w:b/>
          <w:szCs w:val="24"/>
          <w:lang w:eastAsia="zh-CN"/>
        </w:rPr>
        <w:t xml:space="preserve">Supplemental Figure </w:t>
      </w:r>
      <w:r>
        <w:rPr>
          <w:rFonts w:cs="Times New Roman" w:hint="eastAsia"/>
          <w:b/>
          <w:szCs w:val="24"/>
          <w:lang w:eastAsia="zh-CN"/>
        </w:rPr>
        <w:t>4</w:t>
      </w:r>
      <w:r>
        <w:rPr>
          <w:rFonts w:cs="Times New Roman"/>
          <w:bCs/>
          <w:szCs w:val="24"/>
          <w:lang w:eastAsia="zh-CN"/>
        </w:rPr>
        <w:t xml:space="preserve">. qRT-PCR verification of expression level of 16 DEGs obtained by RNA sequencing. The X-axis represents the </w:t>
      </w:r>
      <w:r>
        <w:rPr>
          <w:rFonts w:cs="Times New Roman" w:hint="eastAsia"/>
          <w:bCs/>
          <w:szCs w:val="24"/>
          <w:lang w:eastAsia="zh-CN"/>
        </w:rPr>
        <w:t>wild</w:t>
      </w:r>
      <w:r w:rsidR="009F4F0B">
        <w:rPr>
          <w:rFonts w:cs="Times New Roman" w:hint="eastAsia"/>
          <w:bCs/>
          <w:szCs w:val="24"/>
          <w:lang w:eastAsia="zh-CN"/>
        </w:rPr>
        <w:t>-</w:t>
      </w:r>
      <w:r>
        <w:rPr>
          <w:rFonts w:cs="Times New Roman" w:hint="eastAsia"/>
          <w:bCs/>
          <w:szCs w:val="24"/>
          <w:lang w:eastAsia="zh-CN"/>
        </w:rPr>
        <w:t>type</w:t>
      </w:r>
      <w:r>
        <w:rPr>
          <w:rFonts w:cs="Times New Roman"/>
          <w:bCs/>
          <w:szCs w:val="24"/>
          <w:lang w:eastAsia="zh-CN"/>
        </w:rPr>
        <w:t xml:space="preserve"> (N) and bud mutant (V) plants. The Y-axis on the left represents the expression data of qRT-PCR. The Y-axis on the rig</w:t>
      </w:r>
      <w:r>
        <w:rPr>
          <w:rFonts w:cs="Times New Roman"/>
          <w:bCs/>
          <w:szCs w:val="24"/>
          <w:lang w:eastAsia="zh-CN"/>
        </w:rPr>
        <w:t>ht represents the relative expression levels of DEGs validated by RNA-seq.</w:t>
      </w:r>
    </w:p>
    <w:p w14:paraId="30152653" w14:textId="77777777" w:rsidR="006A2D47" w:rsidRDefault="005B45AB">
      <w:pPr>
        <w:pStyle w:val="2"/>
      </w:pPr>
      <w:r>
        <w:tab/>
        <w:t>Supplementary Tables</w:t>
      </w:r>
    </w:p>
    <w:p w14:paraId="366C0602" w14:textId="3462C883" w:rsidR="006A2D47" w:rsidRDefault="005B45AB">
      <w:r>
        <w:rPr>
          <w:b/>
          <w:bCs/>
        </w:rPr>
        <w:t>Table S1</w:t>
      </w:r>
      <w:r>
        <w:t>:</w:t>
      </w:r>
      <w:r>
        <w:rPr>
          <w:rFonts w:hint="eastAsia"/>
        </w:rPr>
        <w:t xml:space="preserve"> Comparison of branches growth traits between wild</w:t>
      </w:r>
      <w:r w:rsidR="009F4F0B">
        <w:rPr>
          <w:rFonts w:hint="eastAsia"/>
          <w:lang w:eastAsia="zh-CN"/>
        </w:rPr>
        <w:t>-</w:t>
      </w:r>
      <w:r>
        <w:rPr>
          <w:rFonts w:hint="eastAsia"/>
        </w:rPr>
        <w:t>type and mutant plants</w:t>
      </w:r>
    </w:p>
    <w:p w14:paraId="692F5BFB" w14:textId="4CB32471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2</w:t>
      </w:r>
      <w:r>
        <w:t>:</w:t>
      </w:r>
      <w:r w:rsidR="00F12AB2">
        <w:t xml:space="preserve"> </w:t>
      </w:r>
      <w:r w:rsidR="00F12AB2" w:rsidRPr="00F12AB2">
        <w:t>Comparison of bud point numbers between wild</w:t>
      </w:r>
      <w:r w:rsidR="009F4F0B">
        <w:rPr>
          <w:rFonts w:hint="eastAsia"/>
          <w:lang w:eastAsia="zh-CN"/>
        </w:rPr>
        <w:t>-</w:t>
      </w:r>
      <w:r w:rsidR="00F12AB2" w:rsidRPr="00F12AB2">
        <w:t>type and mutant plants</w:t>
      </w:r>
    </w:p>
    <w:p w14:paraId="58E8A38B" w14:textId="0F89D2E4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3</w:t>
      </w:r>
      <w:r>
        <w:t>:</w:t>
      </w:r>
      <w:r w:rsidR="00F12AB2" w:rsidRPr="00F12AB2">
        <w:t xml:space="preserve"> </w:t>
      </w:r>
      <w:r w:rsidR="00F12AB2" w:rsidRPr="00F12AB2">
        <w:t>Comparison of needles growth traits between wild</w:t>
      </w:r>
      <w:r w:rsidR="009F4F0B">
        <w:rPr>
          <w:rFonts w:hint="eastAsia"/>
          <w:lang w:eastAsia="zh-CN"/>
        </w:rPr>
        <w:t>-</w:t>
      </w:r>
      <w:r w:rsidR="00F12AB2" w:rsidRPr="00F12AB2">
        <w:t>type and mutant plants</w:t>
      </w:r>
    </w:p>
    <w:p w14:paraId="6FD6F2E5" w14:textId="356C29BA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4</w:t>
      </w:r>
      <w:r>
        <w:t>:</w:t>
      </w:r>
      <w:r w:rsidR="00F12AB2">
        <w:t xml:space="preserve"> </w:t>
      </w:r>
      <w:r w:rsidR="00F12AB2" w:rsidRPr="00F12AB2">
        <w:t>Comparison of fresh and dry weight between wild</w:t>
      </w:r>
      <w:r w:rsidR="009F4F0B">
        <w:rPr>
          <w:rFonts w:hint="eastAsia"/>
          <w:lang w:eastAsia="zh-CN"/>
        </w:rPr>
        <w:t>-</w:t>
      </w:r>
      <w:r w:rsidR="00F12AB2" w:rsidRPr="00F12AB2">
        <w:t>type and mutant plants</w:t>
      </w:r>
    </w:p>
    <w:p w14:paraId="24312E82" w14:textId="77777777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5</w:t>
      </w:r>
      <w:r>
        <w:t>: Sample sequencing data evaluation sta</w:t>
      </w:r>
      <w:r>
        <w:t xml:space="preserve">tistics. </w:t>
      </w:r>
    </w:p>
    <w:p w14:paraId="0DD1F9B0" w14:textId="77777777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6</w:t>
      </w:r>
      <w:r>
        <w:rPr>
          <w:b/>
          <w:bCs/>
        </w:rPr>
        <w:t>:</w:t>
      </w:r>
      <w:r>
        <w:t xml:space="preserve"> Unreferenced transcriptome assembly data statistics. </w:t>
      </w:r>
    </w:p>
    <w:p w14:paraId="4B647ADA" w14:textId="77777777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7</w:t>
      </w:r>
      <w:r>
        <w:t>: Comparison of sequencing data and assembly results.</w:t>
      </w:r>
    </w:p>
    <w:p w14:paraId="68C9D396" w14:textId="77777777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8</w:t>
      </w:r>
      <w:r>
        <w:t xml:space="preserve">: BUSCO assessment results. </w:t>
      </w:r>
    </w:p>
    <w:p w14:paraId="21C70BE4" w14:textId="77777777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9</w:t>
      </w:r>
      <w:r>
        <w:t xml:space="preserve">: Functional annotation of differentially expressed genes (DEGs). </w:t>
      </w:r>
    </w:p>
    <w:p w14:paraId="6C2000F8" w14:textId="77777777" w:rsidR="006A2D47" w:rsidRDefault="005B45AB">
      <w:r>
        <w:rPr>
          <w:b/>
          <w:bCs/>
        </w:rPr>
        <w:lastRenderedPageBreak/>
        <w:t>Table S</w:t>
      </w:r>
      <w:r>
        <w:rPr>
          <w:rFonts w:hint="eastAsia"/>
          <w:b/>
          <w:bCs/>
          <w:lang w:eastAsia="zh-CN"/>
        </w:rPr>
        <w:t>10</w:t>
      </w:r>
      <w:r>
        <w:t xml:space="preserve">: The top 20 GO enrichment pathways of differentially expressed genes. </w:t>
      </w:r>
    </w:p>
    <w:p w14:paraId="22D20D73" w14:textId="77777777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11</w:t>
      </w:r>
      <w:r>
        <w:t xml:space="preserve">: The top 20 KEGG enrichment pathways of differentially expressed genes. </w:t>
      </w:r>
    </w:p>
    <w:p w14:paraId="6F5AC938" w14:textId="77777777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12</w:t>
      </w:r>
      <w:r>
        <w:rPr>
          <w:lang w:eastAsia="zh-CN"/>
        </w:rPr>
        <w:t xml:space="preserve">: </w:t>
      </w:r>
      <w:r>
        <w:t xml:space="preserve">DEGs </w:t>
      </w:r>
      <w:r>
        <w:t>involved in ABA synthesis pathway, including ZEP, NCED, AAO, PP2C and SnRK family.</w:t>
      </w:r>
    </w:p>
    <w:p w14:paraId="08E65E63" w14:textId="77777777" w:rsidR="006A2D47" w:rsidRDefault="005B45AB">
      <w:r>
        <w:rPr>
          <w:b/>
          <w:bCs/>
        </w:rPr>
        <w:t>Table S</w:t>
      </w:r>
      <w:r>
        <w:rPr>
          <w:rFonts w:hint="eastAsia"/>
          <w:b/>
          <w:bCs/>
          <w:lang w:eastAsia="zh-CN"/>
        </w:rPr>
        <w:t>13</w:t>
      </w:r>
      <w:r>
        <w:t>: Specific primers used for qRT-PCR analysis.</w:t>
      </w:r>
    </w:p>
    <w:p w14:paraId="08BFA4F4" w14:textId="77777777" w:rsidR="006A2D47" w:rsidRDefault="005B45AB">
      <w:pPr>
        <w:rPr>
          <w:lang w:eastAsia="zh-CN"/>
        </w:rPr>
      </w:pPr>
      <w:r>
        <w:rPr>
          <w:b/>
          <w:bCs/>
        </w:rPr>
        <w:t>Table S1</w:t>
      </w:r>
      <w:r>
        <w:rPr>
          <w:rFonts w:hint="eastAsia"/>
          <w:b/>
          <w:bCs/>
          <w:lang w:eastAsia="zh-CN"/>
        </w:rPr>
        <w:t>4</w:t>
      </w:r>
      <w:r>
        <w:t>: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FPKM values of all transcripts</w:t>
      </w:r>
      <w:r>
        <w:rPr>
          <w:rFonts w:hint="eastAsia"/>
          <w:lang w:eastAsia="zh-CN"/>
        </w:rPr>
        <w:t>.</w:t>
      </w:r>
    </w:p>
    <w:p w14:paraId="3B27E5D4" w14:textId="6E9E0101" w:rsidR="006A2D47" w:rsidRDefault="005B45AB">
      <w:pPr>
        <w:rPr>
          <w:rFonts w:hint="eastAsia"/>
        </w:rPr>
      </w:pPr>
      <w:r>
        <w:rPr>
          <w:b/>
          <w:bCs/>
        </w:rPr>
        <w:t>Table S1</w:t>
      </w:r>
      <w:r>
        <w:rPr>
          <w:rFonts w:hint="eastAsia"/>
          <w:b/>
          <w:bCs/>
          <w:lang w:eastAsia="zh-CN"/>
        </w:rPr>
        <w:t>5</w:t>
      </w:r>
      <w:r>
        <w:t>:</w:t>
      </w:r>
      <w:r>
        <w:rPr>
          <w:rFonts w:hint="eastAsia"/>
          <w:lang w:eastAsia="zh-CN"/>
        </w:rPr>
        <w:t xml:space="preserve"> </w:t>
      </w:r>
      <w:r w:rsidR="00EE6C88" w:rsidRPr="00EE6C88">
        <w:rPr>
          <w:lang w:eastAsia="zh-CN"/>
        </w:rPr>
        <w:t>The functional annotations of longest transcripts</w:t>
      </w:r>
      <w:r w:rsidR="00EE6C88">
        <w:rPr>
          <w:lang w:eastAsia="zh-CN"/>
        </w:rPr>
        <w:t>.</w:t>
      </w:r>
    </w:p>
    <w:sectPr w:rsidR="006A2D47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B884" w14:textId="77777777" w:rsidR="005B45AB" w:rsidRDefault="005B45AB">
      <w:r>
        <w:separator/>
      </w:r>
    </w:p>
  </w:endnote>
  <w:endnote w:type="continuationSeparator" w:id="0">
    <w:p w14:paraId="1F05F850" w14:textId="77777777" w:rsidR="005B45AB" w:rsidRDefault="005B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159" w14:textId="77777777" w:rsidR="006A2D47" w:rsidRDefault="005B45A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77BC41" wp14:editId="567DEB8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1195B1" w14:textId="77777777" w:rsidR="006A2D47" w:rsidRDefault="005B45A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8F46" w14:textId="77777777" w:rsidR="006A2D47" w:rsidRDefault="005B45A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21CD9" wp14:editId="2CD9732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ECF14A" w14:textId="77777777" w:rsidR="006A2D47" w:rsidRDefault="005B45A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BDF1" w14:textId="77777777" w:rsidR="005B45AB" w:rsidRDefault="005B45AB">
      <w:pPr>
        <w:spacing w:before="0" w:after="0"/>
      </w:pPr>
      <w:r>
        <w:separator/>
      </w:r>
    </w:p>
  </w:footnote>
  <w:footnote w:type="continuationSeparator" w:id="0">
    <w:p w14:paraId="6B558EC7" w14:textId="77777777" w:rsidR="005B45AB" w:rsidRDefault="005B45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3B71" w14:textId="77777777" w:rsidR="006A2D47" w:rsidRDefault="005B45AB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E781" w14:textId="77777777" w:rsidR="006A2D47" w:rsidRDefault="005B45AB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2D2322C4" wp14:editId="37F98841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C7C9A"/>
    <w:rsid w:val="00105FD9"/>
    <w:rsid w:val="00117666"/>
    <w:rsid w:val="001549D3"/>
    <w:rsid w:val="00160065"/>
    <w:rsid w:val="00177D84"/>
    <w:rsid w:val="002560DF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0870"/>
    <w:rsid w:val="003C3A9B"/>
    <w:rsid w:val="003D2F2D"/>
    <w:rsid w:val="003D5696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2301"/>
    <w:rsid w:val="005B45AB"/>
    <w:rsid w:val="006375C7"/>
    <w:rsid w:val="00654E8F"/>
    <w:rsid w:val="00660D05"/>
    <w:rsid w:val="006820B1"/>
    <w:rsid w:val="006A2D47"/>
    <w:rsid w:val="006B7D14"/>
    <w:rsid w:val="00701727"/>
    <w:rsid w:val="0070566C"/>
    <w:rsid w:val="00714C50"/>
    <w:rsid w:val="00725A7D"/>
    <w:rsid w:val="007501BE"/>
    <w:rsid w:val="00790BB3"/>
    <w:rsid w:val="007C206C"/>
    <w:rsid w:val="007F5A67"/>
    <w:rsid w:val="00817DD6"/>
    <w:rsid w:val="0083759F"/>
    <w:rsid w:val="00841EF3"/>
    <w:rsid w:val="00885156"/>
    <w:rsid w:val="008C5F32"/>
    <w:rsid w:val="009151AA"/>
    <w:rsid w:val="0093429D"/>
    <w:rsid w:val="00943573"/>
    <w:rsid w:val="00964134"/>
    <w:rsid w:val="00970F7D"/>
    <w:rsid w:val="00994A3D"/>
    <w:rsid w:val="009C2B12"/>
    <w:rsid w:val="009F4F0B"/>
    <w:rsid w:val="00A174D9"/>
    <w:rsid w:val="00AA4D24"/>
    <w:rsid w:val="00AB6715"/>
    <w:rsid w:val="00B040FD"/>
    <w:rsid w:val="00B1671E"/>
    <w:rsid w:val="00B25EB8"/>
    <w:rsid w:val="00B37E69"/>
    <w:rsid w:val="00B37F4D"/>
    <w:rsid w:val="00C52A7B"/>
    <w:rsid w:val="00C56BAF"/>
    <w:rsid w:val="00C679AA"/>
    <w:rsid w:val="00C75972"/>
    <w:rsid w:val="00CA16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E6C88"/>
    <w:rsid w:val="00F12AB2"/>
    <w:rsid w:val="00F46900"/>
    <w:rsid w:val="00F61D89"/>
    <w:rsid w:val="076620CD"/>
    <w:rsid w:val="458572AB"/>
    <w:rsid w:val="73A8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584F5"/>
  <w15:docId w15:val="{83E17743-C261-4D43-9F7E-922C855B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eastAsiaTheme="minorEastAsia" w:hAnsi="Times New Roman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EastAsia" w:hAnsi="Times New Roman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2"/>
    <w:uiPriority w:val="5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rPr>
      <w:vertAlign w:val="superscript"/>
    </w:rPr>
  </w:style>
  <w:style w:type="character" w:styleId="afc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</w:style>
  <w:style w:type="character" w:styleId="aff">
    <w:name w:val="Hyperlink"/>
    <w:basedOn w:val="a1"/>
    <w:uiPriority w:val="99"/>
    <w:unhideWhenUsed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标题 1 字符"/>
    <w:basedOn w:val="a1"/>
    <w:link w:val="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13</TotalTime>
  <Pages>4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蔡 柯伟</cp:lastModifiedBy>
  <cp:revision>35</cp:revision>
  <cp:lastPrinted>2013-10-03T12:51:00Z</cp:lastPrinted>
  <dcterms:created xsi:type="dcterms:W3CDTF">2021-09-29T13:25:00Z</dcterms:created>
  <dcterms:modified xsi:type="dcterms:W3CDTF">2021-11-24T02:47:00Z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3079865FBA4B43648B9000A7BFD937EB</vt:lpwstr>
  </property>
</Properties>
</file>