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5848" w14:textId="7949DF44" w:rsidR="00D463A2" w:rsidRDefault="005004C6">
      <w:r>
        <w:t>Support Information Table 1.</w:t>
      </w:r>
      <w:r w:rsidR="004C6D39">
        <w:t xml:space="preserve"> References used to categorize species by loading type used in Fig. 1. </w:t>
      </w:r>
      <w:proofErr w:type="spellStart"/>
      <w:r w:rsidR="00FF2CD8">
        <w:t>Rse</w:t>
      </w:r>
      <w:proofErr w:type="spellEnd"/>
      <w:r w:rsidR="00FF2CD8">
        <w:t xml:space="preserve"> and </w:t>
      </w:r>
      <w:proofErr w:type="spellStart"/>
      <w:r w:rsidR="00FF2CD8">
        <w:t>Rs</w:t>
      </w:r>
      <w:r w:rsidR="00B00F16">
        <w:t>e</w:t>
      </w:r>
      <w:r w:rsidR="00FF2CD8">
        <w:t>l</w:t>
      </w:r>
      <w:proofErr w:type="spellEnd"/>
      <w:r w:rsidR="00FF2CD8">
        <w:t xml:space="preserve"> are the calculated total sieve element resistance and sieve element length, respectively (data from </w:t>
      </w:r>
      <w:proofErr w:type="spellStart"/>
      <w:r w:rsidR="00FF2CD8">
        <w:t>Liesche</w:t>
      </w:r>
      <w:proofErr w:type="spellEnd"/>
      <w:r w:rsidR="00FF2CD8">
        <w:t xml:space="preserve"> et al. 2017).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3"/>
        <w:gridCol w:w="1759"/>
        <w:gridCol w:w="1625"/>
        <w:gridCol w:w="752"/>
        <w:gridCol w:w="1455"/>
        <w:gridCol w:w="482"/>
        <w:gridCol w:w="1422"/>
        <w:gridCol w:w="1637"/>
      </w:tblGrid>
      <w:tr w:rsidR="00FF2CD8" w:rsidRPr="004C6D39" w14:paraId="5533D8FD" w14:textId="6541B419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C0A40" w14:textId="595A7C8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2E9C4E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B642A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02C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62FA79E6" w14:textId="3621F152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90039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2E41AFE4" w14:textId="70CB7B24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Species (resistance symbol)</w:t>
            </w:r>
          </w:p>
        </w:tc>
        <w:tc>
          <w:tcPr>
            <w:tcW w:w="1625" w:type="dxa"/>
          </w:tcPr>
          <w:p w14:paraId="7295D855" w14:textId="50D21E9C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Loading Type</w:t>
            </w:r>
          </w:p>
        </w:tc>
        <w:tc>
          <w:tcPr>
            <w:tcW w:w="2207" w:type="dxa"/>
            <w:gridSpan w:val="2"/>
            <w:vAlign w:val="bottom"/>
          </w:tcPr>
          <w:p w14:paraId="51EF6276" w14:textId="3D3342C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Reference for Loading Type</w:t>
            </w:r>
          </w:p>
        </w:tc>
        <w:tc>
          <w:tcPr>
            <w:tcW w:w="1904" w:type="dxa"/>
            <w:gridSpan w:val="2"/>
          </w:tcPr>
          <w:p w14:paraId="55C80A53" w14:textId="21182315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Selected </w:t>
            </w:r>
            <w:proofErr w:type="spellStart"/>
            <w:r>
              <w:rPr>
                <w:rFonts w:ascii="Calibri" w:hAnsi="Calibri" w:cs="Calibri"/>
                <w:color w:val="000000"/>
              </w:rPr>
              <w:t>Rse</w:t>
            </w:r>
            <w:proofErr w:type="spellEnd"/>
            <w:r w:rsidR="00DE031B">
              <w:rPr>
                <w:rFonts w:ascii="Calibri" w:hAnsi="Calibri" w:cs="Calibri"/>
                <w:color w:val="000000"/>
              </w:rPr>
              <w:t xml:space="preserve"> (1/</w:t>
            </w:r>
            <w:r w:rsidR="00B73F43">
              <w:rPr>
                <w:rFonts w:ascii="Calibri" w:hAnsi="Calibri" w:cs="Calibri"/>
                <w:color w:val="000000"/>
              </w:rPr>
              <w:t>µ</w:t>
            </w:r>
            <w:r w:rsidR="00DE031B">
              <w:rPr>
                <w:rFonts w:ascii="Calibri" w:hAnsi="Calibri" w:cs="Calibri"/>
                <w:color w:val="000000"/>
              </w:rPr>
              <w:t>m</w:t>
            </w:r>
            <w:r w:rsidR="00DE031B" w:rsidRPr="00DE031B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 w:rsidR="00DE031B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37" w:type="dxa"/>
          </w:tcPr>
          <w:p w14:paraId="4F33A1A4" w14:textId="65A15514" w:rsidR="00FF2CD8" w:rsidRPr="00DE031B" w:rsidRDefault="00FF2CD8" w:rsidP="004C6D39">
            <w:pPr>
              <w:rPr>
                <w:rFonts w:ascii="MS Gothic" w:eastAsia="MS Gothic" w:hAnsi="MS Gothic" w:cs="MS Gothic" w:hint="eastAsia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 xml:space="preserve">Selected </w:t>
            </w:r>
            <w:proofErr w:type="spellStart"/>
            <w:r>
              <w:rPr>
                <w:rFonts w:ascii="Calibri" w:hAnsi="Calibri" w:cs="Calibri"/>
                <w:color w:val="000000"/>
              </w:rPr>
              <w:t>Rs</w:t>
            </w:r>
            <w:r w:rsidR="00B00F16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l</w:t>
            </w:r>
            <w:proofErr w:type="spellEnd"/>
            <w:r w:rsidR="00DE031B">
              <w:rPr>
                <w:rFonts w:ascii="Calibri" w:hAnsi="Calibri" w:cs="Calibri"/>
                <w:color w:val="000000"/>
              </w:rPr>
              <w:t xml:space="preserve"> (µm)</w:t>
            </w:r>
          </w:p>
        </w:tc>
      </w:tr>
      <w:tr w:rsidR="00FF2CD8" w:rsidRPr="004C6D39" w14:paraId="5D735B7C" w14:textId="0ACCFC07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AC051" w14:textId="4130BF3B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1CD47EC" w14:textId="0E640D9E" w:rsidR="00FF2CD8" w:rsidRPr="005F1DAE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Gossypium barbadense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(R5)</w:t>
            </w:r>
          </w:p>
        </w:tc>
        <w:tc>
          <w:tcPr>
            <w:tcW w:w="1625" w:type="dxa"/>
          </w:tcPr>
          <w:p w14:paraId="02A23A51" w14:textId="1B4B44AB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</w:t>
            </w:r>
          </w:p>
        </w:tc>
        <w:tc>
          <w:tcPr>
            <w:tcW w:w="2207" w:type="dxa"/>
            <w:gridSpan w:val="2"/>
            <w:vAlign w:val="bottom"/>
          </w:tcPr>
          <w:p w14:paraId="51A852C2" w14:textId="7999215F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Muller et al. 2014</w:t>
            </w:r>
          </w:p>
        </w:tc>
        <w:tc>
          <w:tcPr>
            <w:tcW w:w="1904" w:type="dxa"/>
            <w:gridSpan w:val="2"/>
          </w:tcPr>
          <w:p w14:paraId="348EC6B4" w14:textId="2621222C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Pr="001741F8"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1637" w:type="dxa"/>
          </w:tcPr>
          <w:p w14:paraId="74ED5E26" w14:textId="799192C8" w:rsidR="00FF2CD8" w:rsidRDefault="00DE031B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FF2CD8" w:rsidRPr="004C6D39" w14:paraId="108C69AC" w14:textId="5141CE31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F72C" w14:textId="5479B64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E93AA20" w14:textId="39D1A681" w:rsidR="00FF2CD8" w:rsidRPr="005F1DAE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Ricinus communis </w:t>
            </w:r>
            <w:r>
              <w:rPr>
                <w:rFonts w:ascii="Calibri" w:hAnsi="Calibri" w:cs="Calibri"/>
                <w:color w:val="000000"/>
              </w:rPr>
              <w:t>(R3)</w:t>
            </w:r>
          </w:p>
        </w:tc>
        <w:tc>
          <w:tcPr>
            <w:tcW w:w="1625" w:type="dxa"/>
          </w:tcPr>
          <w:p w14:paraId="408F278E" w14:textId="0974056D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</w:t>
            </w:r>
          </w:p>
        </w:tc>
        <w:tc>
          <w:tcPr>
            <w:tcW w:w="2207" w:type="dxa"/>
            <w:gridSpan w:val="2"/>
            <w:vAlign w:val="bottom"/>
          </w:tcPr>
          <w:p w14:paraId="4FED3E8F" w14:textId="24A3F232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Tamas </w:t>
            </w:r>
            <w:proofErr w:type="gramStart"/>
            <w:r>
              <w:rPr>
                <w:rFonts w:ascii="Calibri" w:hAnsi="Calibri" w:cs="Calibri"/>
                <w:color w:val="000000"/>
              </w:rPr>
              <w:t>and  Davies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2016</w:t>
            </w:r>
          </w:p>
        </w:tc>
        <w:tc>
          <w:tcPr>
            <w:tcW w:w="1904" w:type="dxa"/>
            <w:gridSpan w:val="2"/>
          </w:tcPr>
          <w:p w14:paraId="458064A0" w14:textId="048BF22B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 w:rsidRPr="001741F8">
              <w:rPr>
                <w:rFonts w:ascii="Calibri" w:hAnsi="Calibri" w:cs="Calibri"/>
                <w:color w:val="000000"/>
              </w:rPr>
              <w:t>0.056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7" w:type="dxa"/>
          </w:tcPr>
          <w:p w14:paraId="64900757" w14:textId="72004BB9" w:rsidR="00FF2CD8" w:rsidRDefault="00DE031B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FF2CD8" w:rsidRPr="004C6D39" w14:paraId="2DCB0AB2" w14:textId="047670C5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6DDEC" w14:textId="695A19D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3914FE70" w14:textId="28D05A1E" w:rsidR="00FF2CD8" w:rsidRPr="005F1DAE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Liriodendron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chinense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(R2)</w:t>
            </w:r>
          </w:p>
        </w:tc>
        <w:tc>
          <w:tcPr>
            <w:tcW w:w="1625" w:type="dxa"/>
          </w:tcPr>
          <w:p w14:paraId="0223918E" w14:textId="2A7EC46F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</w:t>
            </w:r>
          </w:p>
        </w:tc>
        <w:tc>
          <w:tcPr>
            <w:tcW w:w="2207" w:type="dxa"/>
            <w:gridSpan w:val="2"/>
            <w:vAlign w:val="bottom"/>
          </w:tcPr>
          <w:p w14:paraId="2ADBD848" w14:textId="4EED56B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687B29E6" w14:textId="172F8C94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 w:rsidRPr="001741F8">
              <w:rPr>
                <w:rFonts w:ascii="Calibri" w:hAnsi="Calibri" w:cs="Calibri"/>
                <w:color w:val="000000"/>
              </w:rPr>
              <w:t>0.0495</w:t>
            </w:r>
          </w:p>
        </w:tc>
        <w:tc>
          <w:tcPr>
            <w:tcW w:w="1637" w:type="dxa"/>
          </w:tcPr>
          <w:p w14:paraId="4ED0F914" w14:textId="300AE894" w:rsidR="00FF2CD8" w:rsidRDefault="00DE031B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</w:tr>
      <w:tr w:rsidR="00FF2CD8" w:rsidRPr="004C6D39" w14:paraId="23B7565F" w14:textId="41F040FE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DC22" w14:textId="69800B4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259DA52" w14:textId="53AD246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Magnolia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denudata</w:t>
            </w:r>
            <w:proofErr w:type="spellEnd"/>
          </w:p>
        </w:tc>
        <w:tc>
          <w:tcPr>
            <w:tcW w:w="1625" w:type="dxa"/>
          </w:tcPr>
          <w:p w14:paraId="2232CD83" w14:textId="66A8D2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</w:t>
            </w:r>
          </w:p>
        </w:tc>
        <w:tc>
          <w:tcPr>
            <w:tcW w:w="2207" w:type="dxa"/>
            <w:gridSpan w:val="2"/>
            <w:vAlign w:val="bottom"/>
          </w:tcPr>
          <w:p w14:paraId="6618CF14" w14:textId="2993B27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Fink et al. 2018</w:t>
            </w:r>
          </w:p>
        </w:tc>
        <w:tc>
          <w:tcPr>
            <w:tcW w:w="1904" w:type="dxa"/>
            <w:gridSpan w:val="2"/>
          </w:tcPr>
          <w:p w14:paraId="0FFF7EB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8FA2A1D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03534FAC" w14:textId="702E6C34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EE17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C21A00F" w14:textId="63FB37E5" w:rsidR="00FF2CD8" w:rsidRPr="005F1DAE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Robinia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pseudoacacia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(R4)</w:t>
            </w:r>
          </w:p>
        </w:tc>
        <w:tc>
          <w:tcPr>
            <w:tcW w:w="1625" w:type="dxa"/>
          </w:tcPr>
          <w:p w14:paraId="146E0866" w14:textId="6EED3DE1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</w:t>
            </w:r>
          </w:p>
        </w:tc>
        <w:tc>
          <w:tcPr>
            <w:tcW w:w="2207" w:type="dxa"/>
            <w:gridSpan w:val="2"/>
            <w:vAlign w:val="bottom"/>
          </w:tcPr>
          <w:p w14:paraId="5B70E859" w14:textId="1202E73F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174AD265" w14:textId="657476A0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 w:rsidRPr="001741F8">
              <w:rPr>
                <w:rFonts w:ascii="Calibri" w:hAnsi="Calibri" w:cs="Calibri"/>
                <w:color w:val="000000"/>
              </w:rPr>
              <w:t>0.082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7" w:type="dxa"/>
          </w:tcPr>
          <w:p w14:paraId="3FFA06A5" w14:textId="5B6E93EF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FF2CD8" w:rsidRPr="004C6D39" w14:paraId="3C53B140" w14:textId="75DDB63D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E0FB6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1D384304" w14:textId="0A20C6B9" w:rsidR="00FF2CD8" w:rsidRPr="005F1DAE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</w:rPr>
              <w:t>Vitis vinifera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</w:rPr>
              <w:t>(R1)</w:t>
            </w:r>
          </w:p>
        </w:tc>
        <w:tc>
          <w:tcPr>
            <w:tcW w:w="1625" w:type="dxa"/>
          </w:tcPr>
          <w:p w14:paraId="5964CE0F" w14:textId="6040AFB4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</w:t>
            </w:r>
          </w:p>
        </w:tc>
        <w:tc>
          <w:tcPr>
            <w:tcW w:w="2207" w:type="dxa"/>
            <w:gridSpan w:val="2"/>
            <w:vAlign w:val="bottom"/>
          </w:tcPr>
          <w:p w14:paraId="6496BD97" w14:textId="5C44E07C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Davies et al. 1999</w:t>
            </w:r>
          </w:p>
        </w:tc>
        <w:tc>
          <w:tcPr>
            <w:tcW w:w="1904" w:type="dxa"/>
            <w:gridSpan w:val="2"/>
          </w:tcPr>
          <w:p w14:paraId="4EA53649" w14:textId="30DA3F37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 w:rsidRPr="001741F8">
              <w:rPr>
                <w:rFonts w:ascii="Calibri" w:hAnsi="Calibri" w:cs="Calibri"/>
                <w:color w:val="000000"/>
              </w:rPr>
              <w:t>0.0240</w:t>
            </w:r>
          </w:p>
        </w:tc>
        <w:tc>
          <w:tcPr>
            <w:tcW w:w="1637" w:type="dxa"/>
          </w:tcPr>
          <w:p w14:paraId="55A53B3E" w14:textId="31D7A79A" w:rsidR="00FF2CD8" w:rsidRDefault="001741F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FF2CD8" w:rsidRPr="004C6D39" w14:paraId="7BE7BAF7" w14:textId="3EDEA7BE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A44CD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0C202A70" w14:textId="5F26914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Fraxinus americana</w:t>
            </w:r>
          </w:p>
        </w:tc>
        <w:tc>
          <w:tcPr>
            <w:tcW w:w="1625" w:type="dxa"/>
          </w:tcPr>
          <w:p w14:paraId="000F0750" w14:textId="1A59B612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Active Polymer Trap </w:t>
            </w:r>
          </w:p>
        </w:tc>
        <w:tc>
          <w:tcPr>
            <w:tcW w:w="2207" w:type="dxa"/>
            <w:gridSpan w:val="2"/>
            <w:vAlign w:val="bottom"/>
          </w:tcPr>
          <w:p w14:paraId="6E8B4D67" w14:textId="0B420D9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1989; Fu et al. 2011</w:t>
            </w:r>
          </w:p>
        </w:tc>
        <w:tc>
          <w:tcPr>
            <w:tcW w:w="1904" w:type="dxa"/>
            <w:gridSpan w:val="2"/>
          </w:tcPr>
          <w:p w14:paraId="00CB7B02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7ED60547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0C6CBF70" w14:textId="73956C27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491A0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84E8E56" w14:textId="6AF6D80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Castanea dentata</w:t>
            </w:r>
          </w:p>
        </w:tc>
        <w:tc>
          <w:tcPr>
            <w:tcW w:w="1625" w:type="dxa"/>
          </w:tcPr>
          <w:p w14:paraId="77D549F6" w14:textId="7EFBAB8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CB31607" w14:textId="5B982BCD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79944441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4662FBA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5F0C51A5" w14:textId="5E5CBCEF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9D82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16EE0576" w14:textId="7DC961A9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Fagus sylvatica</w:t>
            </w:r>
          </w:p>
        </w:tc>
        <w:tc>
          <w:tcPr>
            <w:tcW w:w="1625" w:type="dxa"/>
          </w:tcPr>
          <w:p w14:paraId="66D99340" w14:textId="65ABC56F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6F08B434" w14:textId="4C835ED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1989; Fu et al. 2011</w:t>
            </w:r>
          </w:p>
        </w:tc>
        <w:tc>
          <w:tcPr>
            <w:tcW w:w="1904" w:type="dxa"/>
            <w:gridSpan w:val="2"/>
          </w:tcPr>
          <w:p w14:paraId="7716636E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26C90E6B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37297BA4" w14:textId="0A3AE070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7A26D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5037D2BB" w14:textId="7335C4AD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Juglans cinerea</w:t>
            </w:r>
          </w:p>
        </w:tc>
        <w:tc>
          <w:tcPr>
            <w:tcW w:w="1625" w:type="dxa"/>
          </w:tcPr>
          <w:p w14:paraId="5974F834" w14:textId="1574473F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6B8AF09F" w14:textId="43F2ECD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3A743D13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0FC0D9B2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3B7A7894" w14:textId="746C2D32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A76B2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EB65D4E" w14:textId="5B2FC5D6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Juglans nigra</w:t>
            </w:r>
          </w:p>
        </w:tc>
        <w:tc>
          <w:tcPr>
            <w:tcW w:w="1625" w:type="dxa"/>
          </w:tcPr>
          <w:p w14:paraId="23453438" w14:textId="494CAF0A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D991155" w14:textId="7762C5A5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7F47E62A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750EC57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4C213797" w14:textId="52BA01BA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0E85F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7C729B7" w14:textId="5E2AC1B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Ligustrum lucidum</w:t>
            </w:r>
          </w:p>
        </w:tc>
        <w:tc>
          <w:tcPr>
            <w:tcW w:w="1625" w:type="dxa"/>
          </w:tcPr>
          <w:p w14:paraId="292A2B41" w14:textId="4AABFE5F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6E35E0CC" w14:textId="30F103C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6B2E44ED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44E12FE3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0E3811F6" w14:textId="0DF6DFD9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97494" w14:textId="6CE82D2C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8357980" w14:textId="05DB7394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Populus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deltoides</w:t>
            </w:r>
            <w:proofErr w:type="spellEnd"/>
          </w:p>
        </w:tc>
        <w:tc>
          <w:tcPr>
            <w:tcW w:w="1625" w:type="dxa"/>
          </w:tcPr>
          <w:p w14:paraId="534D6C32" w14:textId="434A6558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5ECCCFD8" w14:textId="51CA272B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398762ED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52F64D24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17C17AE2" w14:textId="4DFA3897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EF8B9" w14:textId="53F6C1D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27A035CE" w14:textId="1FA9ECC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Prunus persica Batch.</w:t>
            </w:r>
          </w:p>
        </w:tc>
        <w:tc>
          <w:tcPr>
            <w:tcW w:w="1625" w:type="dxa"/>
          </w:tcPr>
          <w:p w14:paraId="1A770281" w14:textId="181EAADA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629A1DAE" w14:textId="5C3C904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65C0A929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1359E2E2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67B40044" w14:textId="7A61AC66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A091B" w14:textId="4B7A8D9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386F2AA" w14:textId="3F8BEA6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Pyrus malus</w:t>
            </w:r>
          </w:p>
        </w:tc>
        <w:tc>
          <w:tcPr>
            <w:tcW w:w="1625" w:type="dxa"/>
          </w:tcPr>
          <w:p w14:paraId="5AE83D7B" w14:textId="6B8D246A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0D86D6BE" w14:textId="62A7D02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7D0EBAF9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101FBD0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2F363DD3" w14:textId="2CA314F3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4F1D" w14:textId="085BF9BE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1B26B41A" w14:textId="12E324D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Quercus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faginea</w:t>
            </w:r>
            <w:proofErr w:type="spellEnd"/>
          </w:p>
        </w:tc>
        <w:tc>
          <w:tcPr>
            <w:tcW w:w="1625" w:type="dxa"/>
          </w:tcPr>
          <w:p w14:paraId="73D6A49B" w14:textId="20BAF1B1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9E31AD2" w14:textId="1A8B7A1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46B7072E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07678798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3040D847" w14:textId="29C9997A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1C7B7" w14:textId="53102406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23768217" w14:textId="531ACA1D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Sabal palmetto </w:t>
            </w:r>
          </w:p>
        </w:tc>
        <w:tc>
          <w:tcPr>
            <w:tcW w:w="1625" w:type="dxa"/>
          </w:tcPr>
          <w:p w14:paraId="1D04DA69" w14:textId="3ED6DE74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2A127A1A" w14:textId="0C75C4A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3BC3B607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611AD32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5A0A549C" w14:textId="5F2E22C4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847C5" w14:textId="7BB7C85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B5DFB26" w14:textId="41350A0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Salix nigra</w:t>
            </w:r>
          </w:p>
        </w:tc>
        <w:tc>
          <w:tcPr>
            <w:tcW w:w="1625" w:type="dxa"/>
          </w:tcPr>
          <w:p w14:paraId="32B6AB49" w14:textId="5420E919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29EA0C3C" w14:textId="5E3BAF0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3370B3FB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07F89D9C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557B7F78" w14:textId="67C32C6E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C4015" w14:textId="69479E9C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ED45354" w14:textId="0396B4FB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Salix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pentandra</w:t>
            </w:r>
            <w:proofErr w:type="spellEnd"/>
          </w:p>
        </w:tc>
        <w:tc>
          <w:tcPr>
            <w:tcW w:w="1625" w:type="dxa"/>
          </w:tcPr>
          <w:p w14:paraId="3C04B000" w14:textId="0D9B3F93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6DF1446C" w14:textId="24D5E025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1E32038B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458C7218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157D426E" w14:textId="3801DF68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F024B" w14:textId="4849F3C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1B0E70DB" w14:textId="3EAF149E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Spathodea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campanulata</w:t>
            </w:r>
            <w:proofErr w:type="spellEnd"/>
          </w:p>
        </w:tc>
        <w:tc>
          <w:tcPr>
            <w:tcW w:w="1625" w:type="dxa"/>
          </w:tcPr>
          <w:p w14:paraId="3DD42175" w14:textId="17E29590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3518F7E6" w14:textId="1AE0D18F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530198CB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AE466B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60FDFCC5" w14:textId="674503FF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2C917" w14:textId="60FC6996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B58DE11" w14:textId="683635A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Tectona grandis</w:t>
            </w:r>
          </w:p>
        </w:tc>
        <w:tc>
          <w:tcPr>
            <w:tcW w:w="1625" w:type="dxa"/>
          </w:tcPr>
          <w:p w14:paraId="3E2A69AF" w14:textId="6A9080C3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DD7D9C0" w14:textId="0E145C6D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2B6E88AD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5DB72A19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76E5DA4E" w14:textId="56D6E077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71FD3" w14:textId="0EB5658D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26B5E65" w14:textId="0CCD6906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Tilia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americana </w:t>
            </w:r>
          </w:p>
        </w:tc>
        <w:tc>
          <w:tcPr>
            <w:tcW w:w="1625" w:type="dxa"/>
          </w:tcPr>
          <w:p w14:paraId="3BF7A069" w14:textId="44A8B5AC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4824700D" w14:textId="7C253F3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660B650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0C6E17D7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4D451518" w14:textId="76954814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56F46" w14:textId="4F48B14D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758A3F9" w14:textId="6C1E7841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Ulmus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americana </w:t>
            </w:r>
          </w:p>
        </w:tc>
        <w:tc>
          <w:tcPr>
            <w:tcW w:w="1625" w:type="dxa"/>
          </w:tcPr>
          <w:p w14:paraId="7A7B87FD" w14:textId="174E527E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02E3969C" w14:textId="25D1BE3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5C23E917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57FB1137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35CC3D62" w14:textId="55D03ED3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500D8" w14:textId="0D6856FE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435500B" w14:textId="77D763C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Quercus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faginea</w:t>
            </w:r>
            <w:proofErr w:type="spellEnd"/>
          </w:p>
        </w:tc>
        <w:tc>
          <w:tcPr>
            <w:tcW w:w="1625" w:type="dxa"/>
          </w:tcPr>
          <w:p w14:paraId="22F11FE7" w14:textId="32BF586F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53EE4B9B" w14:textId="701CFBB4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1213A813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107084F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1343F173" w14:textId="75D68880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7AE5A" w14:textId="40E7128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60CE3EA3" w14:textId="61DAAE7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Sabal palmetto </w:t>
            </w:r>
          </w:p>
        </w:tc>
        <w:tc>
          <w:tcPr>
            <w:tcW w:w="1625" w:type="dxa"/>
          </w:tcPr>
          <w:p w14:paraId="19A888C6" w14:textId="71B057B0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0A25A940" w14:textId="1761AFF8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4BEBD44E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423F937B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02087502" w14:textId="1C09AEA0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D8271" w14:textId="6B3B5979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54234E47" w14:textId="649D55C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Salix nigra</w:t>
            </w:r>
          </w:p>
        </w:tc>
        <w:tc>
          <w:tcPr>
            <w:tcW w:w="1625" w:type="dxa"/>
          </w:tcPr>
          <w:p w14:paraId="4FF65431" w14:textId="1520F214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403C4E87" w14:textId="7193D8F0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7C2F9A1E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A7CFAE7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7FEC2CE3" w14:textId="67B25465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CFBE" w14:textId="7B5ACD0E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AEC5827" w14:textId="171561E2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Salix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pentandra</w:t>
            </w:r>
            <w:proofErr w:type="spellEnd"/>
          </w:p>
        </w:tc>
        <w:tc>
          <w:tcPr>
            <w:tcW w:w="1625" w:type="dxa"/>
          </w:tcPr>
          <w:p w14:paraId="4052B014" w14:textId="2BF3958D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2F096932" w14:textId="3808AFF2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 et al. 2011</w:t>
            </w:r>
          </w:p>
        </w:tc>
        <w:tc>
          <w:tcPr>
            <w:tcW w:w="1904" w:type="dxa"/>
            <w:gridSpan w:val="2"/>
          </w:tcPr>
          <w:p w14:paraId="15F2FD36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F5C96C9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17168DF0" w14:textId="5E116CAB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F74A0" w14:textId="039A9675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75A37EF" w14:textId="53E58116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Spathodea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campanulata</w:t>
            </w:r>
            <w:proofErr w:type="spellEnd"/>
          </w:p>
        </w:tc>
        <w:tc>
          <w:tcPr>
            <w:tcW w:w="1625" w:type="dxa"/>
          </w:tcPr>
          <w:p w14:paraId="27C51865" w14:textId="3ABD031C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4AD3561" w14:textId="3F39CEF3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6D7115F2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5D82B92E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2EFD6102" w14:textId="7B070A7A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1A0A0" w14:textId="53BCA4F2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58EA6DB4" w14:textId="69D05BF4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6D39">
              <w:rPr>
                <w:rFonts w:ascii="Calibri" w:hAnsi="Calibri" w:cs="Calibri"/>
                <w:i/>
                <w:iCs/>
                <w:color w:val="000000"/>
              </w:rPr>
              <w:t>Tectona grandis</w:t>
            </w:r>
          </w:p>
        </w:tc>
        <w:tc>
          <w:tcPr>
            <w:tcW w:w="1625" w:type="dxa"/>
          </w:tcPr>
          <w:p w14:paraId="3DECB0F2" w14:textId="002D2E8E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A19C612" w14:textId="4F45A58B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5F8AB68A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5829D252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35FEF027" w14:textId="5776721F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6D690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6528EF2" w14:textId="6FA2729A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Tilia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americana </w:t>
            </w:r>
          </w:p>
        </w:tc>
        <w:tc>
          <w:tcPr>
            <w:tcW w:w="1625" w:type="dxa"/>
          </w:tcPr>
          <w:p w14:paraId="700D59B3" w14:textId="605FA7D8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156C1D08" w14:textId="3C4CF986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Rennie and Turgeon 2003</w:t>
            </w:r>
          </w:p>
        </w:tc>
        <w:tc>
          <w:tcPr>
            <w:tcW w:w="1904" w:type="dxa"/>
            <w:gridSpan w:val="2"/>
          </w:tcPr>
          <w:p w14:paraId="2A688853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76050366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6173715B" w14:textId="39604EB9" w:rsidTr="00FF2CD8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44652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774C4276" w14:textId="69B09CC9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C6D39">
              <w:rPr>
                <w:rFonts w:ascii="Calibri" w:hAnsi="Calibri" w:cs="Calibri"/>
                <w:i/>
                <w:iCs/>
                <w:color w:val="000000"/>
              </w:rPr>
              <w:t>Ulmus</w:t>
            </w:r>
            <w:proofErr w:type="spellEnd"/>
            <w:r w:rsidRPr="004C6D39">
              <w:rPr>
                <w:rFonts w:ascii="Calibri" w:hAnsi="Calibri" w:cs="Calibri"/>
                <w:i/>
                <w:iCs/>
                <w:color w:val="000000"/>
              </w:rPr>
              <w:t xml:space="preserve"> americana </w:t>
            </w:r>
          </w:p>
        </w:tc>
        <w:tc>
          <w:tcPr>
            <w:tcW w:w="1625" w:type="dxa"/>
          </w:tcPr>
          <w:p w14:paraId="1E03B1B3" w14:textId="50B6F464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07" w:type="dxa"/>
            <w:gridSpan w:val="2"/>
            <w:vAlign w:val="bottom"/>
          </w:tcPr>
          <w:p w14:paraId="3636A6FA" w14:textId="4B3727EE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Gamalei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1989</w:t>
            </w:r>
          </w:p>
        </w:tc>
        <w:tc>
          <w:tcPr>
            <w:tcW w:w="1904" w:type="dxa"/>
            <w:gridSpan w:val="2"/>
          </w:tcPr>
          <w:p w14:paraId="216EB495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</w:tcPr>
          <w:p w14:paraId="3EB8F3FC" w14:textId="77777777" w:rsidR="00FF2CD8" w:rsidRDefault="00FF2CD8" w:rsidP="004C6D3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2CD8" w:rsidRPr="004C6D39" w14:paraId="736BBE81" w14:textId="5874F026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C5165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36545D5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3FA8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DC756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2B8D3811" w14:textId="0C44E671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58F07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919535F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73761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9395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6FF7CB31" w14:textId="762AAD74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E797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A36BBB5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4989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D20F7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417366A3" w14:textId="4FF69E3D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8931A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AA6B562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E9F5B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6353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2F2F75B8" w14:textId="72EC46D5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DDF1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2AF689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457BD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57DB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5540CC43" w14:textId="0A455DC7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F7A1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43CF2C66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490C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607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5564D79A" w14:textId="75200EB7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3FE2F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3E44808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EC24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174B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36BABCC2" w14:textId="09489D61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F611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73BE1D13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E529F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A4B7C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4A891B53" w14:textId="08BEA533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4915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6B10ED6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3EFD2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43E2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16AE26E1" w14:textId="2D60AFCA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61010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CD94386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8799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4A183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1DD0D449" w14:textId="70F50337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43D10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EAF4814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261BA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95317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3B217D82" w14:textId="69454171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D4E70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562008E5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FD5F9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C6CB6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2DC0CFAD" w14:textId="291358BC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B98C3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82B10E2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7F1A0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FFD3C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6B6A1990" w14:textId="3FE2D7F0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9FEC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B750272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24678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2F6AA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66772C38" w14:textId="473DC7DA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AAB7C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7250BC3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CBDBC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8C5D9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61B2CDB2" w14:textId="3F3ACC88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691DD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2788337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207EA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547CF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CD8" w:rsidRPr="004C6D39" w14:paraId="7FD9AC82" w14:textId="2460B834" w:rsidTr="00FF2CD8">
        <w:trPr>
          <w:gridAfter w:val="2"/>
          <w:wAfter w:w="3059" w:type="dxa"/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3522E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1992A018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1082F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75ADD" w14:textId="77777777" w:rsidR="00FF2CD8" w:rsidRPr="004C6D39" w:rsidRDefault="00FF2CD8" w:rsidP="004C6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27AF3A" w14:textId="77777777" w:rsidR="005004C6" w:rsidRDefault="005004C6"/>
    <w:sectPr w:rsidR="0050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C6"/>
    <w:rsid w:val="001741F8"/>
    <w:rsid w:val="00445126"/>
    <w:rsid w:val="004C6D39"/>
    <w:rsid w:val="005004C6"/>
    <w:rsid w:val="005D04DA"/>
    <w:rsid w:val="005F1DAE"/>
    <w:rsid w:val="00A32D42"/>
    <w:rsid w:val="00AE711B"/>
    <w:rsid w:val="00B00F16"/>
    <w:rsid w:val="00B73F43"/>
    <w:rsid w:val="00DE031B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067F"/>
  <w15:chartTrackingRefBased/>
  <w15:docId w15:val="{65C4FDFC-FC47-49AA-836F-45B425BC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Stanfield</dc:creator>
  <cp:keywords/>
  <dc:description/>
  <cp:lastModifiedBy>Ryan Stanfield</cp:lastModifiedBy>
  <cp:revision>4</cp:revision>
  <dcterms:created xsi:type="dcterms:W3CDTF">2021-12-06T18:35:00Z</dcterms:created>
  <dcterms:modified xsi:type="dcterms:W3CDTF">2021-12-09T03:42:00Z</dcterms:modified>
</cp:coreProperties>
</file>