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1FC2" w14:textId="7F93E8E3" w:rsidR="00193931" w:rsidRDefault="00193931" w:rsidP="00193931">
      <w:pPr>
        <w:pStyle w:val="Heading1"/>
        <w:rPr>
          <w:b w:val="0"/>
        </w:rPr>
      </w:pPr>
      <w:bookmarkStart w:id="0" w:name="_GoBack"/>
      <w:bookmarkEnd w:id="0"/>
      <w:r>
        <w:t>Supplementa</w:t>
      </w:r>
      <w:r w:rsidR="00BB4463">
        <w:t>ry</w:t>
      </w:r>
      <w:r>
        <w:t xml:space="preserve"> Table </w:t>
      </w:r>
      <w:r w:rsidR="00122548">
        <w:t>3</w:t>
      </w:r>
      <w:r>
        <w:t xml:space="preserve">. </w:t>
      </w:r>
      <w:r w:rsidRPr="002F39F2">
        <w:rPr>
          <w:b w:val="0"/>
        </w:rPr>
        <w:t xml:space="preserve">Mean (standard deviation) </w:t>
      </w:r>
      <w:r w:rsidR="00122548">
        <w:rPr>
          <w:b w:val="0"/>
        </w:rPr>
        <w:t>dietary</w:t>
      </w:r>
      <w:r w:rsidRPr="002F39F2">
        <w:rPr>
          <w:b w:val="0"/>
        </w:rPr>
        <w:t xml:space="preserve"> selenium </w:t>
      </w:r>
      <w:r w:rsidR="00122548">
        <w:rPr>
          <w:b w:val="0"/>
        </w:rPr>
        <w:t xml:space="preserve">intake </w:t>
      </w:r>
      <w:r w:rsidRPr="002F39F2">
        <w:rPr>
          <w:b w:val="0"/>
        </w:rPr>
        <w:t xml:space="preserve">at </w:t>
      </w:r>
      <w:proofErr w:type="spellStart"/>
      <w:r w:rsidRPr="002F39F2">
        <w:rPr>
          <w:b w:val="0"/>
        </w:rPr>
        <w:t>endline</w:t>
      </w:r>
      <w:proofErr w:type="spellEnd"/>
      <w:r w:rsidRPr="002F39F2">
        <w:rPr>
          <w:b w:val="0"/>
        </w:rPr>
        <w:t xml:space="preserve"> and the mean difference (bias corrected 95% Confidence Interval</w:t>
      </w:r>
      <w:r w:rsidR="00240516">
        <w:rPr>
          <w:b w:val="0"/>
        </w:rPr>
        <w:t>, calculated using the m</w:t>
      </w:r>
      <w:r w:rsidR="00240516" w:rsidRPr="00240516">
        <w:rPr>
          <w:b w:val="0"/>
        </w:rPr>
        <w:t>ultilevel mixed-effects linear regression</w:t>
      </w:r>
      <w:r w:rsidRPr="002F39F2">
        <w:rPr>
          <w:b w:val="0"/>
        </w:rPr>
        <w:t xml:space="preserve">) between trial arms, among women of reproductive age (WRA) </w:t>
      </w:r>
      <w:r>
        <w:rPr>
          <w:b w:val="0"/>
        </w:rPr>
        <w:t xml:space="preserve">participants by sub-group. Lactation and pregnancy status were self-reported at </w:t>
      </w:r>
      <w:proofErr w:type="spellStart"/>
      <w:r>
        <w:rPr>
          <w:b w:val="0"/>
        </w:rPr>
        <w:t>endline</w:t>
      </w:r>
      <w:proofErr w:type="spellEnd"/>
      <w:r>
        <w:rPr>
          <w:b w:val="0"/>
        </w:rPr>
        <w:t>.</w:t>
      </w:r>
    </w:p>
    <w:tbl>
      <w:tblPr>
        <w:tblStyle w:val="TableGrid"/>
        <w:tblW w:w="11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75"/>
        <w:gridCol w:w="3175"/>
        <w:gridCol w:w="3175"/>
      </w:tblGrid>
      <w:tr w:rsidR="002D4792" w14:paraId="191D0128" w14:textId="77777777" w:rsidTr="002D4792">
        <w:tc>
          <w:tcPr>
            <w:tcW w:w="1838" w:type="dxa"/>
            <w:tcBorders>
              <w:top w:val="single" w:sz="4" w:space="0" w:color="000000"/>
            </w:tcBorders>
          </w:tcPr>
          <w:p w14:paraId="220E8ADB" w14:textId="77777777" w:rsidR="002D4792" w:rsidRDefault="002D4792" w:rsidP="008D5508"/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22F1B6B2" w14:textId="03343F18" w:rsidR="002D4792" w:rsidRPr="002D4792" w:rsidRDefault="002D4792" w:rsidP="008D5508">
            <w:pPr>
              <w:rPr>
                <w:b/>
              </w:rPr>
            </w:pPr>
            <w:r w:rsidRPr="002D4792">
              <w:rPr>
                <w:b/>
              </w:rPr>
              <w:t>Control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2DFA9AEA" w14:textId="0E5FAB09" w:rsidR="002D4792" w:rsidRPr="002D4792" w:rsidRDefault="002D4792" w:rsidP="008D5508">
            <w:pPr>
              <w:rPr>
                <w:b/>
              </w:rPr>
            </w:pPr>
            <w:r w:rsidRPr="002D4792">
              <w:rPr>
                <w:b/>
              </w:rPr>
              <w:t>Intervention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0215CB18" w14:textId="77777777" w:rsidR="002D4792" w:rsidRDefault="002D4792" w:rsidP="008D5508">
            <w:pPr>
              <w:rPr>
                <w:rFonts w:ascii="Calibri" w:eastAsia="Calibri" w:hAnsi="Calibri" w:cs="Times New Roman"/>
              </w:rPr>
            </w:pPr>
          </w:p>
        </w:tc>
      </w:tr>
      <w:tr w:rsidR="002D4792" w14:paraId="55798D49" w14:textId="77777777" w:rsidTr="002D4792">
        <w:tc>
          <w:tcPr>
            <w:tcW w:w="1838" w:type="dxa"/>
          </w:tcPr>
          <w:p w14:paraId="29ED07B7" w14:textId="77777777" w:rsidR="002D4792" w:rsidRDefault="002D4792" w:rsidP="008D5508"/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14FC8D1F" w14:textId="7661E25A" w:rsidR="002D4792" w:rsidRDefault="002D4792" w:rsidP="008D5508">
            <w:proofErr w:type="spellStart"/>
            <w:r>
              <w:t>Endline</w:t>
            </w:r>
            <w:proofErr w:type="spellEnd"/>
            <w:r w:rsidRPr="003D75C2">
              <w:t xml:space="preserve"> </w:t>
            </w:r>
            <w:r>
              <w:t>intake</w:t>
            </w:r>
            <w:r w:rsidRPr="003D75C2">
              <w:t xml:space="preserve"> (µg </w:t>
            </w:r>
            <w:r>
              <w:t>day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24151AE7" w14:textId="7C876206" w:rsidR="002D4792" w:rsidRDefault="002D4792" w:rsidP="008D5508">
            <w:proofErr w:type="spellStart"/>
            <w:r>
              <w:t>Endline</w:t>
            </w:r>
            <w:proofErr w:type="spellEnd"/>
            <w:r w:rsidRPr="003D75C2">
              <w:t xml:space="preserve"> </w:t>
            </w:r>
            <w:r>
              <w:t>intake</w:t>
            </w:r>
            <w:r w:rsidRPr="003D75C2">
              <w:t xml:space="preserve"> (µg </w:t>
            </w:r>
            <w:r>
              <w:t>day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8B5E75C" w14:textId="75855A36" w:rsidR="002D4792" w:rsidRDefault="002D4792" w:rsidP="008D5508">
            <w:r>
              <w:rPr>
                <w:rFonts w:ascii="Calibri" w:eastAsia="Calibri" w:hAnsi="Calibri" w:cs="Times New Roman"/>
              </w:rPr>
              <w:t>Difference</w:t>
            </w:r>
            <w:r w:rsidRPr="00037E6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in</w:t>
            </w:r>
            <w:r w:rsidRPr="00037E6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intake (</w:t>
            </w:r>
            <w:r>
              <w:rPr>
                <w:rFonts w:ascii="Calibri" w:eastAsia="Calibri" w:hAnsi="Calibri" w:cs="Calibri"/>
              </w:rPr>
              <w:t>µ</w:t>
            </w:r>
            <w:r>
              <w:rPr>
                <w:rFonts w:ascii="Calibri" w:eastAsia="Calibri" w:hAnsi="Calibri" w:cs="Times New Roman"/>
              </w:rPr>
              <w:t>g day</w:t>
            </w:r>
            <w:r>
              <w:rPr>
                <w:rFonts w:ascii="Calibri" w:eastAsia="Calibri" w:hAnsi="Calibri" w:cs="Calibri"/>
                <w:vertAlign w:val="superscript"/>
              </w:rPr>
              <w:t>–</w:t>
            </w:r>
            <w:r w:rsidRPr="00037E6B">
              <w:rPr>
                <w:rFonts w:ascii="Calibri" w:eastAsia="Calibri" w:hAnsi="Calibri" w:cs="Times New Roman"/>
                <w:vertAlign w:val="superscript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) </w:t>
            </w:r>
          </w:p>
        </w:tc>
      </w:tr>
      <w:tr w:rsidR="002D4792" w14:paraId="6C83BDE6" w14:textId="77777777" w:rsidTr="002D4792">
        <w:tc>
          <w:tcPr>
            <w:tcW w:w="1838" w:type="dxa"/>
          </w:tcPr>
          <w:p w14:paraId="332E13B2" w14:textId="77777777" w:rsidR="002D4792" w:rsidRPr="003F0A07" w:rsidRDefault="002D4792" w:rsidP="008D5508">
            <w:pPr>
              <w:rPr>
                <w:b/>
                <w:i/>
              </w:rPr>
            </w:pPr>
            <w:r w:rsidRPr="003F0A07">
              <w:rPr>
                <w:b/>
                <w:i/>
              </w:rPr>
              <w:t>Age (years)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330A4846" w14:textId="77777777" w:rsidR="002D4792" w:rsidRPr="005A7647" w:rsidRDefault="002D4792" w:rsidP="008D5508"/>
        </w:tc>
        <w:tc>
          <w:tcPr>
            <w:tcW w:w="3175" w:type="dxa"/>
            <w:tcBorders>
              <w:top w:val="single" w:sz="4" w:space="0" w:color="auto"/>
            </w:tcBorders>
          </w:tcPr>
          <w:p w14:paraId="4AB6773F" w14:textId="77777777" w:rsidR="002D4792" w:rsidRPr="005A7647" w:rsidRDefault="002D4792" w:rsidP="008D5508"/>
        </w:tc>
        <w:tc>
          <w:tcPr>
            <w:tcW w:w="3175" w:type="dxa"/>
            <w:tcBorders>
              <w:top w:val="single" w:sz="4" w:space="0" w:color="auto"/>
            </w:tcBorders>
          </w:tcPr>
          <w:p w14:paraId="55099AC8" w14:textId="77777777" w:rsidR="002D4792" w:rsidRDefault="002D4792" w:rsidP="008D5508"/>
        </w:tc>
      </w:tr>
      <w:tr w:rsidR="002D4792" w14:paraId="2F57B122" w14:textId="77777777" w:rsidTr="002D4792">
        <w:tc>
          <w:tcPr>
            <w:tcW w:w="1838" w:type="dxa"/>
          </w:tcPr>
          <w:p w14:paraId="15191931" w14:textId="77777777" w:rsidR="002D4792" w:rsidRPr="003F0A07" w:rsidRDefault="002D4792" w:rsidP="009F504A">
            <w:pPr>
              <w:ind w:left="22" w:firstLine="142"/>
            </w:pPr>
            <w:r w:rsidRPr="003F0A07">
              <w:t xml:space="preserve">20 </w:t>
            </w:r>
            <w:r w:rsidRPr="003F0A07">
              <w:rPr>
                <w:rFonts w:cstheme="minorHAnsi"/>
              </w:rPr>
              <w:t xml:space="preserve">– </w:t>
            </w:r>
            <w:r w:rsidRPr="003F0A07">
              <w:t>30</w:t>
            </w:r>
          </w:p>
        </w:tc>
        <w:tc>
          <w:tcPr>
            <w:tcW w:w="3175" w:type="dxa"/>
          </w:tcPr>
          <w:p w14:paraId="6171A114" w14:textId="77777777" w:rsidR="002D4792" w:rsidRDefault="002D4792" w:rsidP="009F504A">
            <w:r>
              <w:t>28.9 (29.6)</w:t>
            </w:r>
          </w:p>
          <w:p w14:paraId="2CBA77FB" w14:textId="08D7C95E" w:rsidR="002D4792" w:rsidRPr="005A7647" w:rsidRDefault="002D4792" w:rsidP="009F504A">
            <w:r>
              <w:t>n=32</w:t>
            </w:r>
          </w:p>
        </w:tc>
        <w:tc>
          <w:tcPr>
            <w:tcW w:w="3175" w:type="dxa"/>
          </w:tcPr>
          <w:p w14:paraId="0AE119FE" w14:textId="77777777" w:rsidR="002D4792" w:rsidRDefault="002D4792" w:rsidP="009F504A">
            <w:r>
              <w:t>84.7 (46.9)</w:t>
            </w:r>
          </w:p>
          <w:p w14:paraId="086F82F6" w14:textId="7F5BA11E" w:rsidR="002D4792" w:rsidRPr="005A7647" w:rsidRDefault="002D4792" w:rsidP="009F504A">
            <w:r>
              <w:t>n=24</w:t>
            </w:r>
          </w:p>
        </w:tc>
        <w:tc>
          <w:tcPr>
            <w:tcW w:w="3175" w:type="dxa"/>
          </w:tcPr>
          <w:p w14:paraId="38FFDD93" w14:textId="77777777" w:rsidR="002D4792" w:rsidRDefault="002D4792" w:rsidP="009F504A">
            <w:r>
              <w:t>51.6 (31.8, 71.5)</w:t>
            </w:r>
          </w:p>
          <w:p w14:paraId="4AE431CF" w14:textId="7B873937" w:rsidR="002D4792" w:rsidRDefault="002D4792" w:rsidP="009F504A">
            <w:r>
              <w:t>n=56</w:t>
            </w:r>
          </w:p>
        </w:tc>
      </w:tr>
      <w:tr w:rsidR="002D4792" w14:paraId="2B7D70F8" w14:textId="77777777" w:rsidTr="002D4792">
        <w:tc>
          <w:tcPr>
            <w:tcW w:w="1838" w:type="dxa"/>
          </w:tcPr>
          <w:p w14:paraId="52334482" w14:textId="77777777" w:rsidR="002D4792" w:rsidRPr="003F0A07" w:rsidRDefault="002D4792" w:rsidP="009F504A">
            <w:pPr>
              <w:ind w:left="22" w:firstLine="142"/>
            </w:pPr>
            <w:r w:rsidRPr="003F0A07">
              <w:t xml:space="preserve">30 </w:t>
            </w:r>
            <w:r w:rsidRPr="003F0A07">
              <w:rPr>
                <w:rFonts w:cstheme="minorHAnsi"/>
              </w:rPr>
              <w:t xml:space="preserve">– </w:t>
            </w:r>
            <w:r w:rsidRPr="003F0A07">
              <w:t>40</w:t>
            </w:r>
          </w:p>
        </w:tc>
        <w:tc>
          <w:tcPr>
            <w:tcW w:w="3175" w:type="dxa"/>
          </w:tcPr>
          <w:p w14:paraId="5244D724" w14:textId="77777777" w:rsidR="002D4792" w:rsidRDefault="002D4792" w:rsidP="009F504A">
            <w:r>
              <w:t>29.4 (38.8)</w:t>
            </w:r>
          </w:p>
          <w:p w14:paraId="65CEB595" w14:textId="35FE525A" w:rsidR="002D4792" w:rsidRDefault="002D4792" w:rsidP="009F504A">
            <w:r>
              <w:t>n=39</w:t>
            </w:r>
          </w:p>
        </w:tc>
        <w:tc>
          <w:tcPr>
            <w:tcW w:w="3175" w:type="dxa"/>
          </w:tcPr>
          <w:p w14:paraId="4F556854" w14:textId="77777777" w:rsidR="002D4792" w:rsidRDefault="002D4792" w:rsidP="00812D36">
            <w:r>
              <w:t>80.6 (37.7)</w:t>
            </w:r>
          </w:p>
          <w:p w14:paraId="47D357E6" w14:textId="4B570D41" w:rsidR="002D4792" w:rsidRDefault="002D4792" w:rsidP="009F504A">
            <w:r>
              <w:t>n=39</w:t>
            </w:r>
          </w:p>
        </w:tc>
        <w:tc>
          <w:tcPr>
            <w:tcW w:w="3175" w:type="dxa"/>
          </w:tcPr>
          <w:p w14:paraId="11DFFFBA" w14:textId="77777777" w:rsidR="002D4792" w:rsidRDefault="002D4792" w:rsidP="009F504A">
            <w:r>
              <w:t>65.0 (48.2, 81.8)</w:t>
            </w:r>
          </w:p>
          <w:p w14:paraId="59624EFF" w14:textId="71AAAA8B" w:rsidR="002D4792" w:rsidRDefault="002D4792" w:rsidP="009F504A">
            <w:r w:rsidRPr="00E719F0">
              <w:t>n=</w:t>
            </w:r>
            <w:r>
              <w:t>78</w:t>
            </w:r>
          </w:p>
        </w:tc>
      </w:tr>
      <w:tr w:rsidR="002D4792" w14:paraId="4F99B2B8" w14:textId="77777777" w:rsidTr="002D4792">
        <w:tc>
          <w:tcPr>
            <w:tcW w:w="1838" w:type="dxa"/>
          </w:tcPr>
          <w:p w14:paraId="066395E4" w14:textId="77777777" w:rsidR="002D4792" w:rsidRPr="003F0A07" w:rsidRDefault="002D4792" w:rsidP="009F504A">
            <w:pPr>
              <w:ind w:left="22" w:firstLine="142"/>
            </w:pPr>
            <w:r w:rsidRPr="003F0A07">
              <w:rPr>
                <w:rFonts w:cstheme="minorHAnsi"/>
              </w:rPr>
              <w:t>≥</w:t>
            </w:r>
            <w:r w:rsidRPr="003F0A07">
              <w:t xml:space="preserve"> 40</w:t>
            </w:r>
          </w:p>
        </w:tc>
        <w:tc>
          <w:tcPr>
            <w:tcW w:w="3175" w:type="dxa"/>
          </w:tcPr>
          <w:p w14:paraId="78AA0B1A" w14:textId="77777777" w:rsidR="002D4792" w:rsidRDefault="002D4792" w:rsidP="009F504A">
            <w:r>
              <w:t>21.0 (23.5)</w:t>
            </w:r>
          </w:p>
          <w:p w14:paraId="23F9685F" w14:textId="2E78DE6E" w:rsidR="002D4792" w:rsidRDefault="002D4792" w:rsidP="009F504A">
            <w:r>
              <w:t>n=17</w:t>
            </w:r>
          </w:p>
        </w:tc>
        <w:tc>
          <w:tcPr>
            <w:tcW w:w="3175" w:type="dxa"/>
          </w:tcPr>
          <w:p w14:paraId="7E7FAE11" w14:textId="77777777" w:rsidR="002D4792" w:rsidRDefault="002D4792" w:rsidP="00812D36">
            <w:r>
              <w:t>55.5 (9.6)</w:t>
            </w:r>
          </w:p>
          <w:p w14:paraId="708E02D9" w14:textId="7B81F3F9" w:rsidR="002D4792" w:rsidRDefault="002D4792" w:rsidP="009F504A">
            <w:r>
              <w:t>n=26</w:t>
            </w:r>
          </w:p>
        </w:tc>
        <w:tc>
          <w:tcPr>
            <w:tcW w:w="3175" w:type="dxa"/>
          </w:tcPr>
          <w:p w14:paraId="13103FC9" w14:textId="77777777" w:rsidR="002D4792" w:rsidRDefault="002D4792" w:rsidP="009F504A">
            <w:r>
              <w:t>55.8 (32.6, 79.0)</w:t>
            </w:r>
          </w:p>
          <w:p w14:paraId="716BCCB8" w14:textId="0F03D305" w:rsidR="002D4792" w:rsidRDefault="002D4792" w:rsidP="009F504A">
            <w:r w:rsidRPr="00E719F0">
              <w:t>n</w:t>
            </w:r>
            <w:r>
              <w:t>=43</w:t>
            </w:r>
          </w:p>
        </w:tc>
      </w:tr>
      <w:tr w:rsidR="002D4792" w14:paraId="1E9056A0" w14:textId="77777777" w:rsidTr="002D4792">
        <w:tc>
          <w:tcPr>
            <w:tcW w:w="1838" w:type="dxa"/>
          </w:tcPr>
          <w:p w14:paraId="566A0AB1" w14:textId="77777777" w:rsidR="002D4792" w:rsidRPr="003F0A07" w:rsidRDefault="002D4792" w:rsidP="009F504A">
            <w:pPr>
              <w:rPr>
                <w:rFonts w:cstheme="minorHAnsi"/>
                <w:b/>
                <w:i/>
              </w:rPr>
            </w:pPr>
            <w:r w:rsidRPr="003F0A07">
              <w:rPr>
                <w:rFonts w:cstheme="minorHAnsi"/>
                <w:b/>
                <w:i/>
              </w:rPr>
              <w:t>Lactation status</w:t>
            </w:r>
          </w:p>
        </w:tc>
        <w:tc>
          <w:tcPr>
            <w:tcW w:w="3175" w:type="dxa"/>
          </w:tcPr>
          <w:p w14:paraId="6D6E60C5" w14:textId="77777777" w:rsidR="002D4792" w:rsidRPr="005A7647" w:rsidRDefault="002D4792" w:rsidP="009F504A"/>
        </w:tc>
        <w:tc>
          <w:tcPr>
            <w:tcW w:w="3175" w:type="dxa"/>
          </w:tcPr>
          <w:p w14:paraId="4CEAA187" w14:textId="422CFDB6" w:rsidR="002D4792" w:rsidRPr="005A7647" w:rsidRDefault="002D4792" w:rsidP="009F504A"/>
        </w:tc>
        <w:tc>
          <w:tcPr>
            <w:tcW w:w="3175" w:type="dxa"/>
          </w:tcPr>
          <w:p w14:paraId="6043A7FC" w14:textId="77777777" w:rsidR="002D4792" w:rsidRDefault="002D4792" w:rsidP="009F504A"/>
        </w:tc>
      </w:tr>
      <w:tr w:rsidR="002D4792" w14:paraId="20396047" w14:textId="77777777" w:rsidTr="002D4792">
        <w:tc>
          <w:tcPr>
            <w:tcW w:w="1838" w:type="dxa"/>
          </w:tcPr>
          <w:p w14:paraId="2257F711" w14:textId="77777777" w:rsidR="002D4792" w:rsidRPr="003F0A07" w:rsidRDefault="002D4792" w:rsidP="009F504A">
            <w:pPr>
              <w:ind w:firstLine="164"/>
              <w:rPr>
                <w:rFonts w:cstheme="minorHAnsi"/>
              </w:rPr>
            </w:pPr>
            <w:r w:rsidRPr="003F0A07">
              <w:rPr>
                <w:rFonts w:cstheme="minorHAnsi"/>
              </w:rPr>
              <w:t>Not lactating</w:t>
            </w:r>
          </w:p>
        </w:tc>
        <w:tc>
          <w:tcPr>
            <w:tcW w:w="3175" w:type="dxa"/>
          </w:tcPr>
          <w:p w14:paraId="0B5528E7" w14:textId="77777777" w:rsidR="00E80F15" w:rsidRDefault="00E80F15" w:rsidP="00E80F15">
            <w:r>
              <w:t>25.6 (28.4)</w:t>
            </w:r>
          </w:p>
          <w:p w14:paraId="67C8840F" w14:textId="2785B88B" w:rsidR="002D4792" w:rsidRPr="005A7647" w:rsidRDefault="00E80F15">
            <w:r>
              <w:t>n=66</w:t>
            </w:r>
          </w:p>
        </w:tc>
        <w:tc>
          <w:tcPr>
            <w:tcW w:w="3175" w:type="dxa"/>
          </w:tcPr>
          <w:p w14:paraId="64462400" w14:textId="77777777" w:rsidR="00E80F15" w:rsidRDefault="00E80F15" w:rsidP="00E80F15">
            <w:r>
              <w:t>82.3 (37.3)</w:t>
            </w:r>
          </w:p>
          <w:p w14:paraId="304754E2" w14:textId="658F125D" w:rsidR="002D4792" w:rsidRPr="005A7647" w:rsidRDefault="00E80F15">
            <w:r>
              <w:t>n=62</w:t>
            </w:r>
          </w:p>
        </w:tc>
        <w:tc>
          <w:tcPr>
            <w:tcW w:w="3175" w:type="dxa"/>
          </w:tcPr>
          <w:p w14:paraId="326D10AB" w14:textId="77777777" w:rsidR="00E80F15" w:rsidRDefault="00E80F15" w:rsidP="00E80F15">
            <w:r w:rsidRPr="00371270">
              <w:t>5</w:t>
            </w:r>
            <w:r>
              <w:t>4.9 (41.9,</w:t>
            </w:r>
            <w:r w:rsidRPr="00371270">
              <w:t xml:space="preserve"> </w:t>
            </w:r>
            <w:r>
              <w:t>67.9)</w:t>
            </w:r>
          </w:p>
          <w:p w14:paraId="243F01EB" w14:textId="1AA0EB0F" w:rsidR="002D4792" w:rsidRDefault="00E80F15">
            <w:r w:rsidRPr="00E719F0">
              <w:t>n</w:t>
            </w:r>
            <w:r>
              <w:t>=128</w:t>
            </w:r>
          </w:p>
        </w:tc>
      </w:tr>
      <w:tr w:rsidR="002D4792" w14:paraId="4E6DADFD" w14:textId="77777777" w:rsidTr="002D4792">
        <w:tc>
          <w:tcPr>
            <w:tcW w:w="1838" w:type="dxa"/>
          </w:tcPr>
          <w:p w14:paraId="542F3758" w14:textId="77777777" w:rsidR="002D4792" w:rsidRPr="003F0A07" w:rsidRDefault="002D4792" w:rsidP="009F504A">
            <w:pPr>
              <w:ind w:firstLine="164"/>
              <w:rPr>
                <w:rFonts w:cstheme="minorHAnsi"/>
              </w:rPr>
            </w:pPr>
            <w:r w:rsidRPr="003F0A07">
              <w:rPr>
                <w:rFonts w:cstheme="minorHAnsi"/>
              </w:rPr>
              <w:t>Lactating</w:t>
            </w:r>
          </w:p>
        </w:tc>
        <w:tc>
          <w:tcPr>
            <w:tcW w:w="3175" w:type="dxa"/>
          </w:tcPr>
          <w:p w14:paraId="4CBA01C7" w14:textId="77777777" w:rsidR="00E80F15" w:rsidRDefault="00E80F15" w:rsidP="00E80F15">
            <w:r>
              <w:t xml:space="preserve">33.7 (44.0) </w:t>
            </w:r>
          </w:p>
          <w:p w14:paraId="4E764CF1" w14:textId="5D6EEDDE" w:rsidR="002D4792" w:rsidRPr="005A7647" w:rsidRDefault="00E80F15" w:rsidP="009F504A">
            <w:r>
              <w:t>n=22</w:t>
            </w:r>
          </w:p>
        </w:tc>
        <w:tc>
          <w:tcPr>
            <w:tcW w:w="3175" w:type="dxa"/>
          </w:tcPr>
          <w:p w14:paraId="3597BE7C" w14:textId="77777777" w:rsidR="00E80F15" w:rsidRDefault="00E80F15" w:rsidP="00E80F15">
            <w:r>
              <w:t>97.6 (61.1)</w:t>
            </w:r>
          </w:p>
          <w:p w14:paraId="63DE0866" w14:textId="2575EA81" w:rsidR="002D4792" w:rsidRPr="005A7647" w:rsidRDefault="00E80F15" w:rsidP="009F504A">
            <w:r>
              <w:t>n=27</w:t>
            </w:r>
          </w:p>
        </w:tc>
        <w:tc>
          <w:tcPr>
            <w:tcW w:w="3175" w:type="dxa"/>
          </w:tcPr>
          <w:p w14:paraId="78D4A2C9" w14:textId="77777777" w:rsidR="00E80F15" w:rsidRDefault="00E80F15" w:rsidP="00E80F15">
            <w:r>
              <w:t>62.7 (41.7,</w:t>
            </w:r>
            <w:r w:rsidRPr="00E71CF3">
              <w:t xml:space="preserve"> </w:t>
            </w:r>
            <w:r>
              <w:t>83.6)</w:t>
            </w:r>
          </w:p>
          <w:p w14:paraId="6F453E23" w14:textId="661203A5" w:rsidR="002D4792" w:rsidRDefault="00E80F15" w:rsidP="009F504A">
            <w:r w:rsidRPr="00E719F0">
              <w:t>n</w:t>
            </w:r>
            <w:r>
              <w:t>=49</w:t>
            </w:r>
          </w:p>
        </w:tc>
      </w:tr>
      <w:tr w:rsidR="002D4792" w14:paraId="601ABB26" w14:textId="77777777" w:rsidTr="002D4792">
        <w:tc>
          <w:tcPr>
            <w:tcW w:w="1838" w:type="dxa"/>
          </w:tcPr>
          <w:p w14:paraId="60B8A4B1" w14:textId="77777777" w:rsidR="002D4792" w:rsidRPr="003F0A07" w:rsidRDefault="002D4792" w:rsidP="009F504A">
            <w:pPr>
              <w:rPr>
                <w:rFonts w:cstheme="minorHAnsi"/>
                <w:b/>
                <w:i/>
              </w:rPr>
            </w:pPr>
            <w:r w:rsidRPr="003F0A07">
              <w:rPr>
                <w:rFonts w:cstheme="minorHAnsi"/>
                <w:b/>
                <w:i/>
              </w:rPr>
              <w:t>Pregnancy status</w:t>
            </w:r>
          </w:p>
        </w:tc>
        <w:tc>
          <w:tcPr>
            <w:tcW w:w="3175" w:type="dxa"/>
          </w:tcPr>
          <w:p w14:paraId="6EE93808" w14:textId="77777777" w:rsidR="002D4792" w:rsidRPr="005A7647" w:rsidRDefault="002D4792" w:rsidP="009F504A"/>
        </w:tc>
        <w:tc>
          <w:tcPr>
            <w:tcW w:w="3175" w:type="dxa"/>
          </w:tcPr>
          <w:p w14:paraId="14B6B4B7" w14:textId="77777777" w:rsidR="002D4792" w:rsidRPr="005A7647" w:rsidRDefault="002D4792" w:rsidP="009F504A"/>
        </w:tc>
        <w:tc>
          <w:tcPr>
            <w:tcW w:w="3175" w:type="dxa"/>
          </w:tcPr>
          <w:p w14:paraId="403F8694" w14:textId="77777777" w:rsidR="002D4792" w:rsidRDefault="002D4792" w:rsidP="009F504A"/>
        </w:tc>
      </w:tr>
      <w:tr w:rsidR="002D4792" w14:paraId="29CE1342" w14:textId="77777777" w:rsidTr="002D4792">
        <w:tc>
          <w:tcPr>
            <w:tcW w:w="1838" w:type="dxa"/>
          </w:tcPr>
          <w:p w14:paraId="7C8A8368" w14:textId="77777777" w:rsidR="002D4792" w:rsidRPr="003F0A07" w:rsidRDefault="002D4792" w:rsidP="009F504A">
            <w:pPr>
              <w:ind w:firstLine="164"/>
              <w:rPr>
                <w:rFonts w:cstheme="minorHAnsi"/>
              </w:rPr>
            </w:pPr>
            <w:r>
              <w:rPr>
                <w:rFonts w:cstheme="minorHAnsi"/>
              </w:rPr>
              <w:t>Not p</w:t>
            </w:r>
            <w:r w:rsidRPr="003F0A07">
              <w:rPr>
                <w:rFonts w:cstheme="minorHAnsi"/>
              </w:rPr>
              <w:t>regnant</w:t>
            </w:r>
          </w:p>
        </w:tc>
        <w:tc>
          <w:tcPr>
            <w:tcW w:w="3175" w:type="dxa"/>
          </w:tcPr>
          <w:p w14:paraId="53CE2437" w14:textId="77777777" w:rsidR="002D4792" w:rsidRDefault="002D4792" w:rsidP="009F504A">
            <w:r>
              <w:t>28.0 (33.1)</w:t>
            </w:r>
          </w:p>
          <w:p w14:paraId="7B640EB4" w14:textId="2583FEAE" w:rsidR="002D4792" w:rsidRPr="005A7647" w:rsidRDefault="002D4792" w:rsidP="009F504A">
            <w:r>
              <w:t>n=86</w:t>
            </w:r>
          </w:p>
        </w:tc>
        <w:tc>
          <w:tcPr>
            <w:tcW w:w="3175" w:type="dxa"/>
          </w:tcPr>
          <w:p w14:paraId="1A082A56" w14:textId="1AD459CA" w:rsidR="002D4792" w:rsidRDefault="002D4792" w:rsidP="009F504A">
            <w:r>
              <w:t>87.6 (46.3)</w:t>
            </w:r>
          </w:p>
          <w:p w14:paraId="19A3AA9F" w14:textId="2009261F" w:rsidR="002D4792" w:rsidRPr="005A7647" w:rsidRDefault="002D4792" w:rsidP="009F504A">
            <w:r>
              <w:t>n=87</w:t>
            </w:r>
          </w:p>
        </w:tc>
        <w:tc>
          <w:tcPr>
            <w:tcW w:w="3175" w:type="dxa"/>
          </w:tcPr>
          <w:p w14:paraId="36D54FC2" w14:textId="77777777" w:rsidR="002D4792" w:rsidRDefault="002D4792" w:rsidP="009F504A">
            <w:r>
              <w:t>58.0 (46.7,</w:t>
            </w:r>
            <w:r w:rsidRPr="00C70437">
              <w:t xml:space="preserve"> </w:t>
            </w:r>
            <w:r>
              <w:t>69.3)</w:t>
            </w:r>
          </w:p>
          <w:p w14:paraId="30618F95" w14:textId="6E20E382" w:rsidR="002D4792" w:rsidRDefault="002D4792" w:rsidP="009F504A">
            <w:r w:rsidRPr="00E719F0">
              <w:t>n</w:t>
            </w:r>
            <w:r>
              <w:t>=173</w:t>
            </w:r>
          </w:p>
        </w:tc>
      </w:tr>
      <w:tr w:rsidR="002D4792" w14:paraId="3EEF52E9" w14:textId="77777777" w:rsidTr="002D4792">
        <w:tc>
          <w:tcPr>
            <w:tcW w:w="1838" w:type="dxa"/>
            <w:tcBorders>
              <w:bottom w:val="single" w:sz="4" w:space="0" w:color="auto"/>
            </w:tcBorders>
          </w:tcPr>
          <w:p w14:paraId="61C5936E" w14:textId="77777777" w:rsidR="002D4792" w:rsidRPr="003F0A07" w:rsidRDefault="002D4792" w:rsidP="009F504A">
            <w:pPr>
              <w:ind w:firstLine="164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F0A07">
              <w:rPr>
                <w:rFonts w:cstheme="minorHAnsi"/>
              </w:rPr>
              <w:t>regnant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6755A1E" w14:textId="2A2811E7" w:rsidR="002D4792" w:rsidRDefault="002D4792" w:rsidP="009F504A">
            <w:r>
              <w:t xml:space="preserve">10.5 (10.0) </w:t>
            </w:r>
          </w:p>
          <w:p w14:paraId="21D04B57" w14:textId="5A66025C" w:rsidR="002D4792" w:rsidRPr="005A7647" w:rsidRDefault="002D4792" w:rsidP="009F504A">
            <w:r>
              <w:t>n=2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62353B60" w14:textId="10389734" w:rsidR="002D4792" w:rsidRDefault="002D4792" w:rsidP="009F504A">
            <w:r>
              <w:t>55.5 (9.6)</w:t>
            </w:r>
          </w:p>
          <w:p w14:paraId="10DFA698" w14:textId="185A7B34" w:rsidR="002D4792" w:rsidRPr="005A7647" w:rsidRDefault="002D4792" w:rsidP="009F504A">
            <w:r>
              <w:t>n=2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6F06CE16" w14:textId="77777777" w:rsidR="002D4792" w:rsidRDefault="002D4792" w:rsidP="009F504A">
            <w:r>
              <w:t>42.6 (-32.5,</w:t>
            </w:r>
            <w:r w:rsidRPr="00C70437">
              <w:t xml:space="preserve"> </w:t>
            </w:r>
            <w:r>
              <w:t>117.6)</w:t>
            </w:r>
          </w:p>
          <w:p w14:paraId="731D1D06" w14:textId="64DD1466" w:rsidR="002D4792" w:rsidRDefault="002D4792" w:rsidP="009F504A">
            <w:r w:rsidRPr="00E719F0">
              <w:t>n</w:t>
            </w:r>
            <w:r>
              <w:t>=4</w:t>
            </w:r>
          </w:p>
        </w:tc>
      </w:tr>
    </w:tbl>
    <w:p w14:paraId="7E4C857D" w14:textId="015CE1ED" w:rsidR="00193931" w:rsidRDefault="00193931" w:rsidP="00193931">
      <w:pPr>
        <w:suppressLineNumbers/>
      </w:pPr>
    </w:p>
    <w:p w14:paraId="6353EFC7" w14:textId="5F85683B" w:rsidR="00711966" w:rsidRDefault="00711966" w:rsidP="00193931">
      <w:pPr>
        <w:suppressLineNumbers/>
      </w:pPr>
    </w:p>
    <w:p w14:paraId="58AA0C3D" w14:textId="5EEA1AEB" w:rsidR="008A04C7" w:rsidRDefault="008A04C7"/>
    <w:sectPr w:rsidR="008A04C7" w:rsidSect="001939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484F" w16cex:dateUtc="2021-09-19T22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1"/>
    <w:rsid w:val="000A1CA1"/>
    <w:rsid w:val="00122548"/>
    <w:rsid w:val="0013031A"/>
    <w:rsid w:val="00193931"/>
    <w:rsid w:val="001A5700"/>
    <w:rsid w:val="001B26C2"/>
    <w:rsid w:val="00240516"/>
    <w:rsid w:val="002D4792"/>
    <w:rsid w:val="002F6439"/>
    <w:rsid w:val="00312703"/>
    <w:rsid w:val="00332A18"/>
    <w:rsid w:val="005937C0"/>
    <w:rsid w:val="006918B9"/>
    <w:rsid w:val="00711966"/>
    <w:rsid w:val="007136AB"/>
    <w:rsid w:val="00781D7B"/>
    <w:rsid w:val="00812D36"/>
    <w:rsid w:val="008A04C7"/>
    <w:rsid w:val="009F504A"/>
    <w:rsid w:val="00A12B28"/>
    <w:rsid w:val="00AE190E"/>
    <w:rsid w:val="00AF6586"/>
    <w:rsid w:val="00B4774B"/>
    <w:rsid w:val="00BB4463"/>
    <w:rsid w:val="00C81C5A"/>
    <w:rsid w:val="00CB341D"/>
    <w:rsid w:val="00E4587E"/>
    <w:rsid w:val="00E80F15"/>
    <w:rsid w:val="00EA130D"/>
    <w:rsid w:val="00EF6182"/>
    <w:rsid w:val="00F15D42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0B6E"/>
  <w15:chartTrackingRefBased/>
  <w15:docId w15:val="{6049BE2F-A943-4204-A030-428C2DF9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93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3931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931"/>
    <w:rPr>
      <w:rFonts w:eastAsiaTheme="majorEastAsia" w:cstheme="majorBidi"/>
      <w:b/>
      <w:color w:val="000000" w:themeColor="text1"/>
      <w:szCs w:val="32"/>
    </w:rPr>
  </w:style>
  <w:style w:type="table" w:styleId="TableGrid">
    <w:name w:val="Table Grid"/>
    <w:basedOn w:val="TableNormal"/>
    <w:uiPriority w:val="39"/>
    <w:rsid w:val="001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4</cp:revision>
  <dcterms:created xsi:type="dcterms:W3CDTF">2021-12-01T09:22:00Z</dcterms:created>
  <dcterms:modified xsi:type="dcterms:W3CDTF">2021-12-01T15:25:00Z</dcterms:modified>
</cp:coreProperties>
</file>