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BB9D4" w14:textId="179E541A" w:rsidR="002B201F" w:rsidRDefault="00A81908">
      <w:pPr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/>
          <w:b/>
          <w:sz w:val="36"/>
          <w:szCs w:val="36"/>
        </w:rPr>
        <w:t>Extended</w:t>
      </w:r>
      <w:r w:rsidR="00693657" w:rsidRPr="00397EF3">
        <w:rPr>
          <w:rFonts w:asciiTheme="majorBidi" w:hAnsiTheme="majorBidi" w:cstheme="majorBidi"/>
          <w:b/>
          <w:sz w:val="36"/>
          <w:szCs w:val="36"/>
        </w:rPr>
        <w:t xml:space="preserve"> Material</w:t>
      </w:r>
      <w:r>
        <w:rPr>
          <w:rFonts w:asciiTheme="majorBidi" w:hAnsiTheme="majorBidi" w:cstheme="majorBidi"/>
          <w:b/>
          <w:sz w:val="36"/>
          <w:szCs w:val="36"/>
        </w:rPr>
        <w:t>s</w:t>
      </w:r>
      <w:r w:rsidR="00693657" w:rsidRPr="00397EF3">
        <w:rPr>
          <w:rFonts w:asciiTheme="majorBidi" w:hAnsiTheme="majorBidi" w:cstheme="majorBidi"/>
          <w:b/>
          <w:sz w:val="36"/>
          <w:szCs w:val="36"/>
        </w:rPr>
        <w:t xml:space="preserve"> </w:t>
      </w:r>
      <w:r w:rsidR="00043B08" w:rsidRPr="00397EF3">
        <w:rPr>
          <w:rFonts w:asciiTheme="majorBidi" w:hAnsiTheme="majorBidi" w:cstheme="majorBidi"/>
          <w:b/>
          <w:sz w:val="36"/>
          <w:szCs w:val="36"/>
        </w:rPr>
        <w:t>1</w:t>
      </w:r>
    </w:p>
    <w:p w14:paraId="43DD3420" w14:textId="38735F5E" w:rsidR="002C3807" w:rsidRPr="00CA2941" w:rsidRDefault="00E55274" w:rsidP="00C35AE8">
      <w:pPr>
        <w:pStyle w:val="Heading2"/>
        <w:rPr>
          <w:rFonts w:asciiTheme="majorBidi" w:hAnsiTheme="majorBidi" w:cstheme="majorBidi"/>
          <w:b w:val="0"/>
          <w:i/>
          <w:sz w:val="22"/>
          <w:szCs w:val="22"/>
        </w:rPr>
      </w:pPr>
      <w:r>
        <w:rPr>
          <w:rFonts w:asciiTheme="majorBidi" w:hAnsiTheme="majorBidi" w:cstheme="majorBidi"/>
          <w:b w:val="0"/>
        </w:rPr>
        <w:t>Toward b</w:t>
      </w:r>
      <w:r w:rsidR="002C3807" w:rsidRPr="00CA2941">
        <w:rPr>
          <w:rFonts w:asciiTheme="majorBidi" w:hAnsiTheme="majorBidi" w:cstheme="majorBidi"/>
          <w:b w:val="0"/>
        </w:rPr>
        <w:t>est practices for controlling mammalian cell culture environments</w:t>
      </w:r>
      <w:r w:rsidR="002C3807" w:rsidRPr="00CA2941">
        <w:rPr>
          <w:rFonts w:asciiTheme="majorBidi" w:hAnsiTheme="majorBidi" w:cstheme="majorBidi"/>
        </w:rPr>
        <w:br/>
      </w:r>
      <w:r w:rsidR="002C3807" w:rsidRPr="00CA2941">
        <w:rPr>
          <w:rFonts w:asciiTheme="majorBidi" w:hAnsiTheme="majorBidi" w:cstheme="majorBidi"/>
        </w:rPr>
        <w:br/>
      </w:r>
      <w:r w:rsidR="002C3807" w:rsidRPr="00CA2941">
        <w:rPr>
          <w:rFonts w:asciiTheme="majorBidi" w:hAnsiTheme="majorBidi" w:cstheme="majorBidi"/>
          <w:b w:val="0"/>
          <w:i/>
          <w:sz w:val="22"/>
          <w:szCs w:val="22"/>
        </w:rPr>
        <w:t>Shannon G. Klein</w:t>
      </w:r>
      <w:r w:rsidR="002C3807" w:rsidRPr="00CA2941">
        <w:rPr>
          <w:rFonts w:asciiTheme="majorBidi" w:hAnsiTheme="majorBidi" w:cstheme="majorBidi"/>
          <w:b w:val="0"/>
          <w:i/>
          <w:sz w:val="22"/>
          <w:szCs w:val="22"/>
          <w:vertAlign w:val="superscript"/>
        </w:rPr>
        <w:t>1</w:t>
      </w:r>
      <w:r w:rsidR="002C3807" w:rsidRPr="00CA2941">
        <w:rPr>
          <w:rFonts w:asciiTheme="majorBidi" w:hAnsiTheme="majorBidi" w:cstheme="majorBidi"/>
          <w:b w:val="0"/>
          <w:i/>
          <w:sz w:val="22"/>
          <w:szCs w:val="22"/>
        </w:rPr>
        <w:t>, Alexandra Steckbauer</w:t>
      </w:r>
      <w:r w:rsidR="002C3807" w:rsidRPr="00CA2941">
        <w:rPr>
          <w:rFonts w:asciiTheme="majorBidi" w:hAnsiTheme="majorBidi" w:cstheme="majorBidi"/>
          <w:b w:val="0"/>
          <w:i/>
          <w:sz w:val="22"/>
          <w:szCs w:val="22"/>
          <w:vertAlign w:val="superscript"/>
        </w:rPr>
        <w:t>1</w:t>
      </w:r>
      <w:r w:rsidR="002C3807" w:rsidRPr="00CA2941">
        <w:rPr>
          <w:rFonts w:asciiTheme="majorBidi" w:hAnsiTheme="majorBidi" w:cstheme="majorBidi"/>
          <w:b w:val="0"/>
          <w:i/>
          <w:sz w:val="22"/>
          <w:szCs w:val="22"/>
        </w:rPr>
        <w:t>, Samhan M. Alsolami</w:t>
      </w:r>
      <w:r w:rsidR="002C3807" w:rsidRPr="00CA2941">
        <w:rPr>
          <w:rFonts w:asciiTheme="majorBidi" w:hAnsiTheme="majorBidi" w:cstheme="majorBidi"/>
          <w:b w:val="0"/>
          <w:i/>
          <w:sz w:val="22"/>
          <w:szCs w:val="22"/>
          <w:vertAlign w:val="superscript"/>
        </w:rPr>
        <w:t>2</w:t>
      </w:r>
      <w:r w:rsidR="002C3807" w:rsidRPr="00CA2941">
        <w:rPr>
          <w:rFonts w:asciiTheme="majorBidi" w:hAnsiTheme="majorBidi" w:cstheme="majorBidi"/>
          <w:b w:val="0"/>
          <w:i/>
          <w:sz w:val="22"/>
          <w:szCs w:val="22"/>
        </w:rPr>
        <w:t>, Silvia Arossa</w:t>
      </w:r>
      <w:r w:rsidR="002C3807" w:rsidRPr="00CA2941">
        <w:rPr>
          <w:rFonts w:asciiTheme="majorBidi" w:hAnsiTheme="majorBidi" w:cstheme="majorBidi"/>
          <w:b w:val="0"/>
          <w:i/>
          <w:sz w:val="22"/>
          <w:szCs w:val="22"/>
          <w:vertAlign w:val="superscript"/>
        </w:rPr>
        <w:t>1</w:t>
      </w:r>
      <w:r w:rsidR="002C3807" w:rsidRPr="00CA2941">
        <w:rPr>
          <w:rFonts w:asciiTheme="majorBidi" w:hAnsiTheme="majorBidi" w:cstheme="majorBidi"/>
          <w:b w:val="0"/>
          <w:i/>
          <w:sz w:val="22"/>
          <w:szCs w:val="22"/>
        </w:rPr>
        <w:t>, Anieka J. Parry</w:t>
      </w:r>
      <w:r w:rsidR="002C3807" w:rsidRPr="00CA2941">
        <w:rPr>
          <w:rFonts w:asciiTheme="majorBidi" w:hAnsiTheme="majorBidi" w:cstheme="majorBidi"/>
          <w:b w:val="0"/>
          <w:i/>
          <w:sz w:val="22"/>
          <w:szCs w:val="22"/>
          <w:vertAlign w:val="superscript"/>
        </w:rPr>
        <w:t>1</w:t>
      </w:r>
      <w:r w:rsidR="002C3807" w:rsidRPr="00CA2941">
        <w:rPr>
          <w:rFonts w:asciiTheme="majorBidi" w:hAnsiTheme="majorBidi" w:cstheme="majorBidi"/>
          <w:b w:val="0"/>
          <w:i/>
          <w:sz w:val="22"/>
          <w:szCs w:val="22"/>
        </w:rPr>
        <w:t>, Mo Li</w:t>
      </w:r>
      <w:r w:rsidR="002C3807" w:rsidRPr="00CA2941">
        <w:rPr>
          <w:rFonts w:asciiTheme="majorBidi" w:hAnsiTheme="majorBidi" w:cstheme="majorBidi"/>
          <w:b w:val="0"/>
          <w:i/>
          <w:sz w:val="22"/>
          <w:szCs w:val="22"/>
          <w:vertAlign w:val="superscript"/>
        </w:rPr>
        <w:t>2</w:t>
      </w:r>
      <w:r w:rsidR="00C35AE8">
        <w:rPr>
          <w:rFonts w:asciiTheme="majorBidi" w:hAnsiTheme="majorBidi" w:cstheme="majorBidi"/>
          <w:b w:val="0"/>
          <w:i/>
          <w:sz w:val="22"/>
          <w:szCs w:val="22"/>
          <w:vertAlign w:val="superscript"/>
        </w:rPr>
        <w:t>*</w:t>
      </w:r>
      <w:r w:rsidR="002C3807" w:rsidRPr="00CA2941">
        <w:rPr>
          <w:rFonts w:asciiTheme="majorBidi" w:hAnsiTheme="majorBidi" w:cstheme="majorBidi"/>
          <w:b w:val="0"/>
          <w:i/>
          <w:sz w:val="22"/>
          <w:szCs w:val="22"/>
        </w:rPr>
        <w:t>, and Carlos M. Duarte</w:t>
      </w:r>
      <w:r w:rsidR="002C3807" w:rsidRPr="00CA2941">
        <w:rPr>
          <w:rFonts w:asciiTheme="majorBidi" w:hAnsiTheme="majorBidi" w:cstheme="majorBidi"/>
          <w:b w:val="0"/>
          <w:i/>
          <w:sz w:val="22"/>
          <w:szCs w:val="22"/>
          <w:vertAlign w:val="superscript"/>
        </w:rPr>
        <w:t>1</w:t>
      </w:r>
      <w:r w:rsidR="00C35AE8">
        <w:rPr>
          <w:rFonts w:asciiTheme="majorBidi" w:hAnsiTheme="majorBidi" w:cstheme="majorBidi"/>
          <w:b w:val="0"/>
          <w:i/>
          <w:sz w:val="22"/>
          <w:szCs w:val="22"/>
          <w:vertAlign w:val="superscript"/>
        </w:rPr>
        <w:t>*</w:t>
      </w:r>
    </w:p>
    <w:p w14:paraId="18258D37" w14:textId="77777777" w:rsidR="002C3807" w:rsidRPr="00CA2941" w:rsidRDefault="002C3807" w:rsidP="002C3807">
      <w:pPr>
        <w:pStyle w:val="Heading2"/>
        <w:spacing w:before="40" w:after="0"/>
        <w:rPr>
          <w:rFonts w:asciiTheme="majorBidi" w:hAnsiTheme="majorBidi" w:cstheme="majorBidi"/>
          <w:b w:val="0"/>
          <w:color w:val="2E75B5"/>
          <w:sz w:val="22"/>
          <w:szCs w:val="22"/>
        </w:rPr>
      </w:pPr>
    </w:p>
    <w:p w14:paraId="73A7256F" w14:textId="2B4AE4FF" w:rsidR="002C3807" w:rsidRPr="00CA2941" w:rsidRDefault="002C3807" w:rsidP="002C3807">
      <w:pPr>
        <w:spacing w:line="360" w:lineRule="auto"/>
        <w:ind w:left="720"/>
        <w:rPr>
          <w:rFonts w:asciiTheme="majorBidi" w:hAnsiTheme="majorBidi" w:cstheme="majorBidi"/>
        </w:rPr>
      </w:pPr>
      <w:r w:rsidRPr="00CA2941">
        <w:rPr>
          <w:rFonts w:asciiTheme="majorBidi" w:hAnsiTheme="majorBidi" w:cstheme="majorBidi"/>
        </w:rPr>
        <w:t>1.</w:t>
      </w:r>
      <w:r w:rsidRPr="00CA2941">
        <w:rPr>
          <w:rFonts w:asciiTheme="majorBidi" w:eastAsia="Times New Roman" w:hAnsiTheme="majorBidi" w:cstheme="majorBidi"/>
        </w:rPr>
        <w:t xml:space="preserve">  </w:t>
      </w:r>
      <w:r w:rsidRPr="00CA2941">
        <w:rPr>
          <w:rFonts w:asciiTheme="majorBidi" w:hAnsiTheme="majorBidi" w:cstheme="majorBidi"/>
        </w:rPr>
        <w:t>Red Sea Research Centre (RSRC) and Computational Bioscience Research Center (CBRC), King Abdullah University of Science and Technology, Thuwal 23955, Saudi Arabia</w:t>
      </w:r>
    </w:p>
    <w:p w14:paraId="6E5404D7" w14:textId="77777777" w:rsidR="002C3807" w:rsidRPr="00CA2941" w:rsidRDefault="002C3807" w:rsidP="002C3807">
      <w:pPr>
        <w:spacing w:line="360" w:lineRule="auto"/>
        <w:ind w:left="720"/>
        <w:rPr>
          <w:rFonts w:asciiTheme="majorBidi" w:hAnsiTheme="majorBidi" w:cstheme="majorBidi"/>
        </w:rPr>
      </w:pPr>
      <w:r w:rsidRPr="00CA2941">
        <w:rPr>
          <w:rFonts w:asciiTheme="majorBidi" w:hAnsiTheme="majorBidi" w:cstheme="majorBidi"/>
        </w:rPr>
        <w:t>2.  Biological and Environmental Science and Engineering Division (BESE), King Abdullah University of Science and Technology, Thuwal 23955, Saudi Arabia</w:t>
      </w:r>
      <w:r w:rsidRPr="00CA2941">
        <w:rPr>
          <w:rFonts w:asciiTheme="majorBidi" w:hAnsiTheme="majorBidi" w:cstheme="majorBidi"/>
          <w:b/>
        </w:rPr>
        <w:br/>
      </w:r>
    </w:p>
    <w:p w14:paraId="300D34E6" w14:textId="7C447B2C" w:rsidR="002C3807" w:rsidRPr="00C35AE8" w:rsidRDefault="00C35AE8">
      <w:pPr>
        <w:rPr>
          <w:rFonts w:asciiTheme="majorBidi" w:hAnsiTheme="majorBidi" w:cstheme="majorBidi"/>
          <w:b/>
          <w:sz w:val="36"/>
          <w:szCs w:val="36"/>
        </w:rPr>
      </w:pPr>
      <w:r w:rsidRPr="00C35AE8">
        <w:rPr>
          <w:rFonts w:asciiTheme="majorBidi" w:eastAsia="Times New Roman" w:hAnsiTheme="majorBidi" w:cstheme="majorBidi"/>
          <w:b/>
          <w:szCs w:val="24"/>
        </w:rPr>
        <w:t>Corresponding authors* |</w:t>
      </w:r>
      <w:r w:rsidRPr="00C35AE8">
        <w:rPr>
          <w:rFonts w:asciiTheme="majorBidi" w:eastAsia="Times New Roman" w:hAnsiTheme="majorBidi" w:cstheme="majorBidi"/>
        </w:rPr>
        <w:t xml:space="preserve"> </w:t>
      </w:r>
      <w:r w:rsidRPr="00C35AE8">
        <w:rPr>
          <w:rFonts w:asciiTheme="majorBidi" w:eastAsia="Times New Roman" w:hAnsiTheme="majorBidi" w:cstheme="majorBidi"/>
          <w:szCs w:val="24"/>
        </w:rPr>
        <w:t xml:space="preserve">Email: </w:t>
      </w:r>
      <w:hyperlink r:id="rId6" w:history="1">
        <w:r w:rsidRPr="00C35AE8">
          <w:rPr>
            <w:rStyle w:val="Hyperlink"/>
            <w:rFonts w:asciiTheme="majorBidi" w:eastAsia="Times New Roman" w:hAnsiTheme="majorBidi" w:cstheme="majorBidi"/>
            <w:szCs w:val="24"/>
          </w:rPr>
          <w:t>mo.li@kaust.edu.sa</w:t>
        </w:r>
      </w:hyperlink>
      <w:r w:rsidRPr="00C35AE8">
        <w:rPr>
          <w:rFonts w:asciiTheme="majorBidi" w:eastAsia="Times New Roman" w:hAnsiTheme="majorBidi" w:cstheme="majorBidi"/>
          <w:szCs w:val="24"/>
        </w:rPr>
        <w:t xml:space="preserve"> </w:t>
      </w:r>
      <w:hyperlink r:id="rId7" w:history="1">
        <w:r w:rsidRPr="00C35AE8">
          <w:rPr>
            <w:rStyle w:val="Hyperlink"/>
            <w:rFonts w:asciiTheme="majorBidi" w:eastAsia="Times New Roman" w:hAnsiTheme="majorBidi" w:cstheme="majorBidi"/>
            <w:szCs w:val="24"/>
          </w:rPr>
          <w:t>carlos.duarte@kaust.edu.sa</w:t>
        </w:r>
      </w:hyperlink>
    </w:p>
    <w:p w14:paraId="69FF284F" w14:textId="77777777" w:rsidR="002C3807" w:rsidRDefault="002C3807">
      <w:pPr>
        <w:rPr>
          <w:rFonts w:asciiTheme="majorBidi" w:hAnsiTheme="majorBidi" w:cstheme="majorBidi"/>
          <w:b/>
          <w:color w:val="000000"/>
          <w:sz w:val="40"/>
          <w:szCs w:val="40"/>
        </w:rPr>
      </w:pPr>
      <w:r>
        <w:rPr>
          <w:rFonts w:asciiTheme="majorBidi" w:hAnsiTheme="majorBidi" w:cstheme="majorBidi"/>
          <w:b/>
          <w:color w:val="000000"/>
          <w:sz w:val="40"/>
          <w:szCs w:val="40"/>
        </w:rPr>
        <w:br w:type="page"/>
      </w:r>
    </w:p>
    <w:p w14:paraId="55A4CAF0" w14:textId="543AACAC" w:rsidR="002B201F" w:rsidRPr="00397EF3" w:rsidRDefault="00693657">
      <w:pPr>
        <w:rPr>
          <w:rFonts w:asciiTheme="majorBidi" w:hAnsiTheme="majorBidi" w:cstheme="majorBidi"/>
          <w:color w:val="000000"/>
          <w:sz w:val="40"/>
          <w:szCs w:val="40"/>
        </w:rPr>
      </w:pPr>
      <w:r w:rsidRPr="00397EF3">
        <w:rPr>
          <w:rFonts w:asciiTheme="majorBidi" w:hAnsiTheme="majorBidi" w:cstheme="majorBidi"/>
          <w:b/>
          <w:color w:val="000000"/>
          <w:sz w:val="40"/>
          <w:szCs w:val="40"/>
        </w:rPr>
        <w:lastRenderedPageBreak/>
        <w:t>P</w:t>
      </w:r>
      <w:r w:rsidRPr="00397EF3">
        <w:rPr>
          <w:rFonts w:asciiTheme="majorBidi" w:hAnsiTheme="majorBidi" w:cstheme="majorBidi"/>
          <w:color w:val="000000"/>
          <w:sz w:val="40"/>
          <w:szCs w:val="40"/>
        </w:rPr>
        <w:t xml:space="preserve">referred </w:t>
      </w:r>
      <w:r w:rsidRPr="00397EF3">
        <w:rPr>
          <w:rFonts w:asciiTheme="majorBidi" w:hAnsiTheme="majorBidi" w:cstheme="majorBidi"/>
          <w:b/>
          <w:color w:val="000000"/>
          <w:sz w:val="40"/>
          <w:szCs w:val="40"/>
        </w:rPr>
        <w:t>R</w:t>
      </w:r>
      <w:r w:rsidRPr="00397EF3">
        <w:rPr>
          <w:rFonts w:asciiTheme="majorBidi" w:hAnsiTheme="majorBidi" w:cstheme="majorBidi"/>
          <w:color w:val="000000"/>
          <w:sz w:val="40"/>
          <w:szCs w:val="40"/>
        </w:rPr>
        <w:t xml:space="preserve">eporting </w:t>
      </w:r>
      <w:r w:rsidRPr="00397EF3">
        <w:rPr>
          <w:rFonts w:asciiTheme="majorBidi" w:hAnsiTheme="majorBidi" w:cstheme="majorBidi"/>
          <w:b/>
          <w:color w:val="000000"/>
          <w:sz w:val="40"/>
          <w:szCs w:val="40"/>
        </w:rPr>
        <w:t>I</w:t>
      </w:r>
      <w:r w:rsidRPr="00397EF3">
        <w:rPr>
          <w:rFonts w:asciiTheme="majorBidi" w:hAnsiTheme="majorBidi" w:cstheme="majorBidi"/>
          <w:color w:val="000000"/>
          <w:sz w:val="40"/>
          <w:szCs w:val="40"/>
        </w:rPr>
        <w:t xml:space="preserve">tems describing the </w:t>
      </w:r>
      <w:r w:rsidRPr="00397EF3">
        <w:rPr>
          <w:rFonts w:asciiTheme="majorBidi" w:hAnsiTheme="majorBidi" w:cstheme="majorBidi"/>
          <w:b/>
          <w:color w:val="000000"/>
          <w:sz w:val="40"/>
          <w:szCs w:val="40"/>
        </w:rPr>
        <w:t>N</w:t>
      </w:r>
      <w:r w:rsidRPr="00397EF3">
        <w:rPr>
          <w:rFonts w:asciiTheme="majorBidi" w:hAnsiTheme="majorBidi" w:cstheme="majorBidi"/>
          <w:color w:val="000000"/>
          <w:sz w:val="40"/>
          <w:szCs w:val="40"/>
        </w:rPr>
        <w:t xml:space="preserve">ature of </w:t>
      </w:r>
      <w:r w:rsidRPr="00397EF3">
        <w:rPr>
          <w:rFonts w:asciiTheme="majorBidi" w:hAnsiTheme="majorBidi" w:cstheme="majorBidi"/>
          <w:b/>
          <w:color w:val="000000"/>
          <w:sz w:val="40"/>
          <w:szCs w:val="40"/>
        </w:rPr>
        <w:t>C</w:t>
      </w:r>
      <w:r w:rsidRPr="00397EF3">
        <w:rPr>
          <w:rFonts w:asciiTheme="majorBidi" w:hAnsiTheme="majorBidi" w:cstheme="majorBidi"/>
          <w:color w:val="000000"/>
          <w:sz w:val="40"/>
          <w:szCs w:val="40"/>
        </w:rPr>
        <w:t xml:space="preserve">ell-culturing </w:t>
      </w:r>
      <w:r w:rsidRPr="00397EF3">
        <w:rPr>
          <w:rFonts w:asciiTheme="majorBidi" w:hAnsiTheme="majorBidi" w:cstheme="majorBidi"/>
          <w:b/>
          <w:color w:val="000000"/>
          <w:sz w:val="40"/>
          <w:szCs w:val="40"/>
        </w:rPr>
        <w:t>E</w:t>
      </w:r>
      <w:r w:rsidRPr="00397EF3">
        <w:rPr>
          <w:rFonts w:asciiTheme="majorBidi" w:hAnsiTheme="majorBidi" w:cstheme="majorBidi"/>
          <w:color w:val="000000"/>
          <w:sz w:val="40"/>
          <w:szCs w:val="40"/>
        </w:rPr>
        <w:t>nvironments (</w:t>
      </w:r>
      <w:r w:rsidRPr="00397EF3">
        <w:rPr>
          <w:rFonts w:asciiTheme="majorBidi" w:hAnsiTheme="majorBidi" w:cstheme="majorBidi"/>
          <w:b/>
          <w:color w:val="000000"/>
          <w:sz w:val="40"/>
          <w:szCs w:val="40"/>
        </w:rPr>
        <w:t>PRINCE</w:t>
      </w:r>
      <w:r w:rsidRPr="00397EF3">
        <w:rPr>
          <w:rFonts w:asciiTheme="majorBidi" w:hAnsiTheme="majorBidi" w:cstheme="majorBidi"/>
          <w:color w:val="000000"/>
          <w:sz w:val="40"/>
          <w:szCs w:val="40"/>
        </w:rPr>
        <w:t xml:space="preserve">) </w:t>
      </w:r>
    </w:p>
    <w:p w14:paraId="7E645435" w14:textId="77777777" w:rsidR="00E55274" w:rsidRPr="00397EF3" w:rsidRDefault="00E55274" w:rsidP="00E55274">
      <w:pPr>
        <w:rPr>
          <w:rFonts w:asciiTheme="majorBidi" w:hAnsiTheme="majorBidi" w:cstheme="majorBidi"/>
          <w:b/>
        </w:rPr>
      </w:pPr>
    </w:p>
    <w:p w14:paraId="24D9D0E3" w14:textId="76322FE5" w:rsidR="002B201F" w:rsidRPr="00397EF3" w:rsidRDefault="00693657" w:rsidP="002C3807">
      <w:pPr>
        <w:rPr>
          <w:rFonts w:asciiTheme="majorBidi" w:hAnsiTheme="majorBidi" w:cstheme="majorBidi"/>
          <w:color w:val="000000"/>
        </w:rPr>
      </w:pPr>
      <w:r w:rsidRPr="00397EF3">
        <w:rPr>
          <w:rFonts w:asciiTheme="majorBidi" w:hAnsiTheme="majorBidi" w:cstheme="majorBidi"/>
          <w:b/>
        </w:rPr>
        <w:t>Statement</w:t>
      </w:r>
      <w:r w:rsidRPr="00397EF3">
        <w:rPr>
          <w:rFonts w:asciiTheme="majorBidi" w:hAnsiTheme="majorBidi" w:cstheme="majorBidi"/>
        </w:rPr>
        <w:t>: PRINCE is a set of preferred reporting items for scientific studies that involve mammalian cell cultures. PRINCE focuses on the reporting of cell-culturing environments with a particular focus on controlling and monitoring acid-base chemistry and dissolved gases, but can also be used as a basis for research investigating the role of environmental conditions in affecting mammalian physiological processes and mechanisms.</w:t>
      </w:r>
      <w:r w:rsidRPr="00397EF3">
        <w:rPr>
          <w:rFonts w:asciiTheme="majorBidi" w:hAnsiTheme="majorBidi" w:cstheme="majorBidi"/>
          <w:b/>
        </w:rPr>
        <w:t xml:space="preserve"> </w:t>
      </w:r>
    </w:p>
    <w:p w14:paraId="532F5640" w14:textId="77777777" w:rsidR="002B201F" w:rsidRPr="00397EF3" w:rsidRDefault="002B201F">
      <w:pPr>
        <w:rPr>
          <w:rFonts w:asciiTheme="majorBidi" w:hAnsiTheme="majorBidi" w:cstheme="majorBidi"/>
          <w:b/>
        </w:rPr>
      </w:pPr>
    </w:p>
    <w:tbl>
      <w:tblPr>
        <w:tblStyle w:val="a"/>
        <w:tblW w:w="12956" w:type="dxa"/>
        <w:tblBorders>
          <w:top w:val="single" w:sz="4" w:space="0" w:color="BDD7EE"/>
          <w:left w:val="single" w:sz="4" w:space="0" w:color="BDD7EE"/>
          <w:bottom w:val="single" w:sz="4" w:space="0" w:color="BDD7EE"/>
          <w:right w:val="single" w:sz="4" w:space="0" w:color="BDD7EE"/>
          <w:insideH w:val="single" w:sz="4" w:space="0" w:color="BDD7EE"/>
          <w:insideV w:val="single" w:sz="4" w:space="0" w:color="BDD7EE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945"/>
        <w:gridCol w:w="8625"/>
        <w:gridCol w:w="1181"/>
      </w:tblGrid>
      <w:tr w:rsidR="002B201F" w:rsidRPr="00397EF3" w14:paraId="34107666" w14:textId="77777777" w:rsidTr="002B201F">
        <w:trPr>
          <w:trHeight w:val="663"/>
        </w:trPr>
        <w:tc>
          <w:tcPr>
            <w:tcW w:w="2205" w:type="dxa"/>
          </w:tcPr>
          <w:p w14:paraId="5A0CC185" w14:textId="77777777" w:rsidR="002B201F" w:rsidRPr="00397EF3" w:rsidRDefault="006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FFFFFF"/>
              </w:rPr>
            </w:pPr>
            <w:r w:rsidRPr="00397EF3">
              <w:rPr>
                <w:rFonts w:asciiTheme="majorBidi" w:hAnsiTheme="majorBidi" w:cstheme="majorBidi"/>
                <w:b/>
                <w:color w:val="000000"/>
              </w:rPr>
              <w:t>Reporting item checklist</w:t>
            </w:r>
          </w:p>
        </w:tc>
        <w:tc>
          <w:tcPr>
            <w:tcW w:w="945" w:type="dxa"/>
          </w:tcPr>
          <w:p w14:paraId="3668F737" w14:textId="77777777" w:rsidR="002B201F" w:rsidRPr="00397EF3" w:rsidRDefault="006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</w:rPr>
            </w:pPr>
            <w:r w:rsidRPr="00397EF3">
              <w:rPr>
                <w:rFonts w:asciiTheme="majorBidi" w:hAnsiTheme="majorBidi" w:cstheme="majorBidi"/>
                <w:b/>
                <w:color w:val="FFFFFF"/>
              </w:rPr>
              <w:t>item</w:t>
            </w:r>
            <w:r w:rsidRPr="00397EF3">
              <w:rPr>
                <w:rFonts w:asciiTheme="majorBidi" w:hAnsiTheme="majorBidi" w:cstheme="majorBidi"/>
                <w:b/>
              </w:rPr>
              <w:t xml:space="preserve"> #</w:t>
            </w:r>
          </w:p>
        </w:tc>
        <w:tc>
          <w:tcPr>
            <w:tcW w:w="8625" w:type="dxa"/>
          </w:tcPr>
          <w:p w14:paraId="73E0C208" w14:textId="77777777" w:rsidR="002B201F" w:rsidRPr="00397EF3" w:rsidRDefault="006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FFFFFF"/>
              </w:rPr>
            </w:pPr>
            <w:r w:rsidRPr="00397EF3">
              <w:rPr>
                <w:rFonts w:asciiTheme="majorBidi" w:hAnsiTheme="majorBidi" w:cstheme="majorBidi"/>
                <w:b/>
                <w:color w:val="000000"/>
              </w:rPr>
              <w:t>Description of preferred reporting item</w:t>
            </w:r>
          </w:p>
        </w:tc>
        <w:tc>
          <w:tcPr>
            <w:tcW w:w="1181" w:type="dxa"/>
          </w:tcPr>
          <w:p w14:paraId="1080B0EF" w14:textId="77777777" w:rsidR="002B201F" w:rsidRPr="00397EF3" w:rsidRDefault="006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FFFFFF"/>
              </w:rPr>
            </w:pPr>
            <w:r w:rsidRPr="00397EF3">
              <w:rPr>
                <w:rFonts w:asciiTheme="majorBidi" w:hAnsiTheme="majorBidi" w:cstheme="majorBidi"/>
                <w:b/>
                <w:color w:val="000000"/>
              </w:rPr>
              <w:t xml:space="preserve">Reported on page # </w:t>
            </w:r>
          </w:p>
        </w:tc>
      </w:tr>
      <w:tr w:rsidR="002B201F" w:rsidRPr="00397EF3" w14:paraId="32C34B45" w14:textId="77777777" w:rsidTr="002B201F">
        <w:trPr>
          <w:trHeight w:val="335"/>
        </w:trPr>
        <w:tc>
          <w:tcPr>
            <w:tcW w:w="12956" w:type="dxa"/>
            <w:gridSpan w:val="4"/>
            <w:shd w:val="clear" w:color="auto" w:fill="DEEBF6"/>
          </w:tcPr>
          <w:p w14:paraId="769AFC05" w14:textId="77777777" w:rsidR="002B201F" w:rsidRPr="00397EF3" w:rsidRDefault="006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97EF3">
              <w:rPr>
                <w:rFonts w:asciiTheme="majorBidi" w:hAnsiTheme="majorBidi" w:cstheme="majorBidi"/>
                <w:b/>
                <w:color w:val="000000"/>
              </w:rPr>
              <w:t>CULTURE SYSTEM</w:t>
            </w:r>
          </w:p>
        </w:tc>
      </w:tr>
      <w:tr w:rsidR="002B201F" w:rsidRPr="00397EF3" w14:paraId="6B053BF0" w14:textId="77777777" w:rsidTr="002B201F">
        <w:trPr>
          <w:trHeight w:val="323"/>
        </w:trPr>
        <w:tc>
          <w:tcPr>
            <w:tcW w:w="2205" w:type="dxa"/>
          </w:tcPr>
          <w:p w14:paraId="092B6EDC" w14:textId="77777777" w:rsidR="002B201F" w:rsidRPr="00397EF3" w:rsidRDefault="006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Cell-type</w:t>
            </w:r>
          </w:p>
        </w:tc>
        <w:tc>
          <w:tcPr>
            <w:tcW w:w="945" w:type="dxa"/>
          </w:tcPr>
          <w:p w14:paraId="6248AAC3" w14:textId="77777777" w:rsidR="002B201F" w:rsidRPr="00397EF3" w:rsidRDefault="006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25" w:type="dxa"/>
          </w:tcPr>
          <w:p w14:paraId="18CBE790" w14:textId="77777777" w:rsidR="002B201F" w:rsidRPr="00397EF3" w:rsidRDefault="006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A statement describing the origin and history of cells cultured is included. Where applicable, a detailed method of primary cell extraction and isolation, and/or details of purchased cells is reported. For purchased cells, the cell-line name/identifier, source, passage number, authentication, and mycoplasma contamination are declared (see also </w:t>
            </w:r>
            <w:hyperlink r:id="rId8">
              <w:r w:rsidRPr="00397EF3">
                <w:rPr>
                  <w:rFonts w:asciiTheme="majorBidi" w:hAnsiTheme="majorBidi" w:cstheme="majorBidi"/>
                  <w:color w:val="0563C1"/>
                  <w:sz w:val="20"/>
                  <w:szCs w:val="20"/>
                  <w:u w:val="single"/>
                </w:rPr>
                <w:t>ICLAC</w:t>
              </w:r>
            </w:hyperlink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).</w:t>
            </w: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</w:r>
          </w:p>
        </w:tc>
        <w:tc>
          <w:tcPr>
            <w:tcW w:w="1181" w:type="dxa"/>
          </w:tcPr>
          <w:p w14:paraId="617F484A" w14:textId="77777777" w:rsidR="002B201F" w:rsidRPr="00397EF3" w:rsidRDefault="002B2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2B201F" w:rsidRPr="00397EF3" w14:paraId="61B88A4D" w14:textId="77777777" w:rsidTr="002B201F">
        <w:trPr>
          <w:trHeight w:val="323"/>
        </w:trPr>
        <w:tc>
          <w:tcPr>
            <w:tcW w:w="2205" w:type="dxa"/>
          </w:tcPr>
          <w:p w14:paraId="42D94619" w14:textId="77777777" w:rsidR="002B201F" w:rsidRPr="00397EF3" w:rsidRDefault="006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Culture </w:t>
            </w:r>
            <w:r w:rsidRPr="00397EF3">
              <w:rPr>
                <w:rFonts w:asciiTheme="majorBidi" w:hAnsiTheme="majorBidi" w:cstheme="majorBidi"/>
                <w:sz w:val="20"/>
                <w:szCs w:val="20"/>
              </w:rPr>
              <w:t>vessel</w:t>
            </w: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type</w:t>
            </w:r>
          </w:p>
        </w:tc>
        <w:tc>
          <w:tcPr>
            <w:tcW w:w="945" w:type="dxa"/>
          </w:tcPr>
          <w:p w14:paraId="2462F3BE" w14:textId="77777777" w:rsidR="002B201F" w:rsidRPr="00397EF3" w:rsidRDefault="006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25" w:type="dxa"/>
          </w:tcPr>
          <w:p w14:paraId="032D7E85" w14:textId="42E07C24" w:rsidR="002B201F" w:rsidRPr="00397EF3" w:rsidRDefault="006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The type of culture system (</w:t>
            </w:r>
            <w:r w:rsidRPr="00556A7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i.e.,</w:t>
            </w: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batch flask and plates, chemo-stat, or bioreactor control) is identified and described. Details of culture vessel attributes are reported, including the manufacturer</w:t>
            </w:r>
            <w:r w:rsidRPr="00397EF3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model,</w:t>
            </w:r>
            <w:r w:rsidRPr="00397EF3">
              <w:rPr>
                <w:rFonts w:asciiTheme="majorBidi" w:hAnsiTheme="majorBidi" w:cstheme="majorBidi"/>
                <w:sz w:val="20"/>
                <w:szCs w:val="20"/>
              </w:rPr>
              <w:t xml:space="preserve"> and working volume used.</w:t>
            </w:r>
            <w:r w:rsidR="008E561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8E561D" w:rsidRPr="008E561D">
              <w:rPr>
                <w:rFonts w:asciiTheme="majorBidi" w:hAnsiTheme="majorBidi" w:cstheme="majorBidi"/>
                <w:sz w:val="20"/>
                <w:szCs w:val="20"/>
              </w:rPr>
              <w:t>The closure type (</w:t>
            </w:r>
            <w:proofErr w:type="gramStart"/>
            <w:r w:rsidR="008E561D" w:rsidRPr="008E561D">
              <w:rPr>
                <w:rFonts w:asciiTheme="majorBidi" w:hAnsiTheme="majorBidi" w:cstheme="majorBidi"/>
                <w:sz w:val="20"/>
                <w:szCs w:val="20"/>
              </w:rPr>
              <w:t>e.g.</w:t>
            </w:r>
            <w:proofErr w:type="gramEnd"/>
            <w:r w:rsidR="008E561D" w:rsidRPr="008E561D">
              <w:rPr>
                <w:rFonts w:asciiTheme="majorBidi" w:hAnsiTheme="majorBidi" w:cstheme="majorBidi"/>
                <w:sz w:val="20"/>
                <w:szCs w:val="20"/>
              </w:rPr>
              <w:t xml:space="preserve"> filtered or sealed) and </w:t>
            </w:r>
            <w:r w:rsidR="00A67712">
              <w:rPr>
                <w:rFonts w:asciiTheme="majorBidi" w:hAnsiTheme="majorBidi" w:cstheme="majorBidi"/>
                <w:sz w:val="20"/>
                <w:szCs w:val="20"/>
              </w:rPr>
              <w:t xml:space="preserve">an estimate of </w:t>
            </w:r>
            <w:r w:rsidR="008E561D" w:rsidRPr="008E561D">
              <w:rPr>
                <w:rFonts w:asciiTheme="majorBidi" w:hAnsiTheme="majorBidi" w:cstheme="majorBidi"/>
                <w:sz w:val="20"/>
                <w:szCs w:val="20"/>
              </w:rPr>
              <w:t xml:space="preserve">the surface area: volume ratio </w:t>
            </w:r>
            <w:r w:rsidR="00A67712">
              <w:rPr>
                <w:rFonts w:asciiTheme="majorBidi" w:hAnsiTheme="majorBidi" w:cstheme="majorBidi"/>
                <w:sz w:val="20"/>
                <w:szCs w:val="20"/>
              </w:rPr>
              <w:t>is</w:t>
            </w:r>
            <w:r w:rsidR="008E561D" w:rsidRPr="008E561D">
              <w:rPr>
                <w:rFonts w:asciiTheme="majorBidi" w:hAnsiTheme="majorBidi" w:cstheme="majorBidi"/>
                <w:sz w:val="20"/>
                <w:szCs w:val="20"/>
              </w:rPr>
              <w:t xml:space="preserve"> reported, regardless of the culture vessel used (e.g. culture flask, petri dish, tissue culture plate).</w:t>
            </w:r>
            <w:r w:rsidR="008E561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</w:r>
          </w:p>
        </w:tc>
        <w:tc>
          <w:tcPr>
            <w:tcW w:w="1181" w:type="dxa"/>
          </w:tcPr>
          <w:p w14:paraId="035B542A" w14:textId="77777777" w:rsidR="002B201F" w:rsidRPr="00397EF3" w:rsidRDefault="002B2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2B201F" w:rsidRPr="00397EF3" w14:paraId="0C6769C8" w14:textId="77777777" w:rsidTr="002B201F">
        <w:trPr>
          <w:trHeight w:val="323"/>
        </w:trPr>
        <w:tc>
          <w:tcPr>
            <w:tcW w:w="2205" w:type="dxa"/>
          </w:tcPr>
          <w:p w14:paraId="7F9EA1E6" w14:textId="77777777" w:rsidR="002B201F" w:rsidRPr="00397EF3" w:rsidRDefault="006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Media type</w:t>
            </w:r>
          </w:p>
        </w:tc>
        <w:tc>
          <w:tcPr>
            <w:tcW w:w="945" w:type="dxa"/>
          </w:tcPr>
          <w:p w14:paraId="03B5E1BB" w14:textId="77777777" w:rsidR="002B201F" w:rsidRPr="00397EF3" w:rsidRDefault="006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25" w:type="dxa"/>
          </w:tcPr>
          <w:p w14:paraId="73A16912" w14:textId="3F228257" w:rsidR="002B201F" w:rsidRPr="00397EF3" w:rsidRDefault="006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 detailed description of the media formulation is reported, including the manufacturer and product number, buffering composition (</w:t>
            </w:r>
            <w:r w:rsidRPr="00556A7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e.g.,</w:t>
            </w: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HCO</w:t>
            </w: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  <w:vertAlign w:val="subscript"/>
              </w:rPr>
              <w:t>3</w:t>
            </w: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  <w:vertAlign w:val="superscript"/>
              </w:rPr>
              <w:t>-</w:t>
            </w: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/CO</w:t>
            </w: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  <w:vertAlign w:val="subscript"/>
              </w:rPr>
              <w:t>2</w:t>
            </w: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buffer-system), and supplements added (</w:t>
            </w:r>
            <w:r w:rsidRPr="00556A7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e.g.,</w:t>
            </w: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antibiotics, serum).</w:t>
            </w:r>
            <w:r w:rsidRPr="00397EF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If a bench-top adjustment of media pH was </w:t>
            </w:r>
            <w:r w:rsidRPr="00397EF3">
              <w:rPr>
                <w:rFonts w:asciiTheme="majorBidi" w:hAnsiTheme="majorBidi" w:cstheme="majorBidi"/>
                <w:sz w:val="20"/>
                <w:szCs w:val="20"/>
              </w:rPr>
              <w:t>used</w:t>
            </w: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, the method and the materials involved are declared.</w:t>
            </w: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</w:r>
          </w:p>
        </w:tc>
        <w:tc>
          <w:tcPr>
            <w:tcW w:w="1181" w:type="dxa"/>
          </w:tcPr>
          <w:p w14:paraId="1248C2D7" w14:textId="77777777" w:rsidR="002B201F" w:rsidRPr="00397EF3" w:rsidRDefault="002B2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2B201F" w:rsidRPr="00397EF3" w14:paraId="6C997898" w14:textId="77777777" w:rsidTr="002B201F">
        <w:trPr>
          <w:trHeight w:val="800"/>
        </w:trPr>
        <w:tc>
          <w:tcPr>
            <w:tcW w:w="2205" w:type="dxa"/>
          </w:tcPr>
          <w:p w14:paraId="7651CF8E" w14:textId="6F720766" w:rsidR="002B201F" w:rsidRPr="00397EF3" w:rsidRDefault="006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Culture establishment and replenishment</w:t>
            </w:r>
          </w:p>
        </w:tc>
        <w:tc>
          <w:tcPr>
            <w:tcW w:w="945" w:type="dxa"/>
          </w:tcPr>
          <w:p w14:paraId="3B9479BD" w14:textId="77777777" w:rsidR="002B201F" w:rsidRPr="00397EF3" w:rsidRDefault="006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25" w:type="dxa"/>
          </w:tcPr>
          <w:p w14:paraId="4A0F2AF1" w14:textId="29EF22EA" w:rsidR="002B201F" w:rsidRPr="00397EF3" w:rsidRDefault="006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A detailed description of how the culture system was established and maintained is included. Details </w:t>
            </w:r>
            <w:r w:rsidRPr="00397EF3">
              <w:rPr>
                <w:rFonts w:asciiTheme="majorBidi" w:hAnsiTheme="majorBidi" w:cstheme="majorBidi"/>
                <w:sz w:val="20"/>
                <w:szCs w:val="20"/>
              </w:rPr>
              <w:t>may</w:t>
            </w: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include seeding density,</w:t>
            </w:r>
            <w:r w:rsidRPr="00397EF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frequency of media exchanges, cell passaging, cell detach</w:t>
            </w:r>
            <w:r w:rsidRPr="00397EF3">
              <w:rPr>
                <w:rFonts w:asciiTheme="majorBidi" w:hAnsiTheme="majorBidi" w:cstheme="majorBidi"/>
                <w:sz w:val="20"/>
                <w:szCs w:val="20"/>
              </w:rPr>
              <w:t>ment,</w:t>
            </w: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and cell </w:t>
            </w:r>
            <w:r w:rsidRPr="00397EF3">
              <w:rPr>
                <w:rFonts w:asciiTheme="majorBidi" w:hAnsiTheme="majorBidi" w:cstheme="majorBidi"/>
                <w:sz w:val="20"/>
                <w:szCs w:val="20"/>
              </w:rPr>
              <w:t>differentiation</w:t>
            </w: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, where applicable. </w:t>
            </w:r>
            <w:r w:rsidRPr="00397EF3">
              <w:rPr>
                <w:rFonts w:asciiTheme="majorBidi" w:hAnsiTheme="majorBidi" w:cstheme="majorBidi"/>
                <w:sz w:val="20"/>
                <w:szCs w:val="20"/>
              </w:rPr>
              <w:t xml:space="preserve">If cells were embedded within extracellular matrix proteins, including, for example, collagen and laminin, or </w:t>
            </w:r>
            <w:r w:rsidR="00C35AE8">
              <w:rPr>
                <w:rFonts w:asciiTheme="majorBidi" w:hAnsiTheme="majorBidi" w:cstheme="majorBidi"/>
                <w:sz w:val="20"/>
                <w:szCs w:val="20"/>
              </w:rPr>
              <w:t>co-</w:t>
            </w:r>
            <w:r w:rsidRPr="00397EF3">
              <w:rPr>
                <w:rFonts w:asciiTheme="majorBidi" w:hAnsiTheme="majorBidi" w:cstheme="majorBidi"/>
                <w:sz w:val="20"/>
                <w:szCs w:val="20"/>
              </w:rPr>
              <w:t>cultured with feeder cells, details were described.</w:t>
            </w: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</w:r>
          </w:p>
        </w:tc>
        <w:tc>
          <w:tcPr>
            <w:tcW w:w="1181" w:type="dxa"/>
          </w:tcPr>
          <w:p w14:paraId="42EF2CE0" w14:textId="77777777" w:rsidR="002B201F" w:rsidRPr="00397EF3" w:rsidRDefault="002B2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2B201F" w:rsidRPr="00397EF3" w14:paraId="605328D7" w14:textId="77777777" w:rsidTr="002B201F">
        <w:trPr>
          <w:trHeight w:val="335"/>
        </w:trPr>
        <w:tc>
          <w:tcPr>
            <w:tcW w:w="12956" w:type="dxa"/>
            <w:gridSpan w:val="4"/>
            <w:shd w:val="clear" w:color="auto" w:fill="DEEBF6"/>
          </w:tcPr>
          <w:p w14:paraId="56B45CA6" w14:textId="77777777" w:rsidR="002B201F" w:rsidRPr="00397EF3" w:rsidRDefault="006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97EF3">
              <w:rPr>
                <w:rFonts w:asciiTheme="majorBidi" w:hAnsiTheme="majorBidi" w:cstheme="majorBidi"/>
                <w:b/>
                <w:color w:val="000000"/>
              </w:rPr>
              <w:t xml:space="preserve">ENVIRONMENTAL CONTROL </w:t>
            </w:r>
          </w:p>
        </w:tc>
      </w:tr>
      <w:tr w:rsidR="002B201F" w:rsidRPr="00397EF3" w14:paraId="092743C9" w14:textId="77777777" w:rsidTr="002B201F">
        <w:trPr>
          <w:trHeight w:val="810"/>
        </w:trPr>
        <w:tc>
          <w:tcPr>
            <w:tcW w:w="2205" w:type="dxa"/>
          </w:tcPr>
          <w:p w14:paraId="7152A674" w14:textId="77777777" w:rsidR="002B201F" w:rsidRPr="00397EF3" w:rsidRDefault="006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Parameter(s) and set-points</w:t>
            </w:r>
          </w:p>
        </w:tc>
        <w:tc>
          <w:tcPr>
            <w:tcW w:w="945" w:type="dxa"/>
          </w:tcPr>
          <w:p w14:paraId="0AC8B4FE" w14:textId="77777777" w:rsidR="002B201F" w:rsidRPr="00397EF3" w:rsidRDefault="006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97EF3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8625" w:type="dxa"/>
          </w:tcPr>
          <w:p w14:paraId="50D429B2" w14:textId="273F79AE" w:rsidR="002B201F" w:rsidRPr="00397EF3" w:rsidRDefault="006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The controlled parameters are identified and the </w:t>
            </w:r>
            <w:r w:rsidR="00397EF3"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set point</w:t>
            </w: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for each parameter is reported (</w:t>
            </w:r>
            <w:proofErr w:type="gramStart"/>
            <w:r w:rsidRPr="00556A7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e.g.</w:t>
            </w:r>
            <w:proofErr w:type="gramEnd"/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temperature was set at 37 °C).</w:t>
            </w:r>
            <w:r w:rsidR="0081537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</w:r>
          </w:p>
        </w:tc>
        <w:tc>
          <w:tcPr>
            <w:tcW w:w="1181" w:type="dxa"/>
          </w:tcPr>
          <w:p w14:paraId="76507F0E" w14:textId="77777777" w:rsidR="002B201F" w:rsidRPr="00397EF3" w:rsidRDefault="002B2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2B201F" w:rsidRPr="00397EF3" w14:paraId="39D6F766" w14:textId="77777777" w:rsidTr="002B201F">
        <w:trPr>
          <w:trHeight w:val="810"/>
        </w:trPr>
        <w:tc>
          <w:tcPr>
            <w:tcW w:w="2205" w:type="dxa"/>
          </w:tcPr>
          <w:p w14:paraId="426027B2" w14:textId="0492BDA2" w:rsidR="002B201F" w:rsidRPr="00397EF3" w:rsidRDefault="006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Control approach</w:t>
            </w: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</w:r>
          </w:p>
        </w:tc>
        <w:tc>
          <w:tcPr>
            <w:tcW w:w="945" w:type="dxa"/>
          </w:tcPr>
          <w:p w14:paraId="7DDFC1E9" w14:textId="77777777" w:rsidR="002B201F" w:rsidRPr="00397EF3" w:rsidRDefault="006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97EF3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8625" w:type="dxa"/>
          </w:tcPr>
          <w:p w14:paraId="0C1EF737" w14:textId="4BE2B68D" w:rsidR="002B201F" w:rsidRPr="00397EF3" w:rsidRDefault="006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For each parameter, the method of control is reported and a descri</w:t>
            </w:r>
            <w:r w:rsidRPr="00397EF3">
              <w:rPr>
                <w:rFonts w:asciiTheme="majorBidi" w:hAnsiTheme="majorBidi" w:cstheme="majorBidi"/>
                <w:sz w:val="20"/>
                <w:szCs w:val="20"/>
              </w:rPr>
              <w:t xml:space="preserve">ption of </w:t>
            </w: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how conditions were adjusted to achieve each of the desired set points is provided. Where applicable, the </w:t>
            </w:r>
            <w:r w:rsidRPr="00397EF3">
              <w:rPr>
                <w:rFonts w:asciiTheme="majorBidi" w:hAnsiTheme="majorBidi" w:cstheme="majorBidi"/>
                <w:sz w:val="20"/>
                <w:szCs w:val="20"/>
              </w:rPr>
              <w:t>procedures</w:t>
            </w: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by which gases and/or acids and bases were used to control parameters are clearly reported. Details describing the nature of control (</w:t>
            </w:r>
            <w:proofErr w:type="gramStart"/>
            <w:r w:rsidRPr="00556A7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e.g.</w:t>
            </w:r>
            <w:proofErr w:type="gramEnd"/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addition</w:t>
            </w:r>
            <w:r w:rsidRPr="00397EF3">
              <w:rPr>
                <w:rFonts w:asciiTheme="majorBidi" w:hAnsiTheme="majorBidi" w:cstheme="majorBidi"/>
                <w:sz w:val="20"/>
                <w:szCs w:val="20"/>
              </w:rPr>
              <w:t>/removal</w:t>
            </w: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) and the use of feedback control systems (</w:t>
            </w:r>
            <w:r w:rsidRPr="00556A7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e.g.</w:t>
            </w: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bioreactor equipped with sensors) are declared.</w:t>
            </w: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</w:r>
          </w:p>
        </w:tc>
        <w:tc>
          <w:tcPr>
            <w:tcW w:w="1181" w:type="dxa"/>
          </w:tcPr>
          <w:p w14:paraId="1AFEBE4B" w14:textId="77777777" w:rsidR="002B201F" w:rsidRPr="00397EF3" w:rsidRDefault="002B2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2B201F" w:rsidRPr="00397EF3" w14:paraId="7CE4946E" w14:textId="77777777" w:rsidTr="002B201F">
        <w:trPr>
          <w:trHeight w:val="810"/>
        </w:trPr>
        <w:tc>
          <w:tcPr>
            <w:tcW w:w="2205" w:type="dxa"/>
          </w:tcPr>
          <w:p w14:paraId="06DDC7B8" w14:textId="1204D7BC" w:rsidR="002B201F" w:rsidRPr="00397EF3" w:rsidRDefault="006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Equipment and consumables</w:t>
            </w:r>
          </w:p>
        </w:tc>
        <w:tc>
          <w:tcPr>
            <w:tcW w:w="945" w:type="dxa"/>
          </w:tcPr>
          <w:p w14:paraId="05439226" w14:textId="77777777" w:rsidR="002B201F" w:rsidRPr="00397EF3" w:rsidRDefault="006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97EF3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8625" w:type="dxa"/>
          </w:tcPr>
          <w:p w14:paraId="0C4A670B" w14:textId="5ED4F706" w:rsidR="002B201F" w:rsidRPr="00397EF3" w:rsidRDefault="006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97EF3">
              <w:rPr>
                <w:rFonts w:asciiTheme="majorBidi" w:hAnsiTheme="majorBidi" w:cstheme="majorBidi"/>
                <w:sz w:val="20"/>
                <w:szCs w:val="20"/>
              </w:rPr>
              <w:t>E</w:t>
            </w: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quipment and consumables used to control environmental conditions are described. Details of equipment may include, for example, incubator type, purchased bioreactor set-ups, and sensors, or peristaltic pumps. Details of consumables may include, type and purity of gases, or type and concentration of acids and bases.</w:t>
            </w: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</w:r>
          </w:p>
        </w:tc>
        <w:tc>
          <w:tcPr>
            <w:tcW w:w="1181" w:type="dxa"/>
          </w:tcPr>
          <w:p w14:paraId="1D5FBD0E" w14:textId="77777777" w:rsidR="002B201F" w:rsidRPr="00397EF3" w:rsidRDefault="002B2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2B201F" w:rsidRPr="00397EF3" w14:paraId="0FC2960B" w14:textId="77777777" w:rsidTr="002B201F">
        <w:trPr>
          <w:trHeight w:val="335"/>
        </w:trPr>
        <w:tc>
          <w:tcPr>
            <w:tcW w:w="12956" w:type="dxa"/>
            <w:gridSpan w:val="4"/>
            <w:shd w:val="clear" w:color="auto" w:fill="DEEBF6"/>
          </w:tcPr>
          <w:p w14:paraId="681F31B3" w14:textId="77777777" w:rsidR="002B201F" w:rsidRPr="00397EF3" w:rsidRDefault="006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97EF3">
              <w:rPr>
                <w:rFonts w:asciiTheme="majorBidi" w:hAnsiTheme="majorBidi" w:cstheme="majorBidi"/>
                <w:b/>
                <w:color w:val="000000"/>
              </w:rPr>
              <w:t>ENVIRONMENTAL MONITORING</w:t>
            </w:r>
          </w:p>
        </w:tc>
      </w:tr>
      <w:tr w:rsidR="002B201F" w:rsidRPr="00397EF3" w14:paraId="4EFC1459" w14:textId="77777777" w:rsidTr="002B201F">
        <w:trPr>
          <w:trHeight w:val="333"/>
        </w:trPr>
        <w:tc>
          <w:tcPr>
            <w:tcW w:w="2205" w:type="dxa"/>
          </w:tcPr>
          <w:p w14:paraId="3702DAB2" w14:textId="688B2754" w:rsidR="002B201F" w:rsidRPr="00397EF3" w:rsidRDefault="006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Parameter(s) and method of measurement</w:t>
            </w: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945" w:type="dxa"/>
          </w:tcPr>
          <w:p w14:paraId="038CA912" w14:textId="77777777" w:rsidR="002B201F" w:rsidRPr="00397EF3" w:rsidRDefault="006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97EF3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8625" w:type="dxa"/>
          </w:tcPr>
          <w:p w14:paraId="463ED92D" w14:textId="1EC123B1" w:rsidR="002B201F" w:rsidRPr="00397EF3" w:rsidRDefault="006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All parameters measured are </w:t>
            </w:r>
            <w:r w:rsidRPr="00397EF3">
              <w:rPr>
                <w:rFonts w:asciiTheme="majorBidi" w:hAnsiTheme="majorBidi" w:cstheme="majorBidi"/>
                <w:sz w:val="20"/>
                <w:szCs w:val="20"/>
              </w:rPr>
              <w:t>declared</w:t>
            </w: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 A description of how each parameter was monitored in the culture system is reported</w:t>
            </w:r>
            <w:r w:rsidRPr="00397EF3">
              <w:rPr>
                <w:rFonts w:asciiTheme="majorBidi" w:hAnsiTheme="majorBidi" w:cstheme="majorBidi"/>
                <w:sz w:val="20"/>
                <w:szCs w:val="20"/>
              </w:rPr>
              <w:t>, including</w:t>
            </w: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the frequency and timing of measurements.</w:t>
            </w:r>
            <w:r w:rsidR="0081537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Where appropriate, relative humidity of the incubator atmosphere was measured and reported.</w:t>
            </w: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</w:r>
          </w:p>
        </w:tc>
        <w:tc>
          <w:tcPr>
            <w:tcW w:w="1181" w:type="dxa"/>
          </w:tcPr>
          <w:p w14:paraId="741E71AE" w14:textId="77777777" w:rsidR="002B201F" w:rsidRPr="00397EF3" w:rsidRDefault="002B2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2B201F" w:rsidRPr="00397EF3" w14:paraId="1B9169F1" w14:textId="77777777" w:rsidTr="002B201F">
        <w:trPr>
          <w:trHeight w:val="568"/>
        </w:trPr>
        <w:tc>
          <w:tcPr>
            <w:tcW w:w="2205" w:type="dxa"/>
          </w:tcPr>
          <w:p w14:paraId="37A58927" w14:textId="762AF1CC" w:rsidR="002B201F" w:rsidRPr="00397EF3" w:rsidRDefault="006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Equipment and consumables</w:t>
            </w:r>
          </w:p>
        </w:tc>
        <w:tc>
          <w:tcPr>
            <w:tcW w:w="945" w:type="dxa"/>
          </w:tcPr>
          <w:p w14:paraId="648B6971" w14:textId="77777777" w:rsidR="002B201F" w:rsidRPr="00397EF3" w:rsidRDefault="006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97EF3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8625" w:type="dxa"/>
          </w:tcPr>
          <w:p w14:paraId="535910CE" w14:textId="5DBDB1A3" w:rsidR="002B201F" w:rsidRPr="00397EF3" w:rsidRDefault="006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All equipment (</w:t>
            </w:r>
            <w:proofErr w:type="gramStart"/>
            <w:r w:rsidRPr="00556A7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e.g.</w:t>
            </w:r>
            <w:proofErr w:type="gramEnd"/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meters and sensors) and consumables (</w:t>
            </w:r>
            <w:r w:rsidRPr="00556A7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e.g.</w:t>
            </w: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pH-sensitive dye) used to monitor environmental conditions are identified and described. The description of meters and sensors includes details of the manufacturer and product code</w:t>
            </w:r>
            <w:r w:rsidRPr="00397EF3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</w:r>
          </w:p>
        </w:tc>
        <w:tc>
          <w:tcPr>
            <w:tcW w:w="1181" w:type="dxa"/>
          </w:tcPr>
          <w:p w14:paraId="1AE6993D" w14:textId="77777777" w:rsidR="002B201F" w:rsidRPr="00397EF3" w:rsidRDefault="002B2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2B201F" w:rsidRPr="00397EF3" w14:paraId="3A2DD347" w14:textId="77777777" w:rsidTr="002B201F">
        <w:trPr>
          <w:trHeight w:val="568"/>
        </w:trPr>
        <w:tc>
          <w:tcPr>
            <w:tcW w:w="2205" w:type="dxa"/>
          </w:tcPr>
          <w:p w14:paraId="3499FF8B" w14:textId="77777777" w:rsidR="002B201F" w:rsidRPr="00397EF3" w:rsidRDefault="006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Identify units/scales of measurements</w:t>
            </w: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</w:r>
          </w:p>
        </w:tc>
        <w:tc>
          <w:tcPr>
            <w:tcW w:w="945" w:type="dxa"/>
          </w:tcPr>
          <w:p w14:paraId="12ED4BCB" w14:textId="77777777" w:rsidR="002B201F" w:rsidRPr="00397EF3" w:rsidRDefault="006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97EF3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8625" w:type="dxa"/>
          </w:tcPr>
          <w:p w14:paraId="34816B7C" w14:textId="398657CC" w:rsidR="002B201F" w:rsidRPr="00397EF3" w:rsidRDefault="0069365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97EF3">
              <w:rPr>
                <w:rFonts w:asciiTheme="majorBidi" w:hAnsiTheme="majorBidi" w:cstheme="majorBidi"/>
                <w:sz w:val="20"/>
                <w:szCs w:val="20"/>
              </w:rPr>
              <w:t>The unit of measurement for each parameter measured (</w:t>
            </w:r>
            <w:r w:rsidRPr="00556A7E">
              <w:rPr>
                <w:rFonts w:asciiTheme="majorBidi" w:hAnsiTheme="majorBidi" w:cstheme="majorBidi"/>
                <w:sz w:val="20"/>
                <w:szCs w:val="20"/>
              </w:rPr>
              <w:t>e.g.,</w:t>
            </w:r>
            <w:r w:rsidRPr="00397EF3">
              <w:rPr>
                <w:rFonts w:asciiTheme="majorBidi" w:hAnsiTheme="majorBidi" w:cstheme="majorBidi"/>
                <w:sz w:val="20"/>
                <w:szCs w:val="20"/>
              </w:rPr>
              <w:t xml:space="preserve"> mmHg, absolute %, % air saturation, ppm, </w:t>
            </w:r>
            <w:proofErr w:type="spellStart"/>
            <w:r w:rsidRPr="00397EF3">
              <w:rPr>
                <w:rFonts w:asciiTheme="majorBidi" w:hAnsiTheme="majorBidi" w:cstheme="majorBidi"/>
                <w:sz w:val="20"/>
                <w:szCs w:val="20"/>
              </w:rPr>
              <w:t>μatm</w:t>
            </w:r>
            <w:proofErr w:type="spellEnd"/>
            <w:r w:rsidRPr="00397EF3">
              <w:rPr>
                <w:rFonts w:asciiTheme="majorBidi" w:hAnsiTheme="majorBidi" w:cstheme="majorBidi"/>
                <w:sz w:val="20"/>
                <w:szCs w:val="20"/>
              </w:rPr>
              <w:t>) is reported. The pH scale</w:t>
            </w:r>
            <w:r w:rsidR="00C147A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397EF3">
              <w:rPr>
                <w:rFonts w:asciiTheme="majorBidi" w:hAnsiTheme="majorBidi" w:cstheme="majorBidi"/>
                <w:sz w:val="20"/>
                <w:szCs w:val="20"/>
              </w:rPr>
              <w:t xml:space="preserve">(*) used (NBS/NIST, total-scale, or free-scale) is reported in the manuscript. If more than one pH scale is used, pH values are reported with the associated scale as a subscript (NBS or NIST = </w:t>
            </w:r>
            <w:proofErr w:type="spellStart"/>
            <w:r w:rsidRPr="00397EF3">
              <w:rPr>
                <w:rFonts w:asciiTheme="majorBidi" w:hAnsiTheme="majorBidi" w:cstheme="majorBidi"/>
                <w:sz w:val="20"/>
                <w:szCs w:val="20"/>
              </w:rPr>
              <w:t>pH</w:t>
            </w:r>
            <w:r w:rsidRPr="00397EF3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NBS</w:t>
            </w:r>
            <w:proofErr w:type="spellEnd"/>
            <w:r w:rsidRPr="00397EF3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 xml:space="preserve"> or NIST</w:t>
            </w:r>
            <w:r w:rsidRPr="00397EF3">
              <w:rPr>
                <w:rFonts w:asciiTheme="majorBidi" w:hAnsiTheme="majorBidi" w:cstheme="majorBidi"/>
                <w:sz w:val="20"/>
                <w:szCs w:val="20"/>
              </w:rPr>
              <w:t xml:space="preserve">, total-scale = </w:t>
            </w:r>
            <w:proofErr w:type="spellStart"/>
            <w:r w:rsidRPr="00397EF3">
              <w:rPr>
                <w:rFonts w:asciiTheme="majorBidi" w:hAnsiTheme="majorBidi" w:cstheme="majorBidi"/>
                <w:sz w:val="20"/>
                <w:szCs w:val="20"/>
              </w:rPr>
              <w:t>pH</w:t>
            </w:r>
            <w:r w:rsidRPr="00397EF3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T</w:t>
            </w:r>
            <w:proofErr w:type="spellEnd"/>
            <w:r w:rsidRPr="00397EF3">
              <w:rPr>
                <w:rFonts w:asciiTheme="majorBidi" w:hAnsiTheme="majorBidi" w:cstheme="majorBidi"/>
                <w:sz w:val="20"/>
                <w:szCs w:val="20"/>
              </w:rPr>
              <w:t xml:space="preserve">, free-scale = </w:t>
            </w:r>
            <w:proofErr w:type="spellStart"/>
            <w:proofErr w:type="gramStart"/>
            <w:r w:rsidRPr="00397EF3">
              <w:rPr>
                <w:rFonts w:asciiTheme="majorBidi" w:hAnsiTheme="majorBidi" w:cstheme="majorBidi"/>
                <w:sz w:val="20"/>
                <w:szCs w:val="20"/>
              </w:rPr>
              <w:t>pH</w:t>
            </w:r>
            <w:r w:rsidRPr="00397EF3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F</w:t>
            </w:r>
            <w:proofErr w:type="spellEnd"/>
            <w:r w:rsidRPr="00397EF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397EF3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 xml:space="preserve"> </w:t>
            </w:r>
            <w:r w:rsidRPr="00397EF3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proofErr w:type="gramEnd"/>
            <w:r w:rsidRPr="00397EF3">
              <w:rPr>
                <w:rFonts w:asciiTheme="majorBidi" w:hAnsiTheme="majorBidi" w:cstheme="majorBidi"/>
                <w:sz w:val="20"/>
                <w:szCs w:val="20"/>
              </w:rPr>
              <w:t>**)).</w:t>
            </w:r>
            <w:r w:rsidRPr="00397EF3">
              <w:rPr>
                <w:rFonts w:asciiTheme="majorBidi" w:eastAsia="Times" w:hAnsiTheme="majorBidi" w:cstheme="majorBidi"/>
                <w:sz w:val="20"/>
                <w:szCs w:val="20"/>
              </w:rPr>
              <w:br/>
            </w:r>
          </w:p>
        </w:tc>
        <w:tc>
          <w:tcPr>
            <w:tcW w:w="1181" w:type="dxa"/>
          </w:tcPr>
          <w:p w14:paraId="64054B7C" w14:textId="77777777" w:rsidR="002B201F" w:rsidRPr="00397EF3" w:rsidRDefault="002B2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2B201F" w:rsidRPr="00397EF3" w14:paraId="1BF3007D" w14:textId="77777777" w:rsidTr="002B201F">
        <w:trPr>
          <w:trHeight w:val="568"/>
        </w:trPr>
        <w:tc>
          <w:tcPr>
            <w:tcW w:w="2205" w:type="dxa"/>
          </w:tcPr>
          <w:p w14:paraId="0B0F0E9B" w14:textId="77777777" w:rsidR="002B201F" w:rsidRPr="00397EF3" w:rsidRDefault="006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Calibration, accuracy, and sterilization</w:t>
            </w:r>
          </w:p>
        </w:tc>
        <w:tc>
          <w:tcPr>
            <w:tcW w:w="945" w:type="dxa"/>
          </w:tcPr>
          <w:p w14:paraId="5BB0128B" w14:textId="77777777" w:rsidR="002B201F" w:rsidRPr="00397EF3" w:rsidRDefault="006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97EF3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8625" w:type="dxa"/>
          </w:tcPr>
          <w:p w14:paraId="0CC44E38" w14:textId="71E2ED65" w:rsidR="002B201F" w:rsidRPr="00397EF3" w:rsidRDefault="006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The method of calibration </w:t>
            </w:r>
            <w:r w:rsidRPr="00397EF3">
              <w:rPr>
                <w:rFonts w:asciiTheme="majorBidi" w:hAnsiTheme="majorBidi" w:cstheme="majorBidi"/>
                <w:sz w:val="20"/>
                <w:szCs w:val="20"/>
              </w:rPr>
              <w:t>for</w:t>
            </w: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individual meters/sensors or dyes is reported. Where applicable, details of the sterilization method</w:t>
            </w:r>
            <w:r w:rsidRPr="00397EF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gramStart"/>
            <w:r w:rsidRPr="00397EF3">
              <w:rPr>
                <w:rFonts w:asciiTheme="majorBidi" w:hAnsiTheme="majorBidi" w:cstheme="majorBidi"/>
                <w:sz w:val="20"/>
                <w:szCs w:val="20"/>
              </w:rPr>
              <w:t>is</w:t>
            </w:r>
            <w:proofErr w:type="gramEnd"/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r w:rsidRPr="00397EF3">
              <w:rPr>
                <w:rFonts w:asciiTheme="majorBidi" w:hAnsiTheme="majorBidi" w:cstheme="majorBidi"/>
                <w:sz w:val="20"/>
                <w:szCs w:val="20"/>
              </w:rPr>
              <w:t>declared</w:t>
            </w: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(</w:t>
            </w:r>
            <w:r w:rsidRPr="000025F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e.g.</w:t>
            </w: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autoclaved sensor</w:t>
            </w:r>
            <w:r w:rsidRPr="00397EF3"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. </w:t>
            </w:r>
          </w:p>
          <w:p w14:paraId="61F96726" w14:textId="77777777" w:rsidR="002B201F" w:rsidRPr="00397EF3" w:rsidRDefault="002B2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</w:tcPr>
          <w:p w14:paraId="37F70E79" w14:textId="77777777" w:rsidR="002B201F" w:rsidRPr="00397EF3" w:rsidRDefault="002B2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2B201F" w:rsidRPr="00397EF3" w14:paraId="7D7B954D" w14:textId="77777777" w:rsidTr="002B201F">
        <w:trPr>
          <w:trHeight w:val="335"/>
        </w:trPr>
        <w:tc>
          <w:tcPr>
            <w:tcW w:w="12956" w:type="dxa"/>
            <w:gridSpan w:val="4"/>
            <w:shd w:val="clear" w:color="auto" w:fill="DEEBF6"/>
          </w:tcPr>
          <w:p w14:paraId="54668EA8" w14:textId="77777777" w:rsidR="002B201F" w:rsidRPr="00397EF3" w:rsidRDefault="006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97EF3">
              <w:rPr>
                <w:rFonts w:asciiTheme="majorBidi" w:hAnsiTheme="majorBidi" w:cstheme="majorBidi"/>
                <w:b/>
                <w:color w:val="000000"/>
              </w:rPr>
              <w:t>DATA REPORTING AND CITED MATERIALS</w:t>
            </w:r>
          </w:p>
        </w:tc>
      </w:tr>
      <w:tr w:rsidR="002B201F" w:rsidRPr="00397EF3" w14:paraId="0B190A18" w14:textId="77777777" w:rsidTr="002B201F">
        <w:trPr>
          <w:trHeight w:val="578"/>
        </w:trPr>
        <w:tc>
          <w:tcPr>
            <w:tcW w:w="2205" w:type="dxa"/>
          </w:tcPr>
          <w:p w14:paraId="091B95C0" w14:textId="29BA360D" w:rsidR="002B201F" w:rsidRPr="00397EF3" w:rsidRDefault="006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Data reporting</w:t>
            </w:r>
          </w:p>
        </w:tc>
        <w:tc>
          <w:tcPr>
            <w:tcW w:w="945" w:type="dxa"/>
          </w:tcPr>
          <w:p w14:paraId="024C9416" w14:textId="77777777" w:rsidR="002B201F" w:rsidRPr="00397EF3" w:rsidRDefault="006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97EF3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8625" w:type="dxa"/>
          </w:tcPr>
          <w:p w14:paraId="4ED9BF59" w14:textId="77777777" w:rsidR="002B201F" w:rsidRPr="00397EF3" w:rsidRDefault="006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For all environmental parameters reported, mean levels, associated variance estimates (</w:t>
            </w:r>
            <w:r w:rsidRPr="00556A7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e.g.,</w:t>
            </w: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range, standard error, and standard deviation), and sample sizes (</w:t>
            </w:r>
            <w:r w:rsidRPr="00397EF3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n</w:t>
            </w: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) are reported and capture the extent of change experienced in the live-cell culturing system. Where possible, data has been summarized and/or displayed in a manner that permits an assessment of variability in cell culture conditions over time.</w:t>
            </w:r>
          </w:p>
          <w:p w14:paraId="128E8B62" w14:textId="77777777" w:rsidR="002B201F" w:rsidRPr="00397EF3" w:rsidRDefault="002B2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</w:tcPr>
          <w:p w14:paraId="0185F51D" w14:textId="77777777" w:rsidR="002B201F" w:rsidRPr="00397EF3" w:rsidRDefault="002B2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2B201F" w:rsidRPr="00397EF3" w14:paraId="3D7AEADA" w14:textId="77777777" w:rsidTr="002B201F">
        <w:trPr>
          <w:trHeight w:val="578"/>
        </w:trPr>
        <w:tc>
          <w:tcPr>
            <w:tcW w:w="2205" w:type="dxa"/>
          </w:tcPr>
          <w:p w14:paraId="5AA4E2CE" w14:textId="77777777" w:rsidR="002B201F" w:rsidRPr="00397EF3" w:rsidRDefault="006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Supplementary content</w:t>
            </w:r>
          </w:p>
        </w:tc>
        <w:tc>
          <w:tcPr>
            <w:tcW w:w="945" w:type="dxa"/>
          </w:tcPr>
          <w:p w14:paraId="029DE500" w14:textId="77777777" w:rsidR="002B201F" w:rsidRPr="00397EF3" w:rsidRDefault="006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97EF3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8625" w:type="dxa"/>
          </w:tcPr>
          <w:p w14:paraId="7E66D8DC" w14:textId="26AF4113" w:rsidR="002B201F" w:rsidRPr="00397EF3" w:rsidRDefault="00693657">
            <w:pPr>
              <w:rPr>
                <w:rFonts w:asciiTheme="majorBidi" w:hAnsiTheme="majorBidi" w:cstheme="majorBidi"/>
                <w:b/>
              </w:rPr>
            </w:pPr>
            <w:r w:rsidRPr="00397EF3">
              <w:rPr>
                <w:rFonts w:asciiTheme="majorBidi" w:hAnsiTheme="majorBidi" w:cstheme="majorBidi"/>
                <w:sz w:val="20"/>
                <w:szCs w:val="20"/>
              </w:rPr>
              <w:t>Where possible, statements to the effect of “as described by ref [x]” were avoided. Protocols and/or materials cited in the text of the published study are included in supplementary materials or made available online via repositories. Cited recipes (</w:t>
            </w:r>
            <w:proofErr w:type="gramStart"/>
            <w:r w:rsidRPr="00556A7E">
              <w:rPr>
                <w:rFonts w:asciiTheme="majorBidi" w:hAnsiTheme="majorBidi" w:cstheme="majorBidi"/>
                <w:sz w:val="20"/>
                <w:szCs w:val="20"/>
              </w:rPr>
              <w:t>e.g.</w:t>
            </w:r>
            <w:proofErr w:type="gramEnd"/>
            <w:r w:rsidRPr="00397EF3">
              <w:rPr>
                <w:rFonts w:asciiTheme="majorBidi" w:hAnsiTheme="majorBidi" w:cstheme="majorBidi"/>
                <w:sz w:val="20"/>
                <w:szCs w:val="20"/>
              </w:rPr>
              <w:t xml:space="preserve"> commercial media formulations) are publicly available, without firewalls or requirements to purchase the product to verify the formulation.</w:t>
            </w:r>
          </w:p>
          <w:p w14:paraId="4A9A620A" w14:textId="77777777" w:rsidR="002B201F" w:rsidRPr="00397EF3" w:rsidRDefault="002B2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</w:tcPr>
          <w:p w14:paraId="1FAFFC9E" w14:textId="77777777" w:rsidR="002B201F" w:rsidRPr="00397EF3" w:rsidRDefault="002B2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2B201F" w:rsidRPr="00397EF3" w14:paraId="4B94B1E8" w14:textId="77777777" w:rsidTr="002B201F">
        <w:trPr>
          <w:trHeight w:val="578"/>
        </w:trPr>
        <w:tc>
          <w:tcPr>
            <w:tcW w:w="2205" w:type="dxa"/>
          </w:tcPr>
          <w:p w14:paraId="2F90828A" w14:textId="04E30914" w:rsidR="002B201F" w:rsidRPr="00397EF3" w:rsidRDefault="006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Data availability</w:t>
            </w:r>
          </w:p>
        </w:tc>
        <w:tc>
          <w:tcPr>
            <w:tcW w:w="945" w:type="dxa"/>
          </w:tcPr>
          <w:p w14:paraId="55ECBDB3" w14:textId="77777777" w:rsidR="002B201F" w:rsidRPr="00397EF3" w:rsidRDefault="006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97EF3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8625" w:type="dxa"/>
          </w:tcPr>
          <w:p w14:paraId="7636667F" w14:textId="2C604926" w:rsidR="002B201F" w:rsidRPr="00397EF3" w:rsidRDefault="006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97EF3">
              <w:rPr>
                <w:rFonts w:asciiTheme="majorBidi" w:hAnsiTheme="majorBidi" w:cstheme="majorBidi"/>
                <w:sz w:val="20"/>
                <w:szCs w:val="20"/>
              </w:rPr>
              <w:t xml:space="preserve">Where possible, </w:t>
            </w: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raw data of environmental </w:t>
            </w:r>
            <w:r w:rsidRPr="00397EF3">
              <w:rPr>
                <w:rFonts w:asciiTheme="majorBidi" w:hAnsiTheme="majorBidi" w:cstheme="majorBidi"/>
                <w:sz w:val="20"/>
                <w:szCs w:val="20"/>
              </w:rPr>
              <w:t xml:space="preserve">monitoring </w:t>
            </w: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are archived in an on-line (freely accessible) repository, and/or provided in the supplementary information.</w:t>
            </w:r>
            <w:r w:rsidRPr="00397EF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</w:r>
          </w:p>
        </w:tc>
        <w:tc>
          <w:tcPr>
            <w:tcW w:w="1181" w:type="dxa"/>
          </w:tcPr>
          <w:p w14:paraId="20071A9D" w14:textId="77777777" w:rsidR="002B201F" w:rsidRPr="00397EF3" w:rsidRDefault="002B2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</w:tbl>
    <w:p w14:paraId="2279E5F4" w14:textId="77777777" w:rsidR="002B201F" w:rsidRPr="00397EF3" w:rsidRDefault="002B201F">
      <w:pPr>
        <w:rPr>
          <w:rFonts w:asciiTheme="majorBidi" w:hAnsiTheme="majorBidi" w:cstheme="majorBidi"/>
          <w:b/>
        </w:rPr>
      </w:pPr>
    </w:p>
    <w:p w14:paraId="39777EDC" w14:textId="6A99C488" w:rsidR="002B201F" w:rsidRPr="00397EF3" w:rsidRDefault="00693657">
      <w:pPr>
        <w:ind w:left="720"/>
        <w:rPr>
          <w:rFonts w:asciiTheme="majorBidi" w:hAnsiTheme="majorBidi" w:cstheme="majorBidi"/>
        </w:rPr>
      </w:pPr>
      <w:r w:rsidRPr="00397EF3">
        <w:rPr>
          <w:rFonts w:asciiTheme="majorBidi" w:hAnsiTheme="majorBidi" w:cstheme="majorBidi"/>
        </w:rPr>
        <w:t xml:space="preserve">* pH values have the dimension of 1 and are </w:t>
      </w:r>
      <w:r w:rsidR="00397EF3">
        <w:rPr>
          <w:rFonts w:asciiTheme="majorBidi" w:hAnsiTheme="majorBidi" w:cstheme="majorBidi"/>
        </w:rPr>
        <w:t>unit-</w:t>
      </w:r>
      <w:r w:rsidR="00397EF3" w:rsidRPr="00397EF3">
        <w:rPr>
          <w:rFonts w:asciiTheme="majorBidi" w:hAnsiTheme="majorBidi" w:cstheme="majorBidi"/>
        </w:rPr>
        <w:t>less</w:t>
      </w:r>
      <w:r w:rsidRPr="00397EF3">
        <w:rPr>
          <w:rFonts w:asciiTheme="majorBidi" w:hAnsiTheme="majorBidi" w:cstheme="majorBidi"/>
        </w:rPr>
        <w:t xml:space="preserve">. However, when pH is defined, it is implicitly based on a concentration unit: for hydrogen ions. The </w:t>
      </w:r>
      <w:r w:rsidR="00397EF3" w:rsidRPr="00397EF3">
        <w:rPr>
          <w:rFonts w:asciiTheme="majorBidi" w:hAnsiTheme="majorBidi" w:cstheme="majorBidi"/>
        </w:rPr>
        <w:t>type of pH standards used for calibration thus determines the pH scale</w:t>
      </w:r>
      <w:r w:rsidRPr="00397EF3">
        <w:rPr>
          <w:rFonts w:asciiTheme="majorBidi" w:hAnsiTheme="majorBidi" w:cstheme="majorBidi"/>
        </w:rPr>
        <w:t xml:space="preserve">. </w:t>
      </w:r>
    </w:p>
    <w:p w14:paraId="384A80C2" w14:textId="77777777" w:rsidR="002B201F" w:rsidRPr="00397EF3" w:rsidRDefault="00693657">
      <w:pPr>
        <w:ind w:left="720"/>
        <w:rPr>
          <w:rFonts w:asciiTheme="majorBidi" w:hAnsiTheme="majorBidi" w:cstheme="majorBidi"/>
        </w:rPr>
      </w:pPr>
      <w:r w:rsidRPr="00397EF3">
        <w:rPr>
          <w:rFonts w:asciiTheme="majorBidi" w:hAnsiTheme="majorBidi" w:cstheme="majorBidi"/>
        </w:rPr>
        <w:t xml:space="preserve">** NBS and NIST pH scales are commonly used for physiology. </w:t>
      </w:r>
    </w:p>
    <w:p w14:paraId="1D3A6D38" w14:textId="77777777" w:rsidR="002B201F" w:rsidRPr="00397EF3" w:rsidRDefault="002B201F">
      <w:pPr>
        <w:ind w:left="720"/>
        <w:rPr>
          <w:rFonts w:asciiTheme="majorBidi" w:hAnsiTheme="majorBidi" w:cstheme="majorBidi"/>
          <w:b/>
        </w:rPr>
      </w:pPr>
    </w:p>
    <w:sectPr w:rsidR="002B201F" w:rsidRPr="00397EF3">
      <w:footerReference w:type="default" r:id="rId9"/>
      <w:pgSz w:w="16838" w:h="11906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9BACB" w14:textId="77777777" w:rsidR="00055603" w:rsidRDefault="00055603">
      <w:pPr>
        <w:spacing w:after="0" w:line="240" w:lineRule="auto"/>
      </w:pPr>
      <w:r>
        <w:separator/>
      </w:r>
    </w:p>
  </w:endnote>
  <w:endnote w:type="continuationSeparator" w:id="0">
    <w:p w14:paraId="6CA42D0E" w14:textId="77777777" w:rsidR="00055603" w:rsidRDefault="00055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E602" w14:textId="5595645E" w:rsidR="002B201F" w:rsidRDefault="006936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143EC">
      <w:rPr>
        <w:noProof/>
        <w:color w:val="000000"/>
      </w:rPr>
      <w:t>2</w:t>
    </w:r>
    <w:r>
      <w:rPr>
        <w:color w:val="000000"/>
      </w:rPr>
      <w:fldChar w:fldCharType="end"/>
    </w:r>
  </w:p>
  <w:p w14:paraId="5BEDA701" w14:textId="77777777" w:rsidR="002B201F" w:rsidRDefault="002B20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253B4" w14:textId="77777777" w:rsidR="00055603" w:rsidRDefault="00055603">
      <w:pPr>
        <w:spacing w:after="0" w:line="240" w:lineRule="auto"/>
      </w:pPr>
      <w:r>
        <w:separator/>
      </w:r>
    </w:p>
  </w:footnote>
  <w:footnote w:type="continuationSeparator" w:id="0">
    <w:p w14:paraId="6C373478" w14:textId="77777777" w:rsidR="00055603" w:rsidRDefault="000556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1F"/>
    <w:rsid w:val="000025F7"/>
    <w:rsid w:val="00043B08"/>
    <w:rsid w:val="00055603"/>
    <w:rsid w:val="00132F89"/>
    <w:rsid w:val="001F46EC"/>
    <w:rsid w:val="002A7DE9"/>
    <w:rsid w:val="002B201F"/>
    <w:rsid w:val="002C3807"/>
    <w:rsid w:val="00310DF0"/>
    <w:rsid w:val="00397EF3"/>
    <w:rsid w:val="003E7DD8"/>
    <w:rsid w:val="00413336"/>
    <w:rsid w:val="004251F6"/>
    <w:rsid w:val="004C69E1"/>
    <w:rsid w:val="00556A7E"/>
    <w:rsid w:val="00693657"/>
    <w:rsid w:val="0081537C"/>
    <w:rsid w:val="008535D1"/>
    <w:rsid w:val="008E561D"/>
    <w:rsid w:val="009143EC"/>
    <w:rsid w:val="009B2457"/>
    <w:rsid w:val="00A60518"/>
    <w:rsid w:val="00A67712"/>
    <w:rsid w:val="00A81908"/>
    <w:rsid w:val="00C147AA"/>
    <w:rsid w:val="00C35AE8"/>
    <w:rsid w:val="00CC27C2"/>
    <w:rsid w:val="00DC4C1A"/>
    <w:rsid w:val="00E55274"/>
    <w:rsid w:val="00F2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2CA4B"/>
  <w15:docId w15:val="{4615C480-0D13-F54B-A8F3-0676F379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1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3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3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3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33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336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5A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lac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rlos.duarte@kaust.edu.s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.li@kaust.edu.s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G. Klein</dc:creator>
  <cp:lastModifiedBy>Shannon Klein</cp:lastModifiedBy>
  <cp:revision>11</cp:revision>
  <dcterms:created xsi:type="dcterms:W3CDTF">2021-04-11T11:45:00Z</dcterms:created>
  <dcterms:modified xsi:type="dcterms:W3CDTF">2021-11-16T05:42:00Z</dcterms:modified>
</cp:coreProperties>
</file>