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79634" w14:textId="0B814782" w:rsidR="00384F6F" w:rsidRPr="00CA2941" w:rsidRDefault="00CA2941">
      <w:pPr>
        <w:pStyle w:val="Heading2"/>
        <w:rPr>
          <w:rFonts w:asciiTheme="majorBidi" w:hAnsiTheme="majorBidi" w:cstheme="majorBidi"/>
        </w:rPr>
      </w:pPr>
      <w:r>
        <w:rPr>
          <w:rFonts w:asciiTheme="majorBidi" w:hAnsiTheme="majorBidi" w:cstheme="majorBidi"/>
        </w:rPr>
        <w:t>Extended</w:t>
      </w:r>
      <w:r w:rsidR="008E79C4" w:rsidRPr="00CA2941">
        <w:rPr>
          <w:rFonts w:asciiTheme="majorBidi" w:hAnsiTheme="majorBidi" w:cstheme="majorBidi"/>
        </w:rPr>
        <w:t xml:space="preserve"> Material</w:t>
      </w:r>
      <w:r>
        <w:rPr>
          <w:rFonts w:asciiTheme="majorBidi" w:hAnsiTheme="majorBidi" w:cstheme="majorBidi"/>
        </w:rPr>
        <w:t>s</w:t>
      </w:r>
      <w:r w:rsidR="008E79C4" w:rsidRPr="00CA2941">
        <w:rPr>
          <w:rFonts w:asciiTheme="majorBidi" w:hAnsiTheme="majorBidi" w:cstheme="majorBidi"/>
        </w:rPr>
        <w:t xml:space="preserve"> </w:t>
      </w:r>
      <w:r w:rsidR="00B90ADF" w:rsidRPr="00CA2941">
        <w:rPr>
          <w:rFonts w:asciiTheme="majorBidi" w:hAnsiTheme="majorBidi" w:cstheme="majorBidi"/>
        </w:rPr>
        <w:t>2</w:t>
      </w:r>
      <w:r w:rsidR="008E79C4" w:rsidRPr="00CA2941">
        <w:rPr>
          <w:rFonts w:asciiTheme="majorBidi" w:hAnsiTheme="majorBidi" w:cstheme="majorBidi"/>
        </w:rPr>
        <w:t xml:space="preserve"> </w:t>
      </w:r>
    </w:p>
    <w:p w14:paraId="45DA2248" w14:textId="57F1B821" w:rsidR="00384F6F" w:rsidRPr="00CA2941" w:rsidRDefault="001F767A" w:rsidP="00C8344E">
      <w:pPr>
        <w:pStyle w:val="Heading2"/>
        <w:rPr>
          <w:rFonts w:asciiTheme="majorBidi" w:hAnsiTheme="majorBidi" w:cstheme="majorBidi"/>
          <w:b w:val="0"/>
          <w:i/>
          <w:sz w:val="22"/>
          <w:szCs w:val="22"/>
        </w:rPr>
      </w:pPr>
      <w:bookmarkStart w:id="0" w:name="_sim9quihq5u6" w:colFirst="0" w:colLast="0"/>
      <w:bookmarkEnd w:id="0"/>
      <w:r>
        <w:rPr>
          <w:rFonts w:asciiTheme="majorBidi" w:hAnsiTheme="majorBidi" w:cstheme="majorBidi"/>
          <w:b w:val="0"/>
        </w:rPr>
        <w:t>Toward b</w:t>
      </w:r>
      <w:r w:rsidR="008E79C4" w:rsidRPr="00CA2941">
        <w:rPr>
          <w:rFonts w:asciiTheme="majorBidi" w:hAnsiTheme="majorBidi" w:cstheme="majorBidi"/>
          <w:b w:val="0"/>
        </w:rPr>
        <w:t>est practices for controlling mammalian cell culture environments</w:t>
      </w:r>
      <w:r w:rsidR="008E79C4" w:rsidRPr="00CA2941">
        <w:rPr>
          <w:rFonts w:asciiTheme="majorBidi" w:hAnsiTheme="majorBidi" w:cstheme="majorBidi"/>
        </w:rPr>
        <w:br/>
      </w:r>
      <w:r w:rsidR="008E79C4" w:rsidRPr="00CA2941">
        <w:rPr>
          <w:rFonts w:asciiTheme="majorBidi" w:hAnsiTheme="majorBidi" w:cstheme="majorBidi"/>
        </w:rPr>
        <w:br/>
      </w:r>
      <w:r w:rsidR="008E79C4" w:rsidRPr="00CA2941">
        <w:rPr>
          <w:rFonts w:asciiTheme="majorBidi" w:hAnsiTheme="majorBidi" w:cstheme="majorBidi"/>
          <w:b w:val="0"/>
          <w:i/>
          <w:sz w:val="22"/>
          <w:szCs w:val="22"/>
        </w:rPr>
        <w:t>Shannon G. Klein</w:t>
      </w:r>
      <w:r w:rsidR="008E79C4" w:rsidRPr="00CA2941">
        <w:rPr>
          <w:rFonts w:asciiTheme="majorBidi" w:hAnsiTheme="majorBidi" w:cstheme="majorBidi"/>
          <w:b w:val="0"/>
          <w:i/>
          <w:sz w:val="22"/>
          <w:szCs w:val="22"/>
          <w:vertAlign w:val="superscript"/>
        </w:rPr>
        <w:t>1</w:t>
      </w:r>
      <w:r w:rsidR="008E79C4" w:rsidRPr="00CA2941">
        <w:rPr>
          <w:rFonts w:asciiTheme="majorBidi" w:hAnsiTheme="majorBidi" w:cstheme="majorBidi"/>
          <w:b w:val="0"/>
          <w:i/>
          <w:sz w:val="22"/>
          <w:szCs w:val="22"/>
        </w:rPr>
        <w:t>, Alexandra Steckbauer</w:t>
      </w:r>
      <w:r w:rsidR="008E79C4" w:rsidRPr="00CA2941">
        <w:rPr>
          <w:rFonts w:asciiTheme="majorBidi" w:hAnsiTheme="majorBidi" w:cstheme="majorBidi"/>
          <w:b w:val="0"/>
          <w:i/>
          <w:sz w:val="22"/>
          <w:szCs w:val="22"/>
          <w:vertAlign w:val="superscript"/>
        </w:rPr>
        <w:t>1</w:t>
      </w:r>
      <w:r w:rsidR="008E79C4" w:rsidRPr="00CA2941">
        <w:rPr>
          <w:rFonts w:asciiTheme="majorBidi" w:hAnsiTheme="majorBidi" w:cstheme="majorBidi"/>
          <w:b w:val="0"/>
          <w:i/>
          <w:sz w:val="22"/>
          <w:szCs w:val="22"/>
        </w:rPr>
        <w:t xml:space="preserve">, </w:t>
      </w:r>
      <w:proofErr w:type="spellStart"/>
      <w:r w:rsidR="008E79C4" w:rsidRPr="00CA2941">
        <w:rPr>
          <w:rFonts w:asciiTheme="majorBidi" w:hAnsiTheme="majorBidi" w:cstheme="majorBidi"/>
          <w:b w:val="0"/>
          <w:i/>
          <w:sz w:val="22"/>
          <w:szCs w:val="22"/>
        </w:rPr>
        <w:t>Samhan</w:t>
      </w:r>
      <w:proofErr w:type="spellEnd"/>
      <w:r w:rsidR="008E79C4" w:rsidRPr="00CA2941">
        <w:rPr>
          <w:rFonts w:asciiTheme="majorBidi" w:hAnsiTheme="majorBidi" w:cstheme="majorBidi"/>
          <w:b w:val="0"/>
          <w:i/>
          <w:sz w:val="22"/>
          <w:szCs w:val="22"/>
        </w:rPr>
        <w:t xml:space="preserve"> M. Alsolami</w:t>
      </w:r>
      <w:r w:rsidR="008E79C4" w:rsidRPr="00CA2941">
        <w:rPr>
          <w:rFonts w:asciiTheme="majorBidi" w:hAnsiTheme="majorBidi" w:cstheme="majorBidi"/>
          <w:b w:val="0"/>
          <w:i/>
          <w:sz w:val="22"/>
          <w:szCs w:val="22"/>
          <w:vertAlign w:val="superscript"/>
        </w:rPr>
        <w:t>2</w:t>
      </w:r>
      <w:r w:rsidR="008E79C4" w:rsidRPr="00CA2941">
        <w:rPr>
          <w:rFonts w:asciiTheme="majorBidi" w:hAnsiTheme="majorBidi" w:cstheme="majorBidi"/>
          <w:b w:val="0"/>
          <w:i/>
          <w:sz w:val="22"/>
          <w:szCs w:val="22"/>
        </w:rPr>
        <w:t>, Silvia Arossa</w:t>
      </w:r>
      <w:r w:rsidR="008E79C4" w:rsidRPr="00CA2941">
        <w:rPr>
          <w:rFonts w:asciiTheme="majorBidi" w:hAnsiTheme="majorBidi" w:cstheme="majorBidi"/>
          <w:b w:val="0"/>
          <w:i/>
          <w:sz w:val="22"/>
          <w:szCs w:val="22"/>
          <w:vertAlign w:val="superscript"/>
        </w:rPr>
        <w:t>1</w:t>
      </w:r>
      <w:r w:rsidR="008E79C4" w:rsidRPr="00CA2941">
        <w:rPr>
          <w:rFonts w:asciiTheme="majorBidi" w:hAnsiTheme="majorBidi" w:cstheme="majorBidi"/>
          <w:b w:val="0"/>
          <w:i/>
          <w:sz w:val="22"/>
          <w:szCs w:val="22"/>
        </w:rPr>
        <w:t xml:space="preserve">, </w:t>
      </w:r>
      <w:proofErr w:type="spellStart"/>
      <w:r w:rsidR="008E79C4" w:rsidRPr="00CA2941">
        <w:rPr>
          <w:rFonts w:asciiTheme="majorBidi" w:hAnsiTheme="majorBidi" w:cstheme="majorBidi"/>
          <w:b w:val="0"/>
          <w:i/>
          <w:sz w:val="22"/>
          <w:szCs w:val="22"/>
        </w:rPr>
        <w:t>Anieka</w:t>
      </w:r>
      <w:proofErr w:type="spellEnd"/>
      <w:r w:rsidR="008E79C4" w:rsidRPr="00CA2941">
        <w:rPr>
          <w:rFonts w:asciiTheme="majorBidi" w:hAnsiTheme="majorBidi" w:cstheme="majorBidi"/>
          <w:b w:val="0"/>
          <w:i/>
          <w:sz w:val="22"/>
          <w:szCs w:val="22"/>
        </w:rPr>
        <w:t xml:space="preserve"> J. Parry</w:t>
      </w:r>
      <w:r w:rsidR="008E79C4" w:rsidRPr="00CA2941">
        <w:rPr>
          <w:rFonts w:asciiTheme="majorBidi" w:hAnsiTheme="majorBidi" w:cstheme="majorBidi"/>
          <w:b w:val="0"/>
          <w:i/>
          <w:sz w:val="22"/>
          <w:szCs w:val="22"/>
          <w:vertAlign w:val="superscript"/>
        </w:rPr>
        <w:t>1</w:t>
      </w:r>
      <w:r w:rsidR="008E79C4" w:rsidRPr="00CA2941">
        <w:rPr>
          <w:rFonts w:asciiTheme="majorBidi" w:hAnsiTheme="majorBidi" w:cstheme="majorBidi"/>
          <w:b w:val="0"/>
          <w:i/>
          <w:sz w:val="22"/>
          <w:szCs w:val="22"/>
        </w:rPr>
        <w:t>, Mo Li</w:t>
      </w:r>
      <w:r w:rsidR="008E79C4" w:rsidRPr="00CA2941">
        <w:rPr>
          <w:rFonts w:asciiTheme="majorBidi" w:hAnsiTheme="majorBidi" w:cstheme="majorBidi"/>
          <w:b w:val="0"/>
          <w:i/>
          <w:sz w:val="22"/>
          <w:szCs w:val="22"/>
          <w:vertAlign w:val="superscript"/>
        </w:rPr>
        <w:t>2</w:t>
      </w:r>
      <w:r w:rsidR="00C8344E" w:rsidRPr="00CA2941">
        <w:rPr>
          <w:rFonts w:asciiTheme="majorBidi" w:hAnsiTheme="majorBidi" w:cstheme="majorBidi"/>
          <w:b w:val="0"/>
          <w:i/>
          <w:sz w:val="22"/>
          <w:szCs w:val="22"/>
          <w:vertAlign w:val="superscript"/>
        </w:rPr>
        <w:t>*</w:t>
      </w:r>
      <w:r w:rsidR="008E79C4" w:rsidRPr="00CA2941">
        <w:rPr>
          <w:rFonts w:asciiTheme="majorBidi" w:hAnsiTheme="majorBidi" w:cstheme="majorBidi"/>
          <w:b w:val="0"/>
          <w:i/>
          <w:sz w:val="22"/>
          <w:szCs w:val="22"/>
        </w:rPr>
        <w:t>, and Carlos M. Duarte</w:t>
      </w:r>
      <w:r w:rsidR="008E79C4" w:rsidRPr="00CA2941">
        <w:rPr>
          <w:rFonts w:asciiTheme="majorBidi" w:hAnsiTheme="majorBidi" w:cstheme="majorBidi"/>
          <w:b w:val="0"/>
          <w:i/>
          <w:sz w:val="22"/>
          <w:szCs w:val="22"/>
          <w:vertAlign w:val="superscript"/>
        </w:rPr>
        <w:t>1</w:t>
      </w:r>
      <w:r w:rsidR="00142291" w:rsidRPr="00CA2941">
        <w:rPr>
          <w:rFonts w:asciiTheme="majorBidi" w:hAnsiTheme="majorBidi" w:cstheme="majorBidi"/>
          <w:b w:val="0"/>
          <w:i/>
          <w:sz w:val="22"/>
          <w:szCs w:val="22"/>
          <w:vertAlign w:val="superscript"/>
        </w:rPr>
        <w:t>*</w:t>
      </w:r>
    </w:p>
    <w:p w14:paraId="5C61F261" w14:textId="77777777" w:rsidR="00384F6F" w:rsidRPr="00CA2941" w:rsidRDefault="00384F6F">
      <w:pPr>
        <w:pStyle w:val="Heading2"/>
        <w:spacing w:before="40" w:after="0" w:line="259" w:lineRule="auto"/>
        <w:rPr>
          <w:rFonts w:asciiTheme="majorBidi" w:hAnsiTheme="majorBidi" w:cstheme="majorBidi"/>
          <w:b w:val="0"/>
          <w:color w:val="2E75B5"/>
          <w:sz w:val="22"/>
          <w:szCs w:val="22"/>
        </w:rPr>
      </w:pPr>
    </w:p>
    <w:p w14:paraId="349C655B" w14:textId="0077DE7C" w:rsidR="00384F6F" w:rsidRPr="00CA2941" w:rsidRDefault="008E79C4">
      <w:pPr>
        <w:spacing w:line="360" w:lineRule="auto"/>
        <w:ind w:left="720"/>
        <w:rPr>
          <w:rFonts w:asciiTheme="majorBidi" w:hAnsiTheme="majorBidi" w:cstheme="majorBidi"/>
          <w:sz w:val="22"/>
          <w:szCs w:val="22"/>
        </w:rPr>
      </w:pPr>
      <w:r w:rsidRPr="00CA2941">
        <w:rPr>
          <w:rFonts w:asciiTheme="majorBidi" w:hAnsiTheme="majorBidi" w:cstheme="majorBidi"/>
          <w:sz w:val="22"/>
          <w:szCs w:val="22"/>
        </w:rPr>
        <w:t>1.</w:t>
      </w:r>
      <w:r w:rsidRPr="00CA2941">
        <w:rPr>
          <w:rFonts w:asciiTheme="majorBidi" w:eastAsia="Times New Roman" w:hAnsiTheme="majorBidi" w:cstheme="majorBidi"/>
          <w:sz w:val="22"/>
          <w:szCs w:val="22"/>
        </w:rPr>
        <w:t xml:space="preserve">  </w:t>
      </w:r>
      <w:r w:rsidRPr="00CA2941">
        <w:rPr>
          <w:rFonts w:asciiTheme="majorBidi" w:hAnsiTheme="majorBidi" w:cstheme="majorBidi"/>
          <w:sz w:val="22"/>
          <w:szCs w:val="22"/>
        </w:rPr>
        <w:t xml:space="preserve">Red Sea Research Centre (RSRC) and Computational Bioscience Research Center (CBRC), King Abdullah University of Science and Technology, </w:t>
      </w:r>
      <w:proofErr w:type="spellStart"/>
      <w:r w:rsidRPr="00CA2941">
        <w:rPr>
          <w:rFonts w:asciiTheme="majorBidi" w:hAnsiTheme="majorBidi" w:cstheme="majorBidi"/>
          <w:sz w:val="22"/>
          <w:szCs w:val="22"/>
        </w:rPr>
        <w:t>Thuwal</w:t>
      </w:r>
      <w:proofErr w:type="spellEnd"/>
      <w:r w:rsidRPr="00CA2941">
        <w:rPr>
          <w:rFonts w:asciiTheme="majorBidi" w:hAnsiTheme="majorBidi" w:cstheme="majorBidi"/>
          <w:sz w:val="22"/>
          <w:szCs w:val="22"/>
        </w:rPr>
        <w:t xml:space="preserve"> 23955, Saudi Arabia</w:t>
      </w:r>
    </w:p>
    <w:p w14:paraId="6EE92009" w14:textId="77777777" w:rsidR="00384F6F" w:rsidRPr="00CA2941" w:rsidRDefault="008E79C4">
      <w:pPr>
        <w:spacing w:line="360" w:lineRule="auto"/>
        <w:ind w:left="720"/>
        <w:rPr>
          <w:rFonts w:asciiTheme="majorBidi" w:hAnsiTheme="majorBidi" w:cstheme="majorBidi"/>
          <w:sz w:val="22"/>
          <w:szCs w:val="22"/>
        </w:rPr>
      </w:pPr>
      <w:r w:rsidRPr="00CA2941">
        <w:rPr>
          <w:rFonts w:asciiTheme="majorBidi" w:hAnsiTheme="majorBidi" w:cstheme="majorBidi"/>
          <w:sz w:val="22"/>
          <w:szCs w:val="22"/>
        </w:rPr>
        <w:t xml:space="preserve">2.  Biological and Environmental Science and Engineering Division (BESE), King Abdullah University of Science and Technology, </w:t>
      </w:r>
      <w:proofErr w:type="spellStart"/>
      <w:r w:rsidRPr="00CA2941">
        <w:rPr>
          <w:rFonts w:asciiTheme="majorBidi" w:hAnsiTheme="majorBidi" w:cstheme="majorBidi"/>
          <w:sz w:val="22"/>
          <w:szCs w:val="22"/>
        </w:rPr>
        <w:t>Thuwal</w:t>
      </w:r>
      <w:proofErr w:type="spellEnd"/>
      <w:r w:rsidRPr="00CA2941">
        <w:rPr>
          <w:rFonts w:asciiTheme="majorBidi" w:hAnsiTheme="majorBidi" w:cstheme="majorBidi"/>
          <w:sz w:val="22"/>
          <w:szCs w:val="22"/>
        </w:rPr>
        <w:t xml:space="preserve"> 23955, Saudi Arabia</w:t>
      </w:r>
      <w:r w:rsidRPr="00CA2941">
        <w:rPr>
          <w:rFonts w:asciiTheme="majorBidi" w:hAnsiTheme="majorBidi" w:cstheme="majorBidi"/>
          <w:b/>
          <w:sz w:val="22"/>
          <w:szCs w:val="22"/>
        </w:rPr>
        <w:br/>
      </w:r>
    </w:p>
    <w:p w14:paraId="007EDA28" w14:textId="342151FE" w:rsidR="00384F6F" w:rsidRPr="00CA2941" w:rsidRDefault="008E79C4" w:rsidP="00C8344E">
      <w:pPr>
        <w:spacing w:after="160" w:line="259" w:lineRule="auto"/>
        <w:rPr>
          <w:rFonts w:asciiTheme="majorBidi" w:hAnsiTheme="majorBidi" w:cstheme="majorBidi"/>
          <w:sz w:val="22"/>
          <w:szCs w:val="22"/>
        </w:rPr>
      </w:pPr>
      <w:r w:rsidRPr="00CA2941">
        <w:rPr>
          <w:rFonts w:asciiTheme="majorBidi" w:hAnsiTheme="majorBidi" w:cstheme="majorBidi"/>
          <w:sz w:val="22"/>
          <w:szCs w:val="22"/>
        </w:rPr>
        <w:t xml:space="preserve">Corresponding author* Email: </w:t>
      </w:r>
      <w:hyperlink r:id="rId4" w:history="1">
        <w:r w:rsidR="00B060E0" w:rsidRPr="00E851DA">
          <w:rPr>
            <w:rStyle w:val="Hyperlink"/>
            <w:rFonts w:asciiTheme="majorBidi" w:hAnsiTheme="majorBidi" w:cstheme="majorBidi"/>
            <w:sz w:val="22"/>
            <w:szCs w:val="22"/>
          </w:rPr>
          <w:t>carlos.duarte@kaust.edu.sa</w:t>
        </w:r>
      </w:hyperlink>
      <w:r w:rsidR="00B060E0">
        <w:rPr>
          <w:rFonts w:asciiTheme="majorBidi" w:hAnsiTheme="majorBidi" w:cstheme="majorBidi"/>
          <w:sz w:val="22"/>
          <w:szCs w:val="22"/>
        </w:rPr>
        <w:t xml:space="preserve"> </w:t>
      </w:r>
      <w:hyperlink r:id="rId5" w:history="1">
        <w:r w:rsidR="00C8344E" w:rsidRPr="00E851DA">
          <w:rPr>
            <w:rStyle w:val="Hyperlink"/>
            <w:rFonts w:asciiTheme="majorBidi" w:hAnsiTheme="majorBidi" w:cstheme="majorBidi"/>
            <w:sz w:val="22"/>
            <w:szCs w:val="22"/>
          </w:rPr>
          <w:t>mo.li@kaust.edu.sa</w:t>
        </w:r>
      </w:hyperlink>
    </w:p>
    <w:p w14:paraId="1D83DEC4" w14:textId="77777777" w:rsidR="00384F6F" w:rsidRPr="00CA2941" w:rsidRDefault="008E79C4">
      <w:pPr>
        <w:pStyle w:val="Heading3"/>
        <w:rPr>
          <w:rFonts w:asciiTheme="majorBidi" w:hAnsiTheme="majorBidi" w:cstheme="majorBidi"/>
          <w:color w:val="4A86E8"/>
        </w:rPr>
      </w:pPr>
      <w:bookmarkStart w:id="1" w:name="_bv4ndyutojci" w:colFirst="0" w:colLast="0"/>
      <w:bookmarkEnd w:id="1"/>
      <w:r w:rsidRPr="00CA2941">
        <w:rPr>
          <w:rFonts w:asciiTheme="majorBidi" w:hAnsiTheme="majorBidi" w:cstheme="majorBidi"/>
          <w:color w:val="4A86E8"/>
        </w:rPr>
        <w:br/>
      </w:r>
      <w:r w:rsidRPr="00CA2941">
        <w:rPr>
          <w:rFonts w:asciiTheme="majorBidi" w:hAnsiTheme="majorBidi" w:cstheme="majorBidi"/>
        </w:rPr>
        <w:br w:type="page"/>
      </w:r>
    </w:p>
    <w:p w14:paraId="6705BB73" w14:textId="77777777" w:rsidR="00384F6F" w:rsidRPr="00CA2941" w:rsidRDefault="008E79C4" w:rsidP="001C2107">
      <w:pPr>
        <w:pStyle w:val="Heading3"/>
        <w:jc w:val="both"/>
        <w:rPr>
          <w:rFonts w:asciiTheme="majorBidi" w:hAnsiTheme="majorBidi" w:cstheme="majorBidi"/>
        </w:rPr>
      </w:pPr>
      <w:bookmarkStart w:id="2" w:name="_ywkw5z77s1vv" w:colFirst="0" w:colLast="0"/>
      <w:bookmarkEnd w:id="2"/>
      <w:r w:rsidRPr="00CA2941">
        <w:rPr>
          <w:rFonts w:asciiTheme="majorBidi" w:hAnsiTheme="majorBidi" w:cstheme="majorBidi"/>
        </w:rPr>
        <w:lastRenderedPageBreak/>
        <w:t>Robust methods for environmental parameter monitoring in cell culture experiments</w:t>
      </w:r>
    </w:p>
    <w:p w14:paraId="61F52399" w14:textId="77777777" w:rsidR="00384F6F" w:rsidRPr="00CA2941" w:rsidRDefault="00384F6F">
      <w:pPr>
        <w:rPr>
          <w:rFonts w:asciiTheme="majorBidi" w:hAnsiTheme="majorBidi" w:cstheme="majorBidi"/>
          <w:sz w:val="22"/>
          <w:szCs w:val="22"/>
          <w:u w:val="single"/>
        </w:rPr>
      </w:pPr>
    </w:p>
    <w:p w14:paraId="14638DA2" w14:textId="07A5E280" w:rsidR="00384F6F" w:rsidRDefault="008E79C4" w:rsidP="00142291">
      <w:pPr>
        <w:spacing w:line="360" w:lineRule="auto"/>
        <w:jc w:val="both"/>
        <w:rPr>
          <w:rFonts w:asciiTheme="majorBidi" w:hAnsiTheme="majorBidi" w:cstheme="majorBidi"/>
          <w:sz w:val="22"/>
          <w:szCs w:val="22"/>
        </w:rPr>
      </w:pPr>
      <w:r w:rsidRPr="00CA2941">
        <w:rPr>
          <w:rFonts w:asciiTheme="majorBidi" w:hAnsiTheme="majorBidi" w:cstheme="majorBidi"/>
          <w:sz w:val="22"/>
          <w:szCs w:val="22"/>
        </w:rPr>
        <w:t xml:space="preserve">Here, we provide sample methods of environmental parameter monitoring in two example culture systems, ranging in complexity. The first method applies to batch flask </w:t>
      </w:r>
      <w:r w:rsidR="00CA2941">
        <w:rPr>
          <w:rFonts w:asciiTheme="majorBidi" w:hAnsiTheme="majorBidi" w:cstheme="majorBidi"/>
          <w:sz w:val="22"/>
          <w:szCs w:val="22"/>
        </w:rPr>
        <w:t>culture systems, where the medium</w:t>
      </w:r>
      <w:r w:rsidRPr="00CA2941">
        <w:rPr>
          <w:rFonts w:asciiTheme="majorBidi" w:hAnsiTheme="majorBidi" w:cstheme="majorBidi"/>
          <w:sz w:val="22"/>
          <w:szCs w:val="22"/>
        </w:rPr>
        <w:t xml:space="preserve"> environment is monitored for media pH, dissolved 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w:t>
      </w:r>
      <w:r w:rsidR="00EE5D35">
        <w:rPr>
          <w:rFonts w:asciiTheme="majorBidi" w:hAnsiTheme="majorBidi" w:cstheme="majorBidi"/>
          <w:sz w:val="22"/>
          <w:szCs w:val="22"/>
        </w:rPr>
        <w:t xml:space="preserve"> and dissolved CO</w:t>
      </w:r>
      <w:r w:rsidR="00EE5D35" w:rsidRPr="00EE5D35">
        <w:rPr>
          <w:rFonts w:asciiTheme="majorBidi" w:hAnsiTheme="majorBidi" w:cstheme="majorBidi"/>
          <w:sz w:val="22"/>
          <w:szCs w:val="22"/>
          <w:vertAlign w:val="subscript"/>
        </w:rPr>
        <w:t>2</w:t>
      </w:r>
      <w:r w:rsidRPr="00CA2941">
        <w:rPr>
          <w:rFonts w:asciiTheme="majorBidi" w:hAnsiTheme="majorBidi" w:cstheme="majorBidi"/>
          <w:sz w:val="22"/>
          <w:szCs w:val="22"/>
        </w:rPr>
        <w:t>. The second method describes</w:t>
      </w:r>
      <w:r w:rsidR="00CA2941">
        <w:rPr>
          <w:rFonts w:asciiTheme="majorBidi" w:hAnsiTheme="majorBidi" w:cstheme="majorBidi"/>
          <w:sz w:val="22"/>
          <w:szCs w:val="22"/>
        </w:rPr>
        <w:t xml:space="preserve"> the cybernetic control of medium</w:t>
      </w:r>
      <w:r w:rsidRPr="00CA2941">
        <w:rPr>
          <w:rFonts w:asciiTheme="majorBidi" w:hAnsiTheme="majorBidi" w:cstheme="majorBidi"/>
          <w:sz w:val="22"/>
          <w:szCs w:val="22"/>
        </w:rPr>
        <w:t xml:space="preserve"> conditions using a commercially available bioreactor system and includes the characterization of environmental parameters. The sample methods reported here are intended only as examples and have not been executed in a laboratory setting, nor are they intended as complete methods descriptions and thus do not include all PRINCE reporting items (</w:t>
      </w:r>
      <w:proofErr w:type="gramStart"/>
      <w:r w:rsidRPr="00D30B0F">
        <w:rPr>
          <w:rFonts w:asciiTheme="majorBidi" w:hAnsiTheme="majorBidi" w:cstheme="majorBidi"/>
          <w:sz w:val="22"/>
          <w:szCs w:val="22"/>
        </w:rPr>
        <w:t>e.g.</w:t>
      </w:r>
      <w:proofErr w:type="gramEnd"/>
      <w:r w:rsidRPr="00D30B0F">
        <w:rPr>
          <w:rFonts w:asciiTheme="majorBidi" w:hAnsiTheme="majorBidi" w:cstheme="majorBidi"/>
          <w:sz w:val="22"/>
          <w:szCs w:val="22"/>
        </w:rPr>
        <w:t xml:space="preserve"> r</w:t>
      </w:r>
      <w:r w:rsidRPr="00CA2941">
        <w:rPr>
          <w:rFonts w:asciiTheme="majorBidi" w:hAnsiTheme="majorBidi" w:cstheme="majorBidi"/>
          <w:sz w:val="22"/>
          <w:szCs w:val="22"/>
        </w:rPr>
        <w:t>eporting of results/ data availability).</w:t>
      </w:r>
    </w:p>
    <w:p w14:paraId="01EF0C5A" w14:textId="77777777" w:rsidR="00142291" w:rsidRPr="00CA2941" w:rsidRDefault="00142291" w:rsidP="00142291">
      <w:pPr>
        <w:spacing w:line="360" w:lineRule="auto"/>
        <w:jc w:val="both"/>
        <w:rPr>
          <w:rFonts w:asciiTheme="majorBidi" w:hAnsiTheme="majorBidi" w:cstheme="majorBidi"/>
          <w:sz w:val="22"/>
          <w:szCs w:val="22"/>
          <w:u w:val="single"/>
        </w:rPr>
      </w:pPr>
    </w:p>
    <w:p w14:paraId="4A3D4CA7" w14:textId="48DB8B93" w:rsidR="00384F6F" w:rsidRPr="00CA2941" w:rsidRDefault="008E79C4" w:rsidP="00AD7809">
      <w:pPr>
        <w:spacing w:line="360" w:lineRule="auto"/>
        <w:jc w:val="both"/>
        <w:rPr>
          <w:rFonts w:asciiTheme="majorBidi" w:hAnsiTheme="majorBidi" w:cstheme="majorBidi"/>
          <w:sz w:val="22"/>
          <w:szCs w:val="22"/>
          <w:u w:val="single"/>
        </w:rPr>
      </w:pPr>
      <w:r w:rsidRPr="00CA2941">
        <w:rPr>
          <w:rFonts w:asciiTheme="majorBidi" w:hAnsiTheme="majorBidi" w:cstheme="majorBidi"/>
          <w:sz w:val="22"/>
          <w:szCs w:val="22"/>
          <w:u w:val="single"/>
        </w:rPr>
        <w:t>Method 1: Measurements of dissolved oxygen</w:t>
      </w:r>
      <w:r w:rsidR="00EE5D35">
        <w:rPr>
          <w:rFonts w:asciiTheme="majorBidi" w:hAnsiTheme="majorBidi" w:cstheme="majorBidi"/>
          <w:sz w:val="22"/>
          <w:szCs w:val="22"/>
          <w:u w:val="single"/>
        </w:rPr>
        <w:t>, carbon dioxide,</w:t>
      </w:r>
      <w:r w:rsidRPr="00CA2941">
        <w:rPr>
          <w:rFonts w:asciiTheme="majorBidi" w:hAnsiTheme="majorBidi" w:cstheme="majorBidi"/>
          <w:sz w:val="22"/>
          <w:szCs w:val="22"/>
          <w:u w:val="single"/>
        </w:rPr>
        <w:t xml:space="preserve"> and pH in batch cell cultures using non-invasive sensor spot technology</w:t>
      </w:r>
    </w:p>
    <w:p w14:paraId="2CB2837A" w14:textId="77777777" w:rsidR="00384F6F" w:rsidRPr="00CA2941" w:rsidRDefault="00384F6F">
      <w:pPr>
        <w:rPr>
          <w:rFonts w:asciiTheme="majorBidi" w:hAnsiTheme="majorBidi" w:cstheme="majorBidi"/>
          <w:sz w:val="22"/>
          <w:szCs w:val="22"/>
          <w:u w:val="single"/>
        </w:rPr>
      </w:pPr>
    </w:p>
    <w:p w14:paraId="576AACDF" w14:textId="64E4A41E" w:rsidR="00384F6F" w:rsidRPr="00CA2941" w:rsidRDefault="008E79C4">
      <w:pPr>
        <w:spacing w:line="360" w:lineRule="auto"/>
        <w:jc w:val="both"/>
        <w:rPr>
          <w:rFonts w:asciiTheme="majorBidi" w:hAnsiTheme="majorBidi" w:cstheme="majorBidi"/>
          <w:sz w:val="22"/>
          <w:szCs w:val="22"/>
        </w:rPr>
      </w:pPr>
      <w:r w:rsidRPr="00CA2941">
        <w:rPr>
          <w:rFonts w:asciiTheme="majorBidi" w:hAnsiTheme="majorBidi" w:cstheme="majorBidi"/>
          <w:sz w:val="22"/>
          <w:szCs w:val="22"/>
        </w:rPr>
        <w:t>Human chronic myelogenous leukemia cells (cell line K562, ATCC) were maintained in RPMI-1640 medium, supplemented with 15% FBS and 22 mM NaHCO</w:t>
      </w:r>
      <w:r w:rsidRPr="00CA2941">
        <w:rPr>
          <w:rFonts w:asciiTheme="majorBidi" w:hAnsiTheme="majorBidi" w:cstheme="majorBidi"/>
          <w:sz w:val="22"/>
          <w:szCs w:val="22"/>
          <w:vertAlign w:val="subscript"/>
        </w:rPr>
        <w:t>3</w:t>
      </w:r>
      <w:r w:rsidRPr="00CA2941">
        <w:rPr>
          <w:rFonts w:asciiTheme="majorBidi" w:hAnsiTheme="majorBidi" w:cstheme="majorBidi"/>
          <w:sz w:val="22"/>
          <w:szCs w:val="22"/>
          <w:vertAlign w:val="superscript"/>
        </w:rPr>
        <w:t>-</w:t>
      </w:r>
      <w:r w:rsidRPr="00CA2941">
        <w:rPr>
          <w:rFonts w:asciiTheme="majorBidi" w:hAnsiTheme="majorBidi" w:cstheme="majorBidi"/>
          <w:sz w:val="22"/>
          <w:szCs w:val="22"/>
        </w:rPr>
        <w:t>, which employed the HCO</w:t>
      </w:r>
      <w:r w:rsidRPr="00CA2941">
        <w:rPr>
          <w:rFonts w:asciiTheme="majorBidi" w:hAnsiTheme="majorBidi" w:cstheme="majorBidi"/>
          <w:sz w:val="22"/>
          <w:szCs w:val="22"/>
          <w:vertAlign w:val="subscript"/>
        </w:rPr>
        <w:t>3</w:t>
      </w:r>
      <w:r w:rsidRPr="00CA2941">
        <w:rPr>
          <w:rFonts w:asciiTheme="majorBidi" w:hAnsiTheme="majorBidi" w:cstheme="majorBidi"/>
          <w:sz w:val="22"/>
          <w:szCs w:val="22"/>
          <w:vertAlign w:val="superscript"/>
        </w:rPr>
        <w:t>-</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buffer system to maintain physiological </w:t>
      </w:r>
      <w:proofErr w:type="spellStart"/>
      <w:r w:rsidRPr="00CA2941">
        <w:rPr>
          <w:rFonts w:asciiTheme="majorBidi" w:hAnsiTheme="majorBidi" w:cstheme="majorBidi"/>
          <w:sz w:val="22"/>
          <w:szCs w:val="22"/>
        </w:rPr>
        <w:t>pH.</w:t>
      </w:r>
      <w:proofErr w:type="spellEnd"/>
      <w:r w:rsidRPr="00CA2941">
        <w:rPr>
          <w:rFonts w:asciiTheme="majorBidi" w:hAnsiTheme="majorBidi" w:cstheme="majorBidi"/>
          <w:sz w:val="22"/>
          <w:szCs w:val="22"/>
        </w:rPr>
        <w:t xml:space="preserve"> Cells were suspended at 200 k mL</w:t>
      </w:r>
      <w:r w:rsidRPr="00CA2941">
        <w:rPr>
          <w:rFonts w:asciiTheme="majorBidi" w:hAnsiTheme="majorBidi" w:cstheme="majorBidi"/>
          <w:sz w:val="22"/>
          <w:szCs w:val="22"/>
          <w:vertAlign w:val="superscript"/>
        </w:rPr>
        <w:t>-1</w:t>
      </w:r>
      <w:r w:rsidRPr="00CA2941">
        <w:rPr>
          <w:rFonts w:asciiTheme="majorBidi" w:hAnsiTheme="majorBidi" w:cstheme="majorBidi"/>
          <w:sz w:val="22"/>
          <w:szCs w:val="22"/>
        </w:rPr>
        <w:t xml:space="preserve"> and cultured in T-75cm</w:t>
      </w:r>
      <w:r w:rsidRPr="00CA2941">
        <w:rPr>
          <w:rFonts w:asciiTheme="majorBidi" w:hAnsiTheme="majorBidi" w:cstheme="majorBidi"/>
          <w:sz w:val="22"/>
          <w:szCs w:val="22"/>
          <w:vertAlign w:val="superscript"/>
        </w:rPr>
        <w:t>2</w:t>
      </w:r>
      <w:r w:rsidRPr="00CA2941">
        <w:rPr>
          <w:rFonts w:asciiTheme="majorBidi" w:hAnsiTheme="majorBidi" w:cstheme="majorBidi"/>
          <w:sz w:val="22"/>
          <w:szCs w:val="22"/>
        </w:rPr>
        <w:t xml:space="preserve"> flasks (in 20 mL working volume) with vented caps (see Table S1 for key resources). Cells were maintained in a </w:t>
      </w:r>
      <w:proofErr w:type="spellStart"/>
      <w:r w:rsidRPr="00CA2941">
        <w:rPr>
          <w:rFonts w:asciiTheme="majorBidi" w:hAnsiTheme="majorBidi" w:cstheme="majorBidi"/>
          <w:sz w:val="22"/>
          <w:szCs w:val="22"/>
        </w:rPr>
        <w:t>Heracell</w:t>
      </w:r>
      <w:r w:rsidRPr="00CA2941">
        <w:rPr>
          <w:rFonts w:asciiTheme="majorBidi" w:hAnsiTheme="majorBidi" w:cstheme="majorBidi"/>
          <w:sz w:val="22"/>
          <w:szCs w:val="22"/>
          <w:vertAlign w:val="superscript"/>
        </w:rPr>
        <w:t>TM</w:t>
      </w:r>
      <w:proofErr w:type="spellEnd"/>
      <w:r w:rsidRPr="00CA2941">
        <w:rPr>
          <w:rFonts w:asciiTheme="majorBidi" w:hAnsiTheme="majorBidi" w:cstheme="majorBidi"/>
          <w:sz w:val="22"/>
          <w:szCs w:val="22"/>
        </w:rPr>
        <w:t xml:space="preserve"> i150 incubator with the temperature set to 37 ºC with an atmosphere of 5% 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in air and humidity at 90%. The incubator was calibrated for temperature and 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injection one week prior to the commencement of the experiment. The K562 cell line was received without a passage number from ATCC. K562 cells were passaged three times (at 72-hour intervals) prior to the experiment. </w:t>
      </w:r>
    </w:p>
    <w:p w14:paraId="3276C0C7" w14:textId="77777777" w:rsidR="00384F6F" w:rsidRPr="00CA2941" w:rsidRDefault="00384F6F">
      <w:pPr>
        <w:spacing w:line="360" w:lineRule="auto"/>
        <w:jc w:val="both"/>
        <w:rPr>
          <w:rFonts w:asciiTheme="majorBidi" w:hAnsiTheme="majorBidi" w:cstheme="majorBidi"/>
          <w:sz w:val="22"/>
          <w:szCs w:val="22"/>
        </w:rPr>
      </w:pPr>
    </w:p>
    <w:p w14:paraId="10CE5D00" w14:textId="77777777" w:rsidR="00384F6F" w:rsidRPr="00CA2941" w:rsidRDefault="008E79C4">
      <w:pPr>
        <w:spacing w:line="360" w:lineRule="auto"/>
        <w:jc w:val="both"/>
        <w:rPr>
          <w:rFonts w:asciiTheme="majorBidi" w:hAnsiTheme="majorBidi" w:cstheme="majorBidi"/>
          <w:sz w:val="22"/>
          <w:szCs w:val="22"/>
        </w:rPr>
      </w:pPr>
      <w:r w:rsidRPr="00CA2941">
        <w:rPr>
          <w:rFonts w:asciiTheme="majorBidi" w:hAnsiTheme="majorBidi" w:cstheme="majorBidi"/>
          <w:sz w:val="22"/>
          <w:szCs w:val="22"/>
        </w:rPr>
        <w:t>Dissolved 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w:t>
      </w:r>
      <w:r w:rsidRPr="00CA2941">
        <w:rPr>
          <w:rFonts w:asciiTheme="majorBidi" w:hAnsiTheme="majorBidi" w:cstheme="majorBidi"/>
          <w:i/>
          <w:sz w:val="22"/>
          <w:szCs w:val="22"/>
        </w:rPr>
        <w:t>d</w:t>
      </w:r>
      <w:r w:rsidRPr="00CA2941">
        <w:rPr>
          <w:rFonts w:asciiTheme="majorBidi" w:hAnsiTheme="majorBidi" w:cstheme="majorBidi"/>
          <w:sz w:val="22"/>
          <w:szCs w:val="22"/>
        </w:rPr>
        <w:t>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dissolved 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w:t>
      </w:r>
      <w:r w:rsidRPr="00CA2941">
        <w:rPr>
          <w:rFonts w:asciiTheme="majorBidi" w:hAnsiTheme="majorBidi" w:cstheme="majorBidi"/>
          <w:i/>
          <w:sz w:val="22"/>
          <w:szCs w:val="22"/>
        </w:rPr>
        <w:t>d</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and pH sensor spots were used to monitor </w:t>
      </w:r>
      <w:r w:rsidRPr="00CA2941">
        <w:rPr>
          <w:rFonts w:asciiTheme="majorBidi" w:hAnsiTheme="majorBidi" w:cstheme="majorBidi"/>
          <w:i/>
          <w:sz w:val="22"/>
          <w:szCs w:val="22"/>
        </w:rPr>
        <w:t>d</w:t>
      </w:r>
      <w:r w:rsidRPr="00CA2941">
        <w:rPr>
          <w:rFonts w:asciiTheme="majorBidi" w:hAnsiTheme="majorBidi" w:cstheme="majorBidi"/>
          <w:sz w:val="22"/>
          <w:szCs w:val="22"/>
        </w:rPr>
        <w:t>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w:t>
      </w:r>
      <w:r w:rsidRPr="00CA2941">
        <w:rPr>
          <w:rFonts w:asciiTheme="majorBidi" w:hAnsiTheme="majorBidi" w:cstheme="majorBidi"/>
          <w:sz w:val="22"/>
          <w:szCs w:val="22"/>
          <w:vertAlign w:val="subscript"/>
        </w:rPr>
        <w:t xml:space="preserve"> </w:t>
      </w:r>
      <w:r w:rsidRPr="00CA2941">
        <w:rPr>
          <w:rFonts w:asciiTheme="majorBidi" w:hAnsiTheme="majorBidi" w:cstheme="majorBidi"/>
          <w:i/>
          <w:sz w:val="22"/>
          <w:szCs w:val="22"/>
        </w:rPr>
        <w:t>d</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and pH conditions in four batch culture flasks during a 72-hour passage. DO sensor spots were calibrated using a two-point calibration (100% air saturation, and 0% 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via N</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gas [99.99% purity] bubbling), whereas the pH sensor spots were calibrated using a three-point calibration (using NIST traceable buffer solutions of pH 4, 7, and 10). Multi-channel fiber optic pH and </w:t>
      </w:r>
      <w:r w:rsidRPr="00CA2941">
        <w:rPr>
          <w:rFonts w:asciiTheme="majorBidi" w:hAnsiTheme="majorBidi" w:cstheme="majorBidi"/>
          <w:i/>
          <w:sz w:val="22"/>
          <w:szCs w:val="22"/>
        </w:rPr>
        <w:t>d</w:t>
      </w:r>
      <w:r w:rsidRPr="00CA2941">
        <w:rPr>
          <w:rFonts w:asciiTheme="majorBidi" w:hAnsiTheme="majorBidi" w:cstheme="majorBidi"/>
          <w:sz w:val="22"/>
          <w:szCs w:val="22"/>
        </w:rPr>
        <w:t>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meters were used to non-invasively measure </w:t>
      </w:r>
      <w:r w:rsidRPr="00CA2941">
        <w:rPr>
          <w:rFonts w:asciiTheme="majorBidi" w:hAnsiTheme="majorBidi" w:cstheme="majorBidi"/>
          <w:i/>
          <w:sz w:val="22"/>
          <w:szCs w:val="22"/>
        </w:rPr>
        <w:t>d</w:t>
      </w:r>
      <w:r w:rsidRPr="00CA2941">
        <w:rPr>
          <w:rFonts w:asciiTheme="majorBidi" w:hAnsiTheme="majorBidi" w:cstheme="majorBidi"/>
          <w:sz w:val="22"/>
          <w:szCs w:val="22"/>
        </w:rPr>
        <w:t>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and pH values from the sensor spots through the plastic wall of the culture flasks. Likewise, a single-channel fiber-optic </w:t>
      </w:r>
      <w:r w:rsidRPr="00CA2941">
        <w:rPr>
          <w:rFonts w:asciiTheme="majorBidi" w:hAnsiTheme="majorBidi" w:cstheme="majorBidi"/>
          <w:i/>
          <w:sz w:val="22"/>
          <w:szCs w:val="22"/>
        </w:rPr>
        <w:t>d</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 xml:space="preserve">2 </w:t>
      </w:r>
      <w:r w:rsidRPr="00CA2941">
        <w:rPr>
          <w:rFonts w:asciiTheme="majorBidi" w:hAnsiTheme="majorBidi" w:cstheme="majorBidi"/>
          <w:sz w:val="22"/>
          <w:szCs w:val="22"/>
        </w:rPr>
        <w:t xml:space="preserve">meter was used to non-invasively measure </w:t>
      </w:r>
      <w:r w:rsidRPr="00CA2941">
        <w:rPr>
          <w:rFonts w:asciiTheme="majorBidi" w:hAnsiTheme="majorBidi" w:cstheme="majorBidi"/>
          <w:i/>
          <w:sz w:val="22"/>
          <w:szCs w:val="22"/>
        </w:rPr>
        <w:t>d</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 xml:space="preserve">2 </w:t>
      </w:r>
      <w:r w:rsidRPr="00CA2941">
        <w:rPr>
          <w:rFonts w:asciiTheme="majorBidi" w:hAnsiTheme="majorBidi" w:cstheme="majorBidi"/>
          <w:sz w:val="22"/>
          <w:szCs w:val="22"/>
        </w:rPr>
        <w:t xml:space="preserve">values from the sensor spots through the plastic wall of the culture flasks. The sensor spots function as </w:t>
      </w:r>
      <w:proofErr w:type="spellStart"/>
      <w:r w:rsidRPr="00CA2941">
        <w:rPr>
          <w:rFonts w:asciiTheme="majorBidi" w:hAnsiTheme="majorBidi" w:cstheme="majorBidi"/>
          <w:sz w:val="22"/>
          <w:szCs w:val="22"/>
        </w:rPr>
        <w:t>optodes</w:t>
      </w:r>
      <w:proofErr w:type="spellEnd"/>
      <w:r w:rsidRPr="00CA2941">
        <w:rPr>
          <w:rFonts w:asciiTheme="majorBidi" w:hAnsiTheme="majorBidi" w:cstheme="majorBidi"/>
          <w:sz w:val="22"/>
          <w:szCs w:val="22"/>
        </w:rPr>
        <w:t xml:space="preserve">, which upon activation by LED, act as an excitation light source and a photodiode to render </w:t>
      </w:r>
      <w:r w:rsidRPr="00CA2941">
        <w:rPr>
          <w:rFonts w:asciiTheme="majorBidi" w:hAnsiTheme="majorBidi" w:cstheme="majorBidi"/>
          <w:i/>
          <w:sz w:val="22"/>
          <w:szCs w:val="22"/>
        </w:rPr>
        <w:t>d</w:t>
      </w:r>
      <w:r w:rsidRPr="00CA2941">
        <w:rPr>
          <w:rFonts w:asciiTheme="majorBidi" w:hAnsiTheme="majorBidi" w:cstheme="majorBidi"/>
          <w:sz w:val="22"/>
          <w:szCs w:val="22"/>
        </w:rPr>
        <w:t>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w:t>
      </w:r>
      <w:r w:rsidRPr="00CA2941">
        <w:rPr>
          <w:rFonts w:asciiTheme="majorBidi" w:hAnsiTheme="majorBidi" w:cstheme="majorBidi"/>
          <w:sz w:val="22"/>
          <w:szCs w:val="22"/>
          <w:vertAlign w:val="subscript"/>
        </w:rPr>
        <w:t xml:space="preserve"> </w:t>
      </w:r>
      <w:r w:rsidRPr="00CA2941">
        <w:rPr>
          <w:rFonts w:asciiTheme="majorBidi" w:hAnsiTheme="majorBidi" w:cstheme="majorBidi"/>
          <w:i/>
          <w:sz w:val="22"/>
          <w:szCs w:val="22"/>
        </w:rPr>
        <w:t>d</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and pH measurements. </w:t>
      </w:r>
    </w:p>
    <w:p w14:paraId="57D28025" w14:textId="77777777" w:rsidR="00384F6F" w:rsidRPr="00CA2941" w:rsidRDefault="00384F6F">
      <w:pPr>
        <w:spacing w:line="360" w:lineRule="auto"/>
        <w:jc w:val="both"/>
        <w:rPr>
          <w:rFonts w:asciiTheme="majorBidi" w:hAnsiTheme="majorBidi" w:cstheme="majorBidi"/>
          <w:sz w:val="22"/>
          <w:szCs w:val="22"/>
        </w:rPr>
      </w:pPr>
    </w:p>
    <w:p w14:paraId="418AFFA8" w14:textId="32791101" w:rsidR="00384F6F" w:rsidRPr="00CA2941" w:rsidRDefault="008E79C4">
      <w:pPr>
        <w:spacing w:line="360" w:lineRule="auto"/>
        <w:jc w:val="both"/>
        <w:rPr>
          <w:rFonts w:asciiTheme="majorBidi" w:hAnsiTheme="majorBidi" w:cstheme="majorBidi"/>
          <w:sz w:val="22"/>
          <w:szCs w:val="22"/>
        </w:rPr>
      </w:pPr>
      <w:r w:rsidRPr="00CA2941">
        <w:rPr>
          <w:rFonts w:asciiTheme="majorBidi" w:hAnsiTheme="majorBidi" w:cstheme="majorBidi"/>
          <w:sz w:val="22"/>
          <w:szCs w:val="22"/>
        </w:rPr>
        <w:t>Three sensor spots (</w:t>
      </w:r>
      <w:r w:rsidRPr="00CA2941">
        <w:rPr>
          <w:rFonts w:asciiTheme="majorBidi" w:hAnsiTheme="majorBidi" w:cstheme="majorBidi"/>
          <w:i/>
          <w:sz w:val="22"/>
          <w:szCs w:val="22"/>
        </w:rPr>
        <w:t>d</w:t>
      </w:r>
      <w:r w:rsidRPr="00CA2941">
        <w:rPr>
          <w:rFonts w:asciiTheme="majorBidi" w:hAnsiTheme="majorBidi" w:cstheme="majorBidi"/>
          <w:sz w:val="22"/>
          <w:szCs w:val="22"/>
        </w:rPr>
        <w:t>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w:t>
      </w:r>
      <w:r w:rsidRPr="00CA2941">
        <w:rPr>
          <w:rFonts w:asciiTheme="majorBidi" w:hAnsiTheme="majorBidi" w:cstheme="majorBidi"/>
          <w:sz w:val="22"/>
          <w:szCs w:val="22"/>
          <w:vertAlign w:val="subscript"/>
        </w:rPr>
        <w:t xml:space="preserve"> </w:t>
      </w:r>
      <w:r w:rsidRPr="00CA2941">
        <w:rPr>
          <w:rFonts w:asciiTheme="majorBidi" w:hAnsiTheme="majorBidi" w:cstheme="majorBidi"/>
          <w:i/>
          <w:sz w:val="22"/>
          <w:szCs w:val="22"/>
        </w:rPr>
        <w:t>d</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and pH) were glued to the inside of each of the four T-75cm</w:t>
      </w:r>
      <w:r w:rsidRPr="00CA2941">
        <w:rPr>
          <w:rFonts w:asciiTheme="majorBidi" w:hAnsiTheme="majorBidi" w:cstheme="majorBidi"/>
          <w:sz w:val="22"/>
          <w:szCs w:val="22"/>
          <w:vertAlign w:val="superscript"/>
        </w:rPr>
        <w:t>2</w:t>
      </w:r>
      <w:r w:rsidRPr="00CA2941">
        <w:rPr>
          <w:rFonts w:asciiTheme="majorBidi" w:hAnsiTheme="majorBidi" w:cstheme="majorBidi"/>
          <w:sz w:val="22"/>
          <w:szCs w:val="22"/>
        </w:rPr>
        <w:t xml:space="preserve"> flasks using </w:t>
      </w:r>
      <w:proofErr w:type="spellStart"/>
      <w:r w:rsidRPr="00CA2941">
        <w:rPr>
          <w:rFonts w:asciiTheme="majorBidi" w:hAnsiTheme="majorBidi" w:cstheme="majorBidi"/>
          <w:sz w:val="22"/>
          <w:szCs w:val="22"/>
        </w:rPr>
        <w:t>KwikSil</w:t>
      </w:r>
      <w:proofErr w:type="spellEnd"/>
      <w:r w:rsidRPr="00CA2941">
        <w:rPr>
          <w:rFonts w:asciiTheme="majorBidi" w:hAnsiTheme="majorBidi" w:cstheme="majorBidi"/>
          <w:sz w:val="22"/>
          <w:szCs w:val="22"/>
        </w:rPr>
        <w:t xml:space="preserve"> silicone glue so that both the </w:t>
      </w:r>
      <w:r w:rsidRPr="00CA2941">
        <w:rPr>
          <w:rFonts w:asciiTheme="majorBidi" w:hAnsiTheme="majorBidi" w:cstheme="majorBidi"/>
          <w:i/>
          <w:sz w:val="22"/>
          <w:szCs w:val="22"/>
        </w:rPr>
        <w:t>d</w:t>
      </w:r>
      <w:r w:rsidRPr="00CA2941">
        <w:rPr>
          <w:rFonts w:asciiTheme="majorBidi" w:hAnsiTheme="majorBidi" w:cstheme="majorBidi"/>
          <w:sz w:val="22"/>
          <w:szCs w:val="22"/>
        </w:rPr>
        <w:t>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w:t>
      </w:r>
      <w:r w:rsidRPr="00CA2941">
        <w:rPr>
          <w:rFonts w:asciiTheme="majorBidi" w:hAnsiTheme="majorBidi" w:cstheme="majorBidi"/>
          <w:sz w:val="22"/>
          <w:szCs w:val="22"/>
          <w:vertAlign w:val="subscript"/>
        </w:rPr>
        <w:t xml:space="preserve"> </w:t>
      </w:r>
      <w:r w:rsidRPr="00CA2941">
        <w:rPr>
          <w:rFonts w:asciiTheme="majorBidi" w:hAnsiTheme="majorBidi" w:cstheme="majorBidi"/>
          <w:i/>
          <w:sz w:val="22"/>
          <w:szCs w:val="22"/>
        </w:rPr>
        <w:t>d</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and pH sensor spots were submerged in cell media in the </w:t>
      </w:r>
      <w:r w:rsidRPr="00CA2941">
        <w:rPr>
          <w:rFonts w:asciiTheme="majorBidi" w:hAnsiTheme="majorBidi" w:cstheme="majorBidi"/>
          <w:sz w:val="22"/>
          <w:szCs w:val="22"/>
        </w:rPr>
        <w:lastRenderedPageBreak/>
        <w:t>horizontal position. All equipment used to install the sensor spots were autoclaved at 120 ºC for 20 minutes to prevent contamination. The flasks were left in darkness until the glue had curated (~18 min) to avoid any light-induced damage to the sensor spots and then each flask was sterilized using 50% EtOH, rinsed with DPBS, followed by RPMI-1640 media. Cells were inoculated at 200 k mL</w:t>
      </w:r>
      <w:r w:rsidRPr="00CA2941">
        <w:rPr>
          <w:rFonts w:asciiTheme="majorBidi" w:hAnsiTheme="majorBidi" w:cstheme="majorBidi"/>
          <w:sz w:val="22"/>
          <w:szCs w:val="22"/>
          <w:vertAlign w:val="superscript"/>
        </w:rPr>
        <w:t>-1</w:t>
      </w:r>
      <w:r w:rsidRPr="00CA2941">
        <w:rPr>
          <w:rFonts w:asciiTheme="majorBidi" w:hAnsiTheme="majorBidi" w:cstheme="majorBidi"/>
          <w:sz w:val="22"/>
          <w:szCs w:val="22"/>
        </w:rPr>
        <w:t xml:space="preserve"> in a 20 mL working volume of RPMI-1640 within each flask and placed under identical incubator conditions, as detailed above. pH and DO measurements were taken at the start of the experiment and then at 24-hour intervals over 72 hours (</w:t>
      </w:r>
      <w:r w:rsidRPr="00344945">
        <w:rPr>
          <w:rFonts w:asciiTheme="majorBidi" w:hAnsiTheme="majorBidi" w:cstheme="majorBidi"/>
          <w:sz w:val="22"/>
          <w:szCs w:val="22"/>
        </w:rPr>
        <w:t>i.e.,</w:t>
      </w:r>
      <w:r w:rsidRPr="00CA2941">
        <w:rPr>
          <w:rFonts w:asciiTheme="majorBidi" w:hAnsiTheme="majorBidi" w:cstheme="majorBidi"/>
          <w:sz w:val="22"/>
          <w:szCs w:val="22"/>
        </w:rPr>
        <w:t xml:space="preserve"> four time-points in total). Given previous observations of environmental drift for K562 cell cultures show a linear decline in </w:t>
      </w:r>
      <w:r w:rsidRPr="00CA2941">
        <w:rPr>
          <w:rFonts w:asciiTheme="majorBidi" w:hAnsiTheme="majorBidi" w:cstheme="majorBidi"/>
          <w:i/>
          <w:sz w:val="22"/>
          <w:szCs w:val="22"/>
        </w:rPr>
        <w:t>d</w:t>
      </w:r>
      <w:r w:rsidRPr="00CA2941">
        <w:rPr>
          <w:rFonts w:asciiTheme="majorBidi" w:hAnsiTheme="majorBidi" w:cstheme="majorBidi"/>
          <w:sz w:val="22"/>
          <w:szCs w:val="22"/>
        </w:rPr>
        <w:t>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w:t>
      </w:r>
      <w:r w:rsidRPr="00CA2941">
        <w:rPr>
          <w:rFonts w:asciiTheme="majorBidi" w:hAnsiTheme="majorBidi" w:cstheme="majorBidi"/>
          <w:sz w:val="22"/>
          <w:szCs w:val="22"/>
          <w:vertAlign w:val="subscript"/>
        </w:rPr>
        <w:t xml:space="preserve"> </w:t>
      </w:r>
      <w:r w:rsidRPr="00CA2941">
        <w:rPr>
          <w:rFonts w:asciiTheme="majorBidi" w:hAnsiTheme="majorBidi" w:cstheme="majorBidi"/>
          <w:i/>
          <w:sz w:val="22"/>
          <w:szCs w:val="22"/>
        </w:rPr>
        <w:t>d</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and pH, finer temporal scale measurements were considered unnecessary. The incubator door was opened for &lt;1 min at each time-point so that measurements could be taken. At each time-point, the order of the flasks measured was rotated to minimize the influence of atmospheric 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depletion on the measurements, which occurs when the incubator atmosphere is interrupted over time. At the end of the experiment, cells were counted to ensure that each replicate flask achieved confluency. Specifically, the cell media was centrifuged (5 min at 250 rpm), and the cells resuspended in 5 mL of RPMI-1640 medium. A 20 µL aliquot was mixed with 20 µL of trypan blue for 3 min and counted using a Countess II automated cell counter. All culture flasks were then checked for mycoplasma contamination using </w:t>
      </w:r>
      <w:proofErr w:type="spellStart"/>
      <w:r w:rsidRPr="00CA2941">
        <w:rPr>
          <w:rFonts w:asciiTheme="majorBidi" w:hAnsiTheme="majorBidi" w:cstheme="majorBidi"/>
          <w:sz w:val="22"/>
          <w:szCs w:val="22"/>
        </w:rPr>
        <w:t>Mycoalert</w:t>
      </w:r>
      <w:proofErr w:type="spellEnd"/>
      <w:r w:rsidRPr="00CA2941">
        <w:rPr>
          <w:rFonts w:asciiTheme="majorBidi" w:hAnsiTheme="majorBidi" w:cstheme="majorBidi"/>
          <w:sz w:val="22"/>
          <w:szCs w:val="22"/>
        </w:rPr>
        <w:t xml:space="preserve"> kit and visibly checked for any sign of microbial contamination (</w:t>
      </w:r>
      <w:proofErr w:type="gramStart"/>
      <w:r w:rsidRPr="00344945">
        <w:rPr>
          <w:rFonts w:asciiTheme="majorBidi" w:hAnsiTheme="majorBidi" w:cstheme="majorBidi"/>
          <w:sz w:val="22"/>
          <w:szCs w:val="22"/>
        </w:rPr>
        <w:t>i.e.</w:t>
      </w:r>
      <w:proofErr w:type="gramEnd"/>
      <w:r w:rsidRPr="00CA2941">
        <w:rPr>
          <w:rFonts w:asciiTheme="majorBidi" w:hAnsiTheme="majorBidi" w:cstheme="majorBidi"/>
          <w:sz w:val="22"/>
          <w:szCs w:val="22"/>
        </w:rPr>
        <w:t xml:space="preserve"> bacteria).</w:t>
      </w:r>
    </w:p>
    <w:p w14:paraId="0C7E9F4F" w14:textId="77777777" w:rsidR="00384F6F" w:rsidRPr="00CA2941" w:rsidRDefault="008E79C4">
      <w:pPr>
        <w:spacing w:before="240" w:after="240"/>
        <w:rPr>
          <w:rFonts w:asciiTheme="majorBidi" w:hAnsiTheme="majorBidi" w:cstheme="majorBidi"/>
          <w:sz w:val="20"/>
          <w:szCs w:val="20"/>
        </w:rPr>
      </w:pPr>
      <w:r w:rsidRPr="00CA2941">
        <w:rPr>
          <w:rFonts w:asciiTheme="majorBidi" w:hAnsiTheme="majorBidi" w:cstheme="majorBidi"/>
          <w:b/>
          <w:sz w:val="22"/>
          <w:szCs w:val="22"/>
        </w:rPr>
        <w:t xml:space="preserve">Table S1: </w:t>
      </w:r>
      <w:r w:rsidRPr="00CA2941">
        <w:rPr>
          <w:rFonts w:asciiTheme="majorBidi" w:hAnsiTheme="majorBidi" w:cstheme="majorBidi"/>
          <w:sz w:val="20"/>
          <w:szCs w:val="20"/>
        </w:rPr>
        <w:t>Key Resources Table for Method 1</w:t>
      </w:r>
    </w:p>
    <w:tbl>
      <w:tblPr>
        <w:tblStyle w:val="a"/>
        <w:tblW w:w="9315" w:type="dxa"/>
        <w:tblBorders>
          <w:top w:val="nil"/>
          <w:left w:val="nil"/>
          <w:bottom w:val="nil"/>
          <w:right w:val="nil"/>
          <w:insideH w:val="nil"/>
          <w:insideV w:val="nil"/>
        </w:tblBorders>
        <w:tblLayout w:type="fixed"/>
        <w:tblLook w:val="0600" w:firstRow="0" w:lastRow="0" w:firstColumn="0" w:lastColumn="0" w:noHBand="1" w:noVBand="1"/>
      </w:tblPr>
      <w:tblGrid>
        <w:gridCol w:w="4335"/>
        <w:gridCol w:w="2355"/>
        <w:gridCol w:w="2625"/>
      </w:tblGrid>
      <w:tr w:rsidR="00384F6F" w:rsidRPr="00CA2941" w14:paraId="36DF17BB" w14:textId="77777777">
        <w:trPr>
          <w:trHeight w:val="405"/>
        </w:trPr>
        <w:tc>
          <w:tcPr>
            <w:tcW w:w="4335" w:type="dxa"/>
            <w:tcBorders>
              <w:top w:val="single" w:sz="8" w:space="0" w:color="000000"/>
              <w:left w:val="nil"/>
              <w:bottom w:val="single" w:sz="8" w:space="0" w:color="000000"/>
              <w:right w:val="nil"/>
            </w:tcBorders>
            <w:tcMar>
              <w:top w:w="20" w:type="dxa"/>
              <w:left w:w="20" w:type="dxa"/>
              <w:bottom w:w="100" w:type="dxa"/>
              <w:right w:w="20" w:type="dxa"/>
            </w:tcMar>
          </w:tcPr>
          <w:p w14:paraId="70B253EA"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REAGENT or RESOURCE</w:t>
            </w:r>
          </w:p>
        </w:tc>
        <w:tc>
          <w:tcPr>
            <w:tcW w:w="2355" w:type="dxa"/>
            <w:tcBorders>
              <w:top w:val="single" w:sz="8" w:space="0" w:color="000000"/>
              <w:left w:val="nil"/>
              <w:bottom w:val="single" w:sz="8" w:space="0" w:color="000000"/>
              <w:right w:val="nil"/>
            </w:tcBorders>
            <w:tcMar>
              <w:top w:w="20" w:type="dxa"/>
              <w:left w:w="20" w:type="dxa"/>
              <w:bottom w:w="100" w:type="dxa"/>
              <w:right w:w="20" w:type="dxa"/>
            </w:tcMar>
          </w:tcPr>
          <w:p w14:paraId="044A3D62"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SOURCE</w:t>
            </w:r>
          </w:p>
        </w:tc>
        <w:tc>
          <w:tcPr>
            <w:tcW w:w="2625" w:type="dxa"/>
            <w:tcBorders>
              <w:top w:val="single" w:sz="8" w:space="0" w:color="000000"/>
              <w:left w:val="nil"/>
              <w:bottom w:val="single" w:sz="8" w:space="0" w:color="000000"/>
              <w:right w:val="nil"/>
            </w:tcBorders>
            <w:tcMar>
              <w:top w:w="20" w:type="dxa"/>
              <w:left w:w="20" w:type="dxa"/>
              <w:bottom w:w="100" w:type="dxa"/>
              <w:right w:w="20" w:type="dxa"/>
            </w:tcMar>
          </w:tcPr>
          <w:p w14:paraId="2F21985E"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IDENTIFIER</w:t>
            </w:r>
          </w:p>
        </w:tc>
      </w:tr>
      <w:tr w:rsidR="00384F6F" w:rsidRPr="00CA2941" w14:paraId="4D643040" w14:textId="77777777">
        <w:trPr>
          <w:trHeight w:val="405"/>
        </w:trPr>
        <w:tc>
          <w:tcPr>
            <w:tcW w:w="4335" w:type="dxa"/>
            <w:tcBorders>
              <w:top w:val="single" w:sz="8" w:space="0" w:color="000000"/>
              <w:bottom w:val="single" w:sz="8" w:space="0" w:color="000000"/>
            </w:tcBorders>
            <w:shd w:val="clear" w:color="auto" w:fill="D9D9D9"/>
            <w:tcMar>
              <w:top w:w="20" w:type="dxa"/>
              <w:left w:w="20" w:type="dxa"/>
              <w:bottom w:w="100" w:type="dxa"/>
              <w:right w:w="20" w:type="dxa"/>
            </w:tcMar>
          </w:tcPr>
          <w:p w14:paraId="279E22A6"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Reagents</w:t>
            </w:r>
          </w:p>
        </w:tc>
        <w:tc>
          <w:tcPr>
            <w:tcW w:w="2355" w:type="dxa"/>
            <w:tcBorders>
              <w:top w:val="single" w:sz="8" w:space="0" w:color="000000"/>
              <w:bottom w:val="single" w:sz="8" w:space="0" w:color="000000"/>
            </w:tcBorders>
            <w:shd w:val="clear" w:color="auto" w:fill="D9D9D9"/>
            <w:tcMar>
              <w:top w:w="20" w:type="dxa"/>
              <w:left w:w="20" w:type="dxa"/>
              <w:bottom w:w="100" w:type="dxa"/>
              <w:right w:w="20" w:type="dxa"/>
            </w:tcMar>
          </w:tcPr>
          <w:p w14:paraId="78A3F93E" w14:textId="77777777" w:rsidR="00384F6F" w:rsidRPr="00CA2941" w:rsidRDefault="00384F6F">
            <w:pPr>
              <w:rPr>
                <w:rFonts w:asciiTheme="majorBidi" w:hAnsiTheme="majorBidi" w:cstheme="majorBidi"/>
                <w:sz w:val="20"/>
                <w:szCs w:val="20"/>
              </w:rPr>
            </w:pPr>
          </w:p>
        </w:tc>
        <w:tc>
          <w:tcPr>
            <w:tcW w:w="2625" w:type="dxa"/>
            <w:tcBorders>
              <w:top w:val="single" w:sz="8" w:space="0" w:color="000000"/>
              <w:bottom w:val="single" w:sz="8" w:space="0" w:color="000000"/>
            </w:tcBorders>
            <w:shd w:val="clear" w:color="auto" w:fill="D9D9D9"/>
            <w:tcMar>
              <w:top w:w="20" w:type="dxa"/>
              <w:left w:w="20" w:type="dxa"/>
              <w:bottom w:w="100" w:type="dxa"/>
              <w:right w:w="20" w:type="dxa"/>
            </w:tcMar>
          </w:tcPr>
          <w:p w14:paraId="459DAF8B" w14:textId="77777777" w:rsidR="00384F6F" w:rsidRPr="00CA2941" w:rsidRDefault="00384F6F">
            <w:pPr>
              <w:widowControl w:val="0"/>
              <w:spacing w:line="276" w:lineRule="auto"/>
              <w:rPr>
                <w:rFonts w:asciiTheme="majorBidi" w:hAnsiTheme="majorBidi" w:cstheme="majorBidi"/>
                <w:sz w:val="20"/>
                <w:szCs w:val="20"/>
              </w:rPr>
            </w:pPr>
          </w:p>
        </w:tc>
      </w:tr>
      <w:tr w:rsidR="00384F6F" w:rsidRPr="00CA2941" w14:paraId="23F76FC8" w14:textId="77777777">
        <w:trPr>
          <w:trHeight w:val="420"/>
        </w:trPr>
        <w:tc>
          <w:tcPr>
            <w:tcW w:w="4335" w:type="dxa"/>
            <w:tcMar>
              <w:top w:w="20" w:type="dxa"/>
              <w:left w:w="20" w:type="dxa"/>
              <w:bottom w:w="100" w:type="dxa"/>
              <w:right w:w="20" w:type="dxa"/>
            </w:tcMar>
          </w:tcPr>
          <w:p w14:paraId="179BEF67"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RPMI-1640</w:t>
            </w:r>
          </w:p>
        </w:tc>
        <w:tc>
          <w:tcPr>
            <w:tcW w:w="2355" w:type="dxa"/>
            <w:tcMar>
              <w:top w:w="20" w:type="dxa"/>
              <w:left w:w="20" w:type="dxa"/>
              <w:bottom w:w="100" w:type="dxa"/>
              <w:right w:w="20" w:type="dxa"/>
            </w:tcMar>
          </w:tcPr>
          <w:p w14:paraId="543C0853"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Thermo Scientific™</w:t>
            </w:r>
          </w:p>
        </w:tc>
        <w:tc>
          <w:tcPr>
            <w:tcW w:w="2625" w:type="dxa"/>
            <w:tcMar>
              <w:top w:w="20" w:type="dxa"/>
              <w:left w:w="20" w:type="dxa"/>
              <w:bottom w:w="100" w:type="dxa"/>
              <w:right w:w="20" w:type="dxa"/>
            </w:tcMar>
          </w:tcPr>
          <w:p w14:paraId="1E18440D"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31800105</w:t>
            </w:r>
          </w:p>
        </w:tc>
      </w:tr>
      <w:tr w:rsidR="00384F6F" w:rsidRPr="00CA2941" w14:paraId="1F61C19C" w14:textId="77777777">
        <w:trPr>
          <w:trHeight w:val="420"/>
        </w:trPr>
        <w:tc>
          <w:tcPr>
            <w:tcW w:w="4335" w:type="dxa"/>
            <w:shd w:val="clear" w:color="auto" w:fill="D9D9D9"/>
            <w:tcMar>
              <w:top w:w="20" w:type="dxa"/>
              <w:left w:w="20" w:type="dxa"/>
              <w:bottom w:w="100" w:type="dxa"/>
              <w:right w:w="20" w:type="dxa"/>
            </w:tcMar>
          </w:tcPr>
          <w:p w14:paraId="668802F4"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FBS</w:t>
            </w:r>
          </w:p>
        </w:tc>
        <w:tc>
          <w:tcPr>
            <w:tcW w:w="2355" w:type="dxa"/>
            <w:shd w:val="clear" w:color="auto" w:fill="D9D9D9"/>
            <w:tcMar>
              <w:top w:w="20" w:type="dxa"/>
              <w:left w:w="20" w:type="dxa"/>
              <w:bottom w:w="100" w:type="dxa"/>
              <w:right w:w="20" w:type="dxa"/>
            </w:tcMar>
          </w:tcPr>
          <w:p w14:paraId="0AE6266E"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Gibco</w:t>
            </w:r>
          </w:p>
        </w:tc>
        <w:tc>
          <w:tcPr>
            <w:tcW w:w="2625" w:type="dxa"/>
            <w:shd w:val="clear" w:color="auto" w:fill="D9D9D9"/>
            <w:tcMar>
              <w:top w:w="20" w:type="dxa"/>
              <w:left w:w="20" w:type="dxa"/>
              <w:bottom w:w="100" w:type="dxa"/>
              <w:right w:w="20" w:type="dxa"/>
            </w:tcMar>
          </w:tcPr>
          <w:p w14:paraId="3A5D10FE"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26140-079</w:t>
            </w:r>
          </w:p>
        </w:tc>
      </w:tr>
      <w:tr w:rsidR="00384F6F" w:rsidRPr="00CA2941" w14:paraId="31F30C46" w14:textId="77777777">
        <w:trPr>
          <w:trHeight w:val="420"/>
        </w:trPr>
        <w:tc>
          <w:tcPr>
            <w:tcW w:w="4335" w:type="dxa"/>
            <w:tcMar>
              <w:top w:w="20" w:type="dxa"/>
              <w:left w:w="20" w:type="dxa"/>
              <w:bottom w:w="100" w:type="dxa"/>
              <w:right w:w="20" w:type="dxa"/>
            </w:tcMar>
          </w:tcPr>
          <w:p w14:paraId="044D2F47"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DPBS</w:t>
            </w:r>
          </w:p>
        </w:tc>
        <w:tc>
          <w:tcPr>
            <w:tcW w:w="2355" w:type="dxa"/>
            <w:tcMar>
              <w:top w:w="20" w:type="dxa"/>
              <w:left w:w="20" w:type="dxa"/>
              <w:bottom w:w="100" w:type="dxa"/>
              <w:right w:w="20" w:type="dxa"/>
            </w:tcMar>
          </w:tcPr>
          <w:p w14:paraId="201B73B6"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Gibco</w:t>
            </w:r>
          </w:p>
        </w:tc>
        <w:tc>
          <w:tcPr>
            <w:tcW w:w="2625" w:type="dxa"/>
            <w:tcMar>
              <w:top w:w="20" w:type="dxa"/>
              <w:left w:w="20" w:type="dxa"/>
              <w:bottom w:w="100" w:type="dxa"/>
              <w:right w:w="20" w:type="dxa"/>
            </w:tcMar>
          </w:tcPr>
          <w:p w14:paraId="5832DA71"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14190144</w:t>
            </w:r>
          </w:p>
        </w:tc>
      </w:tr>
      <w:tr w:rsidR="00384F6F" w:rsidRPr="00CA2941" w14:paraId="5AE80C72" w14:textId="77777777">
        <w:trPr>
          <w:trHeight w:val="420"/>
        </w:trPr>
        <w:tc>
          <w:tcPr>
            <w:tcW w:w="4335" w:type="dxa"/>
            <w:shd w:val="clear" w:color="auto" w:fill="D9D9D9"/>
            <w:tcMar>
              <w:top w:w="20" w:type="dxa"/>
              <w:left w:w="20" w:type="dxa"/>
              <w:bottom w:w="100" w:type="dxa"/>
              <w:right w:w="20" w:type="dxa"/>
            </w:tcMar>
          </w:tcPr>
          <w:p w14:paraId="542AB07F"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NIST traceable buffer solutions (pH 4.01)</w:t>
            </w:r>
          </w:p>
        </w:tc>
        <w:tc>
          <w:tcPr>
            <w:tcW w:w="2355" w:type="dxa"/>
            <w:shd w:val="clear" w:color="auto" w:fill="D9D9D9"/>
            <w:tcMar>
              <w:top w:w="20" w:type="dxa"/>
              <w:left w:w="20" w:type="dxa"/>
              <w:bottom w:w="100" w:type="dxa"/>
              <w:right w:w="20" w:type="dxa"/>
            </w:tcMar>
          </w:tcPr>
          <w:p w14:paraId="04C1D487"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Orion™</w:t>
            </w:r>
          </w:p>
        </w:tc>
        <w:tc>
          <w:tcPr>
            <w:tcW w:w="2625" w:type="dxa"/>
            <w:shd w:val="clear" w:color="auto" w:fill="D9D9D9"/>
            <w:tcMar>
              <w:top w:w="20" w:type="dxa"/>
              <w:left w:w="20" w:type="dxa"/>
              <w:bottom w:w="100" w:type="dxa"/>
              <w:right w:w="20" w:type="dxa"/>
            </w:tcMar>
          </w:tcPr>
          <w:p w14:paraId="1B02F119"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ORIO910104</w:t>
            </w:r>
          </w:p>
        </w:tc>
      </w:tr>
      <w:tr w:rsidR="00384F6F" w:rsidRPr="00CA2941" w14:paraId="44FF2EE9" w14:textId="77777777">
        <w:trPr>
          <w:trHeight w:val="420"/>
        </w:trPr>
        <w:tc>
          <w:tcPr>
            <w:tcW w:w="4335" w:type="dxa"/>
            <w:tcMar>
              <w:top w:w="20" w:type="dxa"/>
              <w:left w:w="20" w:type="dxa"/>
              <w:bottom w:w="100" w:type="dxa"/>
              <w:right w:w="20" w:type="dxa"/>
            </w:tcMar>
          </w:tcPr>
          <w:p w14:paraId="13324C61"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NIST traceable buffer solutions (pH 7)</w:t>
            </w:r>
          </w:p>
        </w:tc>
        <w:tc>
          <w:tcPr>
            <w:tcW w:w="2355" w:type="dxa"/>
            <w:tcMar>
              <w:top w:w="20" w:type="dxa"/>
              <w:left w:w="20" w:type="dxa"/>
              <w:bottom w:w="100" w:type="dxa"/>
              <w:right w:w="20" w:type="dxa"/>
            </w:tcMar>
          </w:tcPr>
          <w:p w14:paraId="0BA8EC59"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Orion™</w:t>
            </w:r>
          </w:p>
        </w:tc>
        <w:tc>
          <w:tcPr>
            <w:tcW w:w="2625" w:type="dxa"/>
            <w:tcMar>
              <w:top w:w="20" w:type="dxa"/>
              <w:left w:w="20" w:type="dxa"/>
              <w:bottom w:w="100" w:type="dxa"/>
              <w:right w:w="20" w:type="dxa"/>
            </w:tcMar>
          </w:tcPr>
          <w:p w14:paraId="6A7FD444"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ORIO910760</w:t>
            </w:r>
          </w:p>
        </w:tc>
      </w:tr>
      <w:tr w:rsidR="00384F6F" w:rsidRPr="00CA2941" w14:paraId="61B48A95" w14:textId="77777777">
        <w:trPr>
          <w:trHeight w:val="420"/>
        </w:trPr>
        <w:tc>
          <w:tcPr>
            <w:tcW w:w="4335" w:type="dxa"/>
            <w:shd w:val="clear" w:color="auto" w:fill="D9D9D9"/>
            <w:tcMar>
              <w:top w:w="20" w:type="dxa"/>
              <w:left w:w="20" w:type="dxa"/>
              <w:bottom w:w="100" w:type="dxa"/>
              <w:right w:w="20" w:type="dxa"/>
            </w:tcMar>
          </w:tcPr>
          <w:p w14:paraId="0CB7844D"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NIST traceable buffer solutions (pH 10.01)</w:t>
            </w:r>
          </w:p>
        </w:tc>
        <w:tc>
          <w:tcPr>
            <w:tcW w:w="2355" w:type="dxa"/>
            <w:shd w:val="clear" w:color="auto" w:fill="D9D9D9"/>
            <w:tcMar>
              <w:top w:w="20" w:type="dxa"/>
              <w:left w:w="20" w:type="dxa"/>
              <w:bottom w:w="100" w:type="dxa"/>
              <w:right w:w="20" w:type="dxa"/>
            </w:tcMar>
          </w:tcPr>
          <w:p w14:paraId="775B47C6"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Orion™</w:t>
            </w:r>
          </w:p>
        </w:tc>
        <w:tc>
          <w:tcPr>
            <w:tcW w:w="2625" w:type="dxa"/>
            <w:shd w:val="clear" w:color="auto" w:fill="D9D9D9"/>
            <w:tcMar>
              <w:top w:w="20" w:type="dxa"/>
              <w:left w:w="20" w:type="dxa"/>
              <w:bottom w:w="100" w:type="dxa"/>
              <w:right w:w="20" w:type="dxa"/>
            </w:tcMar>
          </w:tcPr>
          <w:p w14:paraId="03DD73EA"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ORIO9110CB</w:t>
            </w:r>
          </w:p>
        </w:tc>
      </w:tr>
      <w:tr w:rsidR="00384F6F" w:rsidRPr="00CA2941" w14:paraId="06CEFA82" w14:textId="77777777">
        <w:trPr>
          <w:trHeight w:val="510"/>
        </w:trPr>
        <w:tc>
          <w:tcPr>
            <w:tcW w:w="4335" w:type="dxa"/>
            <w:tcMar>
              <w:top w:w="20" w:type="dxa"/>
              <w:left w:w="20" w:type="dxa"/>
              <w:bottom w:w="100" w:type="dxa"/>
              <w:right w:w="20" w:type="dxa"/>
            </w:tcMar>
          </w:tcPr>
          <w:p w14:paraId="66356745"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Sodium bicarbonate (NaHCO</w:t>
            </w:r>
            <w:r w:rsidRPr="00CA2941">
              <w:rPr>
                <w:rFonts w:asciiTheme="majorBidi" w:hAnsiTheme="majorBidi" w:cstheme="majorBidi"/>
                <w:sz w:val="20"/>
                <w:szCs w:val="20"/>
                <w:vertAlign w:val="subscript"/>
              </w:rPr>
              <w:t>3</w:t>
            </w:r>
            <w:r w:rsidRPr="00CA2941">
              <w:rPr>
                <w:rFonts w:asciiTheme="majorBidi" w:hAnsiTheme="majorBidi" w:cstheme="majorBidi"/>
                <w:sz w:val="20"/>
                <w:szCs w:val="20"/>
                <w:vertAlign w:val="superscript"/>
              </w:rPr>
              <w:t>-</w:t>
            </w:r>
            <w:r w:rsidRPr="00CA2941">
              <w:rPr>
                <w:rFonts w:asciiTheme="majorBidi" w:hAnsiTheme="majorBidi" w:cstheme="majorBidi"/>
                <w:sz w:val="20"/>
                <w:szCs w:val="20"/>
              </w:rPr>
              <w:t>)</w:t>
            </w:r>
          </w:p>
        </w:tc>
        <w:tc>
          <w:tcPr>
            <w:tcW w:w="2355" w:type="dxa"/>
            <w:tcMar>
              <w:top w:w="20" w:type="dxa"/>
              <w:left w:w="20" w:type="dxa"/>
              <w:bottom w:w="100" w:type="dxa"/>
              <w:right w:w="20" w:type="dxa"/>
            </w:tcMar>
          </w:tcPr>
          <w:p w14:paraId="29C7A68C"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Gibco</w:t>
            </w:r>
          </w:p>
        </w:tc>
        <w:tc>
          <w:tcPr>
            <w:tcW w:w="2625" w:type="dxa"/>
            <w:tcMar>
              <w:top w:w="20" w:type="dxa"/>
              <w:left w:w="20" w:type="dxa"/>
              <w:bottom w:w="100" w:type="dxa"/>
              <w:right w:w="20" w:type="dxa"/>
            </w:tcMar>
          </w:tcPr>
          <w:p w14:paraId="6B4D1296"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25080-102</w:t>
            </w:r>
          </w:p>
        </w:tc>
      </w:tr>
      <w:tr w:rsidR="00384F6F" w:rsidRPr="00CA2941" w14:paraId="1754A80A" w14:textId="77777777">
        <w:trPr>
          <w:trHeight w:val="405"/>
        </w:trPr>
        <w:tc>
          <w:tcPr>
            <w:tcW w:w="4335" w:type="dxa"/>
            <w:tcBorders>
              <w:top w:val="single" w:sz="8" w:space="0" w:color="000000"/>
              <w:bottom w:val="single" w:sz="8" w:space="0" w:color="000000"/>
            </w:tcBorders>
            <w:shd w:val="clear" w:color="auto" w:fill="D9D9D9"/>
            <w:tcMar>
              <w:top w:w="20" w:type="dxa"/>
              <w:left w:w="20" w:type="dxa"/>
              <w:bottom w:w="100" w:type="dxa"/>
              <w:right w:w="20" w:type="dxa"/>
            </w:tcMar>
          </w:tcPr>
          <w:p w14:paraId="4D6D0400"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Equipment</w:t>
            </w:r>
          </w:p>
        </w:tc>
        <w:tc>
          <w:tcPr>
            <w:tcW w:w="2355" w:type="dxa"/>
            <w:tcBorders>
              <w:top w:val="single" w:sz="8" w:space="0" w:color="000000"/>
              <w:bottom w:val="single" w:sz="8" w:space="0" w:color="000000"/>
            </w:tcBorders>
            <w:shd w:val="clear" w:color="auto" w:fill="D9D9D9"/>
            <w:tcMar>
              <w:top w:w="20" w:type="dxa"/>
              <w:left w:w="20" w:type="dxa"/>
              <w:bottom w:w="100" w:type="dxa"/>
              <w:right w:w="20" w:type="dxa"/>
            </w:tcMar>
          </w:tcPr>
          <w:p w14:paraId="6A3F455F" w14:textId="77777777" w:rsidR="00384F6F" w:rsidRPr="00CA2941" w:rsidRDefault="00384F6F">
            <w:pPr>
              <w:rPr>
                <w:rFonts w:asciiTheme="majorBidi" w:hAnsiTheme="majorBidi" w:cstheme="majorBidi"/>
                <w:sz w:val="20"/>
                <w:szCs w:val="20"/>
              </w:rPr>
            </w:pPr>
          </w:p>
        </w:tc>
        <w:tc>
          <w:tcPr>
            <w:tcW w:w="2625" w:type="dxa"/>
            <w:tcBorders>
              <w:top w:val="single" w:sz="8" w:space="0" w:color="000000"/>
              <w:bottom w:val="single" w:sz="8" w:space="0" w:color="000000"/>
            </w:tcBorders>
            <w:shd w:val="clear" w:color="auto" w:fill="D9D9D9"/>
            <w:tcMar>
              <w:top w:w="20" w:type="dxa"/>
              <w:left w:w="20" w:type="dxa"/>
              <w:bottom w:w="100" w:type="dxa"/>
              <w:right w:w="20" w:type="dxa"/>
            </w:tcMar>
          </w:tcPr>
          <w:p w14:paraId="18553165" w14:textId="77777777" w:rsidR="00384F6F" w:rsidRPr="00CA2941" w:rsidRDefault="00384F6F">
            <w:pPr>
              <w:widowControl w:val="0"/>
              <w:spacing w:line="276" w:lineRule="auto"/>
              <w:rPr>
                <w:rFonts w:asciiTheme="majorBidi" w:hAnsiTheme="majorBidi" w:cstheme="majorBidi"/>
                <w:sz w:val="20"/>
                <w:szCs w:val="20"/>
              </w:rPr>
            </w:pPr>
          </w:p>
        </w:tc>
      </w:tr>
      <w:tr w:rsidR="00384F6F" w:rsidRPr="00CA2941" w14:paraId="6BCA80C9" w14:textId="77777777">
        <w:trPr>
          <w:trHeight w:val="420"/>
        </w:trPr>
        <w:tc>
          <w:tcPr>
            <w:tcW w:w="4335" w:type="dxa"/>
            <w:tcMar>
              <w:top w:w="20" w:type="dxa"/>
              <w:left w:w="20" w:type="dxa"/>
              <w:bottom w:w="100" w:type="dxa"/>
              <w:right w:w="20" w:type="dxa"/>
            </w:tcMar>
          </w:tcPr>
          <w:p w14:paraId="25BF51E4" w14:textId="77777777" w:rsidR="00384F6F" w:rsidRPr="00CA2941" w:rsidRDefault="008E79C4">
            <w:pPr>
              <w:spacing w:line="360" w:lineRule="auto"/>
              <w:jc w:val="both"/>
              <w:rPr>
                <w:rFonts w:asciiTheme="majorBidi" w:hAnsiTheme="majorBidi" w:cstheme="majorBidi"/>
                <w:sz w:val="20"/>
                <w:szCs w:val="20"/>
              </w:rPr>
            </w:pPr>
            <w:r w:rsidRPr="00CA2941">
              <w:rPr>
                <w:rFonts w:asciiTheme="majorBidi" w:hAnsiTheme="majorBidi" w:cstheme="majorBidi"/>
                <w:sz w:val="20"/>
                <w:szCs w:val="20"/>
              </w:rPr>
              <w:lastRenderedPageBreak/>
              <w:t>T-75cm</w:t>
            </w:r>
            <w:r w:rsidRPr="00CA2941">
              <w:rPr>
                <w:rFonts w:asciiTheme="majorBidi" w:hAnsiTheme="majorBidi" w:cstheme="majorBidi"/>
                <w:sz w:val="20"/>
                <w:szCs w:val="20"/>
                <w:vertAlign w:val="superscript"/>
              </w:rPr>
              <w:t>2</w:t>
            </w:r>
            <w:r w:rsidRPr="00CA2941">
              <w:rPr>
                <w:rFonts w:asciiTheme="majorBidi" w:hAnsiTheme="majorBidi" w:cstheme="majorBidi"/>
                <w:sz w:val="20"/>
                <w:szCs w:val="20"/>
              </w:rPr>
              <w:t xml:space="preserve"> flasks (with vented caps)</w:t>
            </w:r>
          </w:p>
        </w:tc>
        <w:tc>
          <w:tcPr>
            <w:tcW w:w="2355" w:type="dxa"/>
            <w:tcMar>
              <w:top w:w="20" w:type="dxa"/>
              <w:left w:w="20" w:type="dxa"/>
              <w:bottom w:w="100" w:type="dxa"/>
              <w:right w:w="20" w:type="dxa"/>
            </w:tcMar>
          </w:tcPr>
          <w:p w14:paraId="37B54B88" w14:textId="77777777" w:rsidR="00384F6F" w:rsidRPr="00CA2941" w:rsidRDefault="008E79C4">
            <w:pPr>
              <w:spacing w:line="360" w:lineRule="auto"/>
              <w:jc w:val="both"/>
              <w:rPr>
                <w:rFonts w:asciiTheme="majorBidi" w:hAnsiTheme="majorBidi" w:cstheme="majorBidi"/>
                <w:sz w:val="20"/>
                <w:szCs w:val="20"/>
              </w:rPr>
            </w:pPr>
            <w:r w:rsidRPr="00CA2941">
              <w:rPr>
                <w:rFonts w:asciiTheme="majorBidi" w:hAnsiTheme="majorBidi" w:cstheme="majorBidi"/>
                <w:sz w:val="20"/>
                <w:szCs w:val="20"/>
              </w:rPr>
              <w:t>VWR</w:t>
            </w:r>
          </w:p>
        </w:tc>
        <w:tc>
          <w:tcPr>
            <w:tcW w:w="2625" w:type="dxa"/>
            <w:tcMar>
              <w:top w:w="20" w:type="dxa"/>
              <w:left w:w="20" w:type="dxa"/>
              <w:bottom w:w="100" w:type="dxa"/>
              <w:right w:w="20" w:type="dxa"/>
            </w:tcMar>
          </w:tcPr>
          <w:p w14:paraId="411F609F" w14:textId="77777777" w:rsidR="00384F6F" w:rsidRPr="00CA2941" w:rsidRDefault="008E79C4">
            <w:pPr>
              <w:spacing w:line="360" w:lineRule="auto"/>
              <w:jc w:val="both"/>
              <w:rPr>
                <w:rFonts w:asciiTheme="majorBidi" w:hAnsiTheme="majorBidi" w:cstheme="majorBidi"/>
                <w:sz w:val="20"/>
                <w:szCs w:val="20"/>
              </w:rPr>
            </w:pPr>
            <w:r w:rsidRPr="00CA2941">
              <w:rPr>
                <w:rFonts w:asciiTheme="majorBidi" w:hAnsiTheme="majorBidi" w:cstheme="majorBidi"/>
                <w:sz w:val="20"/>
                <w:szCs w:val="20"/>
              </w:rPr>
              <w:t>734-0050</w:t>
            </w:r>
          </w:p>
        </w:tc>
      </w:tr>
      <w:tr w:rsidR="00384F6F" w:rsidRPr="00CA2941" w14:paraId="10C16D39" w14:textId="77777777">
        <w:trPr>
          <w:trHeight w:val="420"/>
        </w:trPr>
        <w:tc>
          <w:tcPr>
            <w:tcW w:w="4335" w:type="dxa"/>
            <w:shd w:val="clear" w:color="auto" w:fill="D9D9D9"/>
            <w:tcMar>
              <w:top w:w="20" w:type="dxa"/>
              <w:left w:w="20" w:type="dxa"/>
              <w:bottom w:w="100" w:type="dxa"/>
              <w:right w:w="20" w:type="dxa"/>
            </w:tcMar>
          </w:tcPr>
          <w:p w14:paraId="52BB94BB" w14:textId="77777777" w:rsidR="00384F6F" w:rsidRPr="00CA2941" w:rsidRDefault="008E79C4">
            <w:pPr>
              <w:spacing w:line="360" w:lineRule="auto"/>
              <w:jc w:val="both"/>
              <w:rPr>
                <w:rFonts w:asciiTheme="majorBidi" w:hAnsiTheme="majorBidi" w:cstheme="majorBidi"/>
                <w:sz w:val="20"/>
                <w:szCs w:val="20"/>
              </w:rPr>
            </w:pPr>
            <w:proofErr w:type="spellStart"/>
            <w:r w:rsidRPr="00CA2941">
              <w:rPr>
                <w:rFonts w:asciiTheme="majorBidi" w:hAnsiTheme="majorBidi" w:cstheme="majorBidi"/>
                <w:sz w:val="20"/>
                <w:szCs w:val="20"/>
              </w:rPr>
              <w:t>Heracell</w:t>
            </w:r>
            <w:r w:rsidRPr="00CA2941">
              <w:rPr>
                <w:rFonts w:asciiTheme="majorBidi" w:hAnsiTheme="majorBidi" w:cstheme="majorBidi"/>
                <w:sz w:val="20"/>
                <w:szCs w:val="20"/>
                <w:vertAlign w:val="superscript"/>
              </w:rPr>
              <w:t>TM</w:t>
            </w:r>
            <w:proofErr w:type="spellEnd"/>
            <w:r w:rsidRPr="00CA2941">
              <w:rPr>
                <w:rFonts w:asciiTheme="majorBidi" w:hAnsiTheme="majorBidi" w:cstheme="majorBidi"/>
                <w:sz w:val="20"/>
                <w:szCs w:val="20"/>
              </w:rPr>
              <w:t xml:space="preserve"> i150 CO</w:t>
            </w:r>
            <w:r w:rsidRPr="00CA2941">
              <w:rPr>
                <w:rFonts w:asciiTheme="majorBidi" w:hAnsiTheme="majorBidi" w:cstheme="majorBidi"/>
                <w:sz w:val="20"/>
                <w:szCs w:val="20"/>
                <w:vertAlign w:val="subscript"/>
              </w:rPr>
              <w:t>2</w:t>
            </w:r>
            <w:r w:rsidRPr="00CA2941">
              <w:rPr>
                <w:rFonts w:asciiTheme="majorBidi" w:hAnsiTheme="majorBidi" w:cstheme="majorBidi"/>
                <w:sz w:val="20"/>
                <w:szCs w:val="20"/>
              </w:rPr>
              <w:t xml:space="preserve"> incubator</w:t>
            </w:r>
          </w:p>
        </w:tc>
        <w:tc>
          <w:tcPr>
            <w:tcW w:w="2355" w:type="dxa"/>
            <w:shd w:val="clear" w:color="auto" w:fill="D9D9D9"/>
            <w:tcMar>
              <w:top w:w="20" w:type="dxa"/>
              <w:left w:w="20" w:type="dxa"/>
              <w:bottom w:w="100" w:type="dxa"/>
              <w:right w:w="20" w:type="dxa"/>
            </w:tcMar>
          </w:tcPr>
          <w:p w14:paraId="0145B190"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Thermo Scientific™</w:t>
            </w:r>
          </w:p>
        </w:tc>
        <w:tc>
          <w:tcPr>
            <w:tcW w:w="2625" w:type="dxa"/>
            <w:shd w:val="clear" w:color="auto" w:fill="D9D9D9"/>
            <w:tcMar>
              <w:top w:w="20" w:type="dxa"/>
              <w:left w:w="20" w:type="dxa"/>
              <w:bottom w:w="100" w:type="dxa"/>
              <w:right w:w="20" w:type="dxa"/>
            </w:tcMar>
          </w:tcPr>
          <w:p w14:paraId="69B99CCE"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50116047</w:t>
            </w:r>
          </w:p>
        </w:tc>
      </w:tr>
      <w:tr w:rsidR="00384F6F" w:rsidRPr="00CA2941" w14:paraId="2E14F207" w14:textId="77777777">
        <w:trPr>
          <w:trHeight w:val="420"/>
        </w:trPr>
        <w:tc>
          <w:tcPr>
            <w:tcW w:w="4335" w:type="dxa"/>
            <w:tcMar>
              <w:top w:w="20" w:type="dxa"/>
              <w:left w:w="20" w:type="dxa"/>
              <w:bottom w:w="100" w:type="dxa"/>
              <w:right w:w="20" w:type="dxa"/>
            </w:tcMar>
          </w:tcPr>
          <w:p w14:paraId="6787CF3D"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Multi-channel fiber optic dissolved O</w:t>
            </w:r>
            <w:r w:rsidRPr="00CA2941">
              <w:rPr>
                <w:rFonts w:asciiTheme="majorBidi" w:hAnsiTheme="majorBidi" w:cstheme="majorBidi"/>
                <w:sz w:val="20"/>
                <w:szCs w:val="20"/>
                <w:vertAlign w:val="subscript"/>
              </w:rPr>
              <w:t>2</w:t>
            </w:r>
            <w:r w:rsidRPr="00CA2941">
              <w:rPr>
                <w:rFonts w:asciiTheme="majorBidi" w:hAnsiTheme="majorBidi" w:cstheme="majorBidi"/>
                <w:sz w:val="20"/>
                <w:szCs w:val="20"/>
              </w:rPr>
              <w:t xml:space="preserve"> meter</w:t>
            </w:r>
          </w:p>
        </w:tc>
        <w:tc>
          <w:tcPr>
            <w:tcW w:w="2355" w:type="dxa"/>
            <w:tcMar>
              <w:top w:w="20" w:type="dxa"/>
              <w:left w:w="20" w:type="dxa"/>
              <w:bottom w:w="100" w:type="dxa"/>
              <w:right w:w="20" w:type="dxa"/>
            </w:tcMar>
          </w:tcPr>
          <w:p w14:paraId="60264574"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Precision Sensing GmbH</w:t>
            </w:r>
          </w:p>
        </w:tc>
        <w:tc>
          <w:tcPr>
            <w:tcW w:w="2625" w:type="dxa"/>
            <w:tcMar>
              <w:top w:w="20" w:type="dxa"/>
              <w:left w:w="20" w:type="dxa"/>
              <w:bottom w:w="100" w:type="dxa"/>
              <w:right w:w="20" w:type="dxa"/>
            </w:tcMar>
          </w:tcPr>
          <w:p w14:paraId="37435B5E" w14:textId="77777777" w:rsidR="00384F6F" w:rsidRPr="00CA2941" w:rsidRDefault="008E79C4">
            <w:pPr>
              <w:spacing w:line="360" w:lineRule="auto"/>
              <w:jc w:val="both"/>
              <w:rPr>
                <w:rFonts w:asciiTheme="majorBidi" w:hAnsiTheme="majorBidi" w:cstheme="majorBidi"/>
                <w:sz w:val="20"/>
                <w:szCs w:val="20"/>
              </w:rPr>
            </w:pPr>
            <w:r w:rsidRPr="00CA2941">
              <w:rPr>
                <w:rFonts w:asciiTheme="majorBidi" w:hAnsiTheme="majorBidi" w:cstheme="majorBidi"/>
                <w:sz w:val="20"/>
                <w:szCs w:val="20"/>
              </w:rPr>
              <w:t>OXY-2 SMA</w:t>
            </w:r>
          </w:p>
        </w:tc>
      </w:tr>
      <w:tr w:rsidR="00384F6F" w:rsidRPr="00CA2941" w14:paraId="4D7EBB69" w14:textId="77777777">
        <w:trPr>
          <w:trHeight w:val="420"/>
        </w:trPr>
        <w:tc>
          <w:tcPr>
            <w:tcW w:w="4335" w:type="dxa"/>
            <w:shd w:val="clear" w:color="auto" w:fill="D9D9D9"/>
            <w:tcMar>
              <w:top w:w="20" w:type="dxa"/>
              <w:left w:w="20" w:type="dxa"/>
              <w:bottom w:w="100" w:type="dxa"/>
              <w:right w:w="20" w:type="dxa"/>
            </w:tcMar>
          </w:tcPr>
          <w:p w14:paraId="7495B7F4"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Single-channel dissolved CO</w:t>
            </w:r>
            <w:r w:rsidRPr="00CA2941">
              <w:rPr>
                <w:rFonts w:asciiTheme="majorBidi" w:hAnsiTheme="majorBidi" w:cstheme="majorBidi"/>
                <w:sz w:val="20"/>
                <w:szCs w:val="20"/>
                <w:vertAlign w:val="subscript"/>
              </w:rPr>
              <w:t xml:space="preserve">2 </w:t>
            </w:r>
            <w:r w:rsidRPr="00CA2941">
              <w:rPr>
                <w:rFonts w:asciiTheme="majorBidi" w:hAnsiTheme="majorBidi" w:cstheme="majorBidi"/>
                <w:sz w:val="20"/>
                <w:szCs w:val="20"/>
              </w:rPr>
              <w:t>meter</w:t>
            </w:r>
          </w:p>
        </w:tc>
        <w:tc>
          <w:tcPr>
            <w:tcW w:w="2355" w:type="dxa"/>
            <w:shd w:val="clear" w:color="auto" w:fill="D9D9D9"/>
            <w:tcMar>
              <w:top w:w="20" w:type="dxa"/>
              <w:left w:w="20" w:type="dxa"/>
              <w:bottom w:w="100" w:type="dxa"/>
              <w:right w:w="20" w:type="dxa"/>
            </w:tcMar>
          </w:tcPr>
          <w:p w14:paraId="2EBEFB6F"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Precision Sensing GmbH</w:t>
            </w:r>
          </w:p>
        </w:tc>
        <w:tc>
          <w:tcPr>
            <w:tcW w:w="2625" w:type="dxa"/>
            <w:shd w:val="clear" w:color="auto" w:fill="D9D9D9"/>
            <w:tcMar>
              <w:top w:w="20" w:type="dxa"/>
              <w:left w:w="20" w:type="dxa"/>
              <w:bottom w:w="100" w:type="dxa"/>
              <w:right w:w="20" w:type="dxa"/>
            </w:tcMar>
          </w:tcPr>
          <w:p w14:paraId="6FC0AB76"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CO</w:t>
            </w:r>
            <w:r w:rsidRPr="00CA2941">
              <w:rPr>
                <w:rFonts w:asciiTheme="majorBidi" w:hAnsiTheme="majorBidi" w:cstheme="majorBidi"/>
                <w:sz w:val="20"/>
                <w:szCs w:val="20"/>
                <w:vertAlign w:val="subscript"/>
              </w:rPr>
              <w:t>2</w:t>
            </w:r>
            <w:r w:rsidRPr="00CA2941">
              <w:rPr>
                <w:rFonts w:asciiTheme="majorBidi" w:hAnsiTheme="majorBidi" w:cstheme="majorBidi"/>
                <w:sz w:val="20"/>
                <w:szCs w:val="20"/>
              </w:rPr>
              <w:t>-1 SMA</w:t>
            </w:r>
          </w:p>
        </w:tc>
      </w:tr>
      <w:tr w:rsidR="00384F6F" w:rsidRPr="00CA2941" w14:paraId="792AEEEA" w14:textId="77777777">
        <w:trPr>
          <w:trHeight w:val="420"/>
        </w:trPr>
        <w:tc>
          <w:tcPr>
            <w:tcW w:w="4335" w:type="dxa"/>
            <w:tcMar>
              <w:top w:w="20" w:type="dxa"/>
              <w:left w:w="20" w:type="dxa"/>
              <w:bottom w:w="100" w:type="dxa"/>
              <w:right w:w="20" w:type="dxa"/>
            </w:tcMar>
          </w:tcPr>
          <w:p w14:paraId="11E89A91"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Multi-channel fiber optic pH Meter</w:t>
            </w:r>
          </w:p>
        </w:tc>
        <w:tc>
          <w:tcPr>
            <w:tcW w:w="2355" w:type="dxa"/>
            <w:tcMar>
              <w:top w:w="20" w:type="dxa"/>
              <w:left w:w="20" w:type="dxa"/>
              <w:bottom w:w="100" w:type="dxa"/>
              <w:right w:w="20" w:type="dxa"/>
            </w:tcMar>
          </w:tcPr>
          <w:p w14:paraId="237E63FA"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Precision Sensing GmbH</w:t>
            </w:r>
          </w:p>
        </w:tc>
        <w:tc>
          <w:tcPr>
            <w:tcW w:w="2625" w:type="dxa"/>
            <w:tcMar>
              <w:top w:w="20" w:type="dxa"/>
              <w:left w:w="20" w:type="dxa"/>
              <w:bottom w:w="100" w:type="dxa"/>
              <w:right w:w="20" w:type="dxa"/>
            </w:tcMar>
          </w:tcPr>
          <w:p w14:paraId="42CE233F" w14:textId="77777777" w:rsidR="00384F6F" w:rsidRPr="00CA2941" w:rsidRDefault="008E79C4">
            <w:pPr>
              <w:spacing w:line="360" w:lineRule="auto"/>
              <w:jc w:val="both"/>
              <w:rPr>
                <w:rFonts w:asciiTheme="majorBidi" w:hAnsiTheme="majorBidi" w:cstheme="majorBidi"/>
                <w:sz w:val="20"/>
                <w:szCs w:val="20"/>
              </w:rPr>
            </w:pPr>
            <w:r w:rsidRPr="00CA2941">
              <w:rPr>
                <w:rFonts w:asciiTheme="majorBidi" w:hAnsiTheme="majorBidi" w:cstheme="majorBidi"/>
                <w:sz w:val="20"/>
                <w:szCs w:val="20"/>
              </w:rPr>
              <w:t>pH-4 mini</w:t>
            </w:r>
          </w:p>
        </w:tc>
      </w:tr>
      <w:tr w:rsidR="00384F6F" w:rsidRPr="00CA2941" w14:paraId="4CF8ADB1" w14:textId="77777777">
        <w:trPr>
          <w:trHeight w:val="420"/>
        </w:trPr>
        <w:tc>
          <w:tcPr>
            <w:tcW w:w="4335" w:type="dxa"/>
            <w:shd w:val="clear" w:color="auto" w:fill="D9D9D9"/>
            <w:tcMar>
              <w:top w:w="20" w:type="dxa"/>
              <w:left w:w="20" w:type="dxa"/>
              <w:bottom w:w="100" w:type="dxa"/>
              <w:right w:w="20" w:type="dxa"/>
            </w:tcMar>
          </w:tcPr>
          <w:p w14:paraId="7F1C8EB3"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 xml:space="preserve">Planar </w:t>
            </w:r>
            <w:r w:rsidRPr="00CA2941">
              <w:rPr>
                <w:rFonts w:asciiTheme="majorBidi" w:hAnsiTheme="majorBidi" w:cstheme="majorBidi"/>
                <w:i/>
                <w:sz w:val="20"/>
                <w:szCs w:val="20"/>
              </w:rPr>
              <w:t>p</w:t>
            </w:r>
            <w:r w:rsidRPr="00CA2941">
              <w:rPr>
                <w:rFonts w:asciiTheme="majorBidi" w:hAnsiTheme="majorBidi" w:cstheme="majorBidi"/>
                <w:sz w:val="20"/>
                <w:szCs w:val="20"/>
              </w:rPr>
              <w:t>CO</w:t>
            </w:r>
            <w:r w:rsidRPr="00CA2941">
              <w:rPr>
                <w:rFonts w:asciiTheme="majorBidi" w:hAnsiTheme="majorBidi" w:cstheme="majorBidi"/>
                <w:sz w:val="20"/>
                <w:szCs w:val="20"/>
                <w:vertAlign w:val="subscript"/>
              </w:rPr>
              <w:t>2</w:t>
            </w:r>
            <w:r w:rsidRPr="00CA2941">
              <w:rPr>
                <w:rFonts w:asciiTheme="majorBidi" w:hAnsiTheme="majorBidi" w:cstheme="majorBidi"/>
                <w:sz w:val="20"/>
                <w:szCs w:val="20"/>
              </w:rPr>
              <w:t xml:space="preserve"> mini sensor spots</w:t>
            </w:r>
          </w:p>
        </w:tc>
        <w:tc>
          <w:tcPr>
            <w:tcW w:w="2355" w:type="dxa"/>
            <w:shd w:val="clear" w:color="auto" w:fill="D9D9D9"/>
            <w:tcMar>
              <w:top w:w="20" w:type="dxa"/>
              <w:left w:w="20" w:type="dxa"/>
              <w:bottom w:w="100" w:type="dxa"/>
              <w:right w:w="20" w:type="dxa"/>
            </w:tcMar>
          </w:tcPr>
          <w:p w14:paraId="059B676F"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Precision Sensing GmbH</w:t>
            </w:r>
          </w:p>
        </w:tc>
        <w:tc>
          <w:tcPr>
            <w:tcW w:w="2625" w:type="dxa"/>
            <w:shd w:val="clear" w:color="auto" w:fill="D9D9D9"/>
            <w:tcMar>
              <w:top w:w="20" w:type="dxa"/>
              <w:left w:w="20" w:type="dxa"/>
              <w:bottom w:w="100" w:type="dxa"/>
              <w:right w:w="20" w:type="dxa"/>
            </w:tcMar>
          </w:tcPr>
          <w:p w14:paraId="35DBD149"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SP-CD1-D5-rMy-US</w:t>
            </w:r>
          </w:p>
        </w:tc>
      </w:tr>
      <w:tr w:rsidR="00384F6F" w:rsidRPr="00CA2941" w14:paraId="6B9B7E48" w14:textId="77777777">
        <w:trPr>
          <w:trHeight w:val="420"/>
        </w:trPr>
        <w:tc>
          <w:tcPr>
            <w:tcW w:w="4335" w:type="dxa"/>
            <w:tcBorders>
              <w:bottom w:val="nil"/>
            </w:tcBorders>
            <w:tcMar>
              <w:top w:w="20" w:type="dxa"/>
              <w:left w:w="20" w:type="dxa"/>
              <w:bottom w:w="100" w:type="dxa"/>
              <w:right w:w="20" w:type="dxa"/>
            </w:tcMar>
          </w:tcPr>
          <w:p w14:paraId="7B2C46C6"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Planar O</w:t>
            </w:r>
            <w:r w:rsidRPr="00CA2941">
              <w:rPr>
                <w:rFonts w:asciiTheme="majorBidi" w:hAnsiTheme="majorBidi" w:cstheme="majorBidi"/>
                <w:sz w:val="20"/>
                <w:szCs w:val="20"/>
                <w:vertAlign w:val="subscript"/>
              </w:rPr>
              <w:t>2</w:t>
            </w:r>
            <w:r w:rsidRPr="00CA2941">
              <w:rPr>
                <w:rFonts w:asciiTheme="majorBidi" w:hAnsiTheme="majorBidi" w:cstheme="majorBidi"/>
                <w:sz w:val="20"/>
                <w:szCs w:val="20"/>
              </w:rPr>
              <w:t>-sensitive spots</w:t>
            </w:r>
          </w:p>
        </w:tc>
        <w:tc>
          <w:tcPr>
            <w:tcW w:w="2355" w:type="dxa"/>
            <w:tcBorders>
              <w:bottom w:val="nil"/>
            </w:tcBorders>
            <w:tcMar>
              <w:top w:w="20" w:type="dxa"/>
              <w:left w:w="20" w:type="dxa"/>
              <w:bottom w:w="100" w:type="dxa"/>
              <w:right w:w="20" w:type="dxa"/>
            </w:tcMar>
          </w:tcPr>
          <w:p w14:paraId="6CA41436"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Precision Sensing GmbH</w:t>
            </w:r>
          </w:p>
        </w:tc>
        <w:tc>
          <w:tcPr>
            <w:tcW w:w="2625" w:type="dxa"/>
            <w:tcBorders>
              <w:bottom w:val="nil"/>
            </w:tcBorders>
            <w:tcMar>
              <w:top w:w="20" w:type="dxa"/>
              <w:left w:w="20" w:type="dxa"/>
              <w:bottom w:w="100" w:type="dxa"/>
              <w:right w:w="20" w:type="dxa"/>
            </w:tcMar>
          </w:tcPr>
          <w:p w14:paraId="6DA8463D"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SP-PSt3-NAU-D5-YOP</w:t>
            </w:r>
          </w:p>
        </w:tc>
      </w:tr>
      <w:tr w:rsidR="00384F6F" w:rsidRPr="00CA2941" w14:paraId="458B7AD4" w14:textId="77777777">
        <w:trPr>
          <w:trHeight w:val="420"/>
        </w:trPr>
        <w:tc>
          <w:tcPr>
            <w:tcW w:w="4335" w:type="dxa"/>
            <w:tcBorders>
              <w:top w:val="nil"/>
              <w:left w:val="nil"/>
              <w:bottom w:val="nil"/>
              <w:right w:val="nil"/>
            </w:tcBorders>
            <w:shd w:val="clear" w:color="auto" w:fill="D9D9D9"/>
            <w:tcMar>
              <w:top w:w="20" w:type="dxa"/>
              <w:left w:w="20" w:type="dxa"/>
              <w:bottom w:w="100" w:type="dxa"/>
              <w:right w:w="20" w:type="dxa"/>
            </w:tcMar>
          </w:tcPr>
          <w:p w14:paraId="47486E31"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Self-adhesive pH sensor spots</w:t>
            </w:r>
          </w:p>
        </w:tc>
        <w:tc>
          <w:tcPr>
            <w:tcW w:w="2355" w:type="dxa"/>
            <w:tcBorders>
              <w:top w:val="nil"/>
              <w:left w:val="nil"/>
              <w:bottom w:val="nil"/>
              <w:right w:val="nil"/>
            </w:tcBorders>
            <w:shd w:val="clear" w:color="auto" w:fill="D9D9D9"/>
            <w:tcMar>
              <w:top w:w="20" w:type="dxa"/>
              <w:left w:w="20" w:type="dxa"/>
              <w:bottom w:w="100" w:type="dxa"/>
              <w:right w:w="20" w:type="dxa"/>
            </w:tcMar>
          </w:tcPr>
          <w:p w14:paraId="40B82624"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Precision Sensing GmbH</w:t>
            </w:r>
          </w:p>
        </w:tc>
        <w:tc>
          <w:tcPr>
            <w:tcW w:w="2625" w:type="dxa"/>
            <w:tcBorders>
              <w:top w:val="nil"/>
              <w:left w:val="nil"/>
              <w:bottom w:val="nil"/>
              <w:right w:val="nil"/>
            </w:tcBorders>
            <w:shd w:val="clear" w:color="auto" w:fill="D9D9D9"/>
            <w:tcMar>
              <w:top w:w="20" w:type="dxa"/>
              <w:left w:w="20" w:type="dxa"/>
              <w:bottom w:w="100" w:type="dxa"/>
              <w:right w:w="20" w:type="dxa"/>
            </w:tcMar>
          </w:tcPr>
          <w:p w14:paraId="739C12D5"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SP-LG1-SA</w:t>
            </w:r>
          </w:p>
        </w:tc>
      </w:tr>
      <w:tr w:rsidR="00384F6F" w:rsidRPr="00CA2941" w14:paraId="4BE57460" w14:textId="77777777">
        <w:trPr>
          <w:trHeight w:val="420"/>
        </w:trPr>
        <w:tc>
          <w:tcPr>
            <w:tcW w:w="4335" w:type="dxa"/>
            <w:tcBorders>
              <w:top w:val="nil"/>
            </w:tcBorders>
            <w:tcMar>
              <w:top w:w="20" w:type="dxa"/>
              <w:left w:w="20" w:type="dxa"/>
              <w:bottom w:w="100" w:type="dxa"/>
              <w:right w:w="20" w:type="dxa"/>
            </w:tcMar>
          </w:tcPr>
          <w:p w14:paraId="12F3DDD3" w14:textId="77777777" w:rsidR="00384F6F" w:rsidRPr="00CA2941" w:rsidRDefault="008E79C4">
            <w:pPr>
              <w:spacing w:line="360" w:lineRule="auto"/>
              <w:jc w:val="both"/>
              <w:rPr>
                <w:rFonts w:asciiTheme="majorBidi" w:hAnsiTheme="majorBidi" w:cstheme="majorBidi"/>
                <w:sz w:val="20"/>
                <w:szCs w:val="20"/>
              </w:rPr>
            </w:pPr>
            <w:proofErr w:type="spellStart"/>
            <w:r w:rsidRPr="00CA2941">
              <w:rPr>
                <w:rFonts w:asciiTheme="majorBidi" w:hAnsiTheme="majorBidi" w:cstheme="majorBidi"/>
                <w:sz w:val="20"/>
                <w:szCs w:val="20"/>
              </w:rPr>
              <w:t>KwikSil</w:t>
            </w:r>
            <w:proofErr w:type="spellEnd"/>
            <w:r w:rsidRPr="00CA2941">
              <w:rPr>
                <w:rFonts w:asciiTheme="majorBidi" w:hAnsiTheme="majorBidi" w:cstheme="majorBidi"/>
                <w:sz w:val="20"/>
                <w:szCs w:val="20"/>
              </w:rPr>
              <w:t xml:space="preserve"> silicone glue</w:t>
            </w:r>
          </w:p>
        </w:tc>
        <w:tc>
          <w:tcPr>
            <w:tcW w:w="2355" w:type="dxa"/>
            <w:tcBorders>
              <w:top w:val="nil"/>
            </w:tcBorders>
            <w:tcMar>
              <w:top w:w="20" w:type="dxa"/>
              <w:left w:w="20" w:type="dxa"/>
              <w:bottom w:w="100" w:type="dxa"/>
              <w:right w:w="20" w:type="dxa"/>
            </w:tcMar>
          </w:tcPr>
          <w:p w14:paraId="3091B415"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Precision Sensing GmbH</w:t>
            </w:r>
          </w:p>
        </w:tc>
        <w:tc>
          <w:tcPr>
            <w:tcW w:w="2625" w:type="dxa"/>
            <w:tcBorders>
              <w:top w:val="nil"/>
            </w:tcBorders>
            <w:tcMar>
              <w:top w:w="20" w:type="dxa"/>
              <w:left w:w="20" w:type="dxa"/>
              <w:bottom w:w="100" w:type="dxa"/>
              <w:right w:w="20" w:type="dxa"/>
            </w:tcMar>
          </w:tcPr>
          <w:p w14:paraId="60B64798"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200001211</w:t>
            </w:r>
          </w:p>
        </w:tc>
      </w:tr>
      <w:tr w:rsidR="00384F6F" w:rsidRPr="00CA2941" w14:paraId="3638F1E7" w14:textId="77777777">
        <w:trPr>
          <w:trHeight w:val="420"/>
        </w:trPr>
        <w:tc>
          <w:tcPr>
            <w:tcW w:w="4335" w:type="dxa"/>
            <w:shd w:val="clear" w:color="auto" w:fill="D9D9D9"/>
            <w:tcMar>
              <w:top w:w="20" w:type="dxa"/>
              <w:left w:w="20" w:type="dxa"/>
              <w:bottom w:w="100" w:type="dxa"/>
              <w:right w:w="20" w:type="dxa"/>
            </w:tcMar>
          </w:tcPr>
          <w:p w14:paraId="3CAE5EC4" w14:textId="77777777" w:rsidR="00384F6F" w:rsidRPr="00CA2941" w:rsidRDefault="008E79C4">
            <w:pPr>
              <w:spacing w:line="360" w:lineRule="auto"/>
              <w:jc w:val="both"/>
              <w:rPr>
                <w:rFonts w:asciiTheme="majorBidi" w:hAnsiTheme="majorBidi" w:cstheme="majorBidi"/>
                <w:sz w:val="20"/>
                <w:szCs w:val="20"/>
              </w:rPr>
            </w:pPr>
            <w:r w:rsidRPr="00CA2941">
              <w:rPr>
                <w:rFonts w:asciiTheme="majorBidi" w:hAnsiTheme="majorBidi" w:cstheme="majorBidi"/>
                <w:sz w:val="20"/>
                <w:szCs w:val="20"/>
              </w:rPr>
              <w:t>Countess II automated cell counter</w:t>
            </w:r>
          </w:p>
        </w:tc>
        <w:tc>
          <w:tcPr>
            <w:tcW w:w="2355" w:type="dxa"/>
            <w:shd w:val="clear" w:color="auto" w:fill="D9D9D9"/>
            <w:tcMar>
              <w:top w:w="20" w:type="dxa"/>
              <w:left w:w="20" w:type="dxa"/>
              <w:bottom w:w="100" w:type="dxa"/>
              <w:right w:w="20" w:type="dxa"/>
            </w:tcMar>
          </w:tcPr>
          <w:p w14:paraId="08766185"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Thermo Scientific™</w:t>
            </w:r>
          </w:p>
        </w:tc>
        <w:tc>
          <w:tcPr>
            <w:tcW w:w="2625" w:type="dxa"/>
            <w:shd w:val="clear" w:color="auto" w:fill="D9D9D9"/>
            <w:tcMar>
              <w:top w:w="20" w:type="dxa"/>
              <w:left w:w="20" w:type="dxa"/>
              <w:bottom w:w="100" w:type="dxa"/>
              <w:right w:w="20" w:type="dxa"/>
            </w:tcMar>
          </w:tcPr>
          <w:p w14:paraId="4087D667"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AMQAF1000</w:t>
            </w:r>
          </w:p>
        </w:tc>
      </w:tr>
      <w:tr w:rsidR="00384F6F" w:rsidRPr="00CA2941" w14:paraId="2EFF057E" w14:textId="77777777">
        <w:trPr>
          <w:trHeight w:val="405"/>
        </w:trPr>
        <w:tc>
          <w:tcPr>
            <w:tcW w:w="4335" w:type="dxa"/>
            <w:tcBorders>
              <w:top w:val="single" w:sz="8" w:space="0" w:color="000000"/>
              <w:bottom w:val="single" w:sz="8" w:space="0" w:color="000000"/>
            </w:tcBorders>
            <w:tcMar>
              <w:top w:w="20" w:type="dxa"/>
              <w:left w:w="20" w:type="dxa"/>
              <w:bottom w:w="100" w:type="dxa"/>
              <w:right w:w="20" w:type="dxa"/>
            </w:tcMar>
          </w:tcPr>
          <w:p w14:paraId="41A50582"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Mycoalert</w:t>
            </w:r>
            <w:proofErr w:type="spellEnd"/>
            <w:r w:rsidRPr="00CA2941">
              <w:rPr>
                <w:rFonts w:asciiTheme="majorBidi" w:hAnsiTheme="majorBidi" w:cstheme="majorBidi"/>
                <w:sz w:val="20"/>
                <w:szCs w:val="20"/>
              </w:rPr>
              <w:t xml:space="preserve"> Kit</w:t>
            </w:r>
          </w:p>
        </w:tc>
        <w:tc>
          <w:tcPr>
            <w:tcW w:w="2355" w:type="dxa"/>
            <w:tcBorders>
              <w:top w:val="single" w:sz="8" w:space="0" w:color="000000"/>
              <w:bottom w:val="single" w:sz="8" w:space="0" w:color="000000"/>
            </w:tcBorders>
            <w:tcMar>
              <w:top w:w="20" w:type="dxa"/>
              <w:left w:w="20" w:type="dxa"/>
              <w:bottom w:w="100" w:type="dxa"/>
              <w:right w:w="20" w:type="dxa"/>
            </w:tcMar>
          </w:tcPr>
          <w:p w14:paraId="72D116DA"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Lonza</w:t>
            </w:r>
          </w:p>
        </w:tc>
        <w:tc>
          <w:tcPr>
            <w:tcW w:w="2625" w:type="dxa"/>
            <w:tcBorders>
              <w:top w:val="single" w:sz="8" w:space="0" w:color="000000"/>
              <w:bottom w:val="single" w:sz="8" w:space="0" w:color="000000"/>
            </w:tcBorders>
            <w:tcMar>
              <w:top w:w="20" w:type="dxa"/>
              <w:left w:w="20" w:type="dxa"/>
              <w:bottom w:w="100" w:type="dxa"/>
              <w:right w:w="20" w:type="dxa"/>
            </w:tcMar>
          </w:tcPr>
          <w:p w14:paraId="5A66A619"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LT07-118</w:t>
            </w:r>
          </w:p>
        </w:tc>
      </w:tr>
      <w:tr w:rsidR="00384F6F" w:rsidRPr="00CA2941" w14:paraId="112F07EC" w14:textId="77777777">
        <w:trPr>
          <w:trHeight w:val="405"/>
        </w:trPr>
        <w:tc>
          <w:tcPr>
            <w:tcW w:w="4335" w:type="dxa"/>
            <w:tcBorders>
              <w:bottom w:val="single" w:sz="8" w:space="0" w:color="000000"/>
            </w:tcBorders>
            <w:shd w:val="clear" w:color="auto" w:fill="D9D9D9"/>
            <w:tcMar>
              <w:top w:w="20" w:type="dxa"/>
              <w:left w:w="20" w:type="dxa"/>
              <w:bottom w:w="100" w:type="dxa"/>
              <w:right w:w="20" w:type="dxa"/>
            </w:tcMar>
          </w:tcPr>
          <w:p w14:paraId="088288A5"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 xml:space="preserve">Software </w:t>
            </w:r>
          </w:p>
        </w:tc>
        <w:tc>
          <w:tcPr>
            <w:tcW w:w="2355" w:type="dxa"/>
            <w:tcBorders>
              <w:bottom w:val="single" w:sz="8" w:space="0" w:color="000000"/>
            </w:tcBorders>
            <w:shd w:val="clear" w:color="auto" w:fill="D9D9D9"/>
            <w:tcMar>
              <w:top w:w="20" w:type="dxa"/>
              <w:left w:w="20" w:type="dxa"/>
              <w:bottom w:w="100" w:type="dxa"/>
              <w:right w:w="20" w:type="dxa"/>
            </w:tcMar>
          </w:tcPr>
          <w:p w14:paraId="12C0DB90" w14:textId="77777777" w:rsidR="00384F6F" w:rsidRPr="00CA2941" w:rsidRDefault="00384F6F">
            <w:pPr>
              <w:rPr>
                <w:rFonts w:asciiTheme="majorBidi" w:hAnsiTheme="majorBidi" w:cstheme="majorBidi"/>
                <w:sz w:val="20"/>
                <w:szCs w:val="20"/>
              </w:rPr>
            </w:pPr>
          </w:p>
        </w:tc>
        <w:tc>
          <w:tcPr>
            <w:tcW w:w="2625" w:type="dxa"/>
            <w:tcBorders>
              <w:bottom w:val="single" w:sz="8" w:space="0" w:color="000000"/>
            </w:tcBorders>
            <w:shd w:val="clear" w:color="auto" w:fill="D9D9D9"/>
            <w:tcMar>
              <w:top w:w="20" w:type="dxa"/>
              <w:left w:w="20" w:type="dxa"/>
              <w:bottom w:w="100" w:type="dxa"/>
              <w:right w:w="20" w:type="dxa"/>
            </w:tcMar>
          </w:tcPr>
          <w:p w14:paraId="0BB3F0F1" w14:textId="77777777" w:rsidR="00384F6F" w:rsidRPr="00CA2941" w:rsidRDefault="00384F6F">
            <w:pPr>
              <w:widowControl w:val="0"/>
              <w:spacing w:line="276" w:lineRule="auto"/>
              <w:rPr>
                <w:rFonts w:asciiTheme="majorBidi" w:hAnsiTheme="majorBidi" w:cstheme="majorBidi"/>
                <w:sz w:val="20"/>
                <w:szCs w:val="20"/>
              </w:rPr>
            </w:pPr>
          </w:p>
        </w:tc>
      </w:tr>
      <w:tr w:rsidR="00384F6F" w:rsidRPr="00CA2941" w14:paraId="3F4B5C5C" w14:textId="77777777">
        <w:trPr>
          <w:trHeight w:val="420"/>
        </w:trPr>
        <w:tc>
          <w:tcPr>
            <w:tcW w:w="4335" w:type="dxa"/>
            <w:tcMar>
              <w:top w:w="20" w:type="dxa"/>
              <w:left w:w="20" w:type="dxa"/>
              <w:bottom w:w="100" w:type="dxa"/>
              <w:right w:w="20" w:type="dxa"/>
            </w:tcMar>
          </w:tcPr>
          <w:p w14:paraId="544FAF51"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Measurement Studio 2 version 3.0.3</w:t>
            </w:r>
          </w:p>
        </w:tc>
        <w:tc>
          <w:tcPr>
            <w:tcW w:w="2355" w:type="dxa"/>
            <w:tcMar>
              <w:top w:w="20" w:type="dxa"/>
              <w:left w:w="20" w:type="dxa"/>
              <w:bottom w:w="100" w:type="dxa"/>
              <w:right w:w="20" w:type="dxa"/>
            </w:tcMar>
          </w:tcPr>
          <w:p w14:paraId="10059450"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PreSens</w:t>
            </w:r>
            <w:proofErr w:type="spellEnd"/>
            <w:r w:rsidRPr="00CA2941">
              <w:rPr>
                <w:rFonts w:asciiTheme="majorBidi" w:hAnsiTheme="majorBidi" w:cstheme="majorBidi"/>
                <w:sz w:val="20"/>
                <w:szCs w:val="20"/>
              </w:rPr>
              <w:t xml:space="preserve"> Precision Sensing GmbH</w:t>
            </w:r>
          </w:p>
        </w:tc>
        <w:tc>
          <w:tcPr>
            <w:tcW w:w="2625" w:type="dxa"/>
            <w:tcMar>
              <w:top w:w="20" w:type="dxa"/>
              <w:left w:w="20" w:type="dxa"/>
              <w:bottom w:w="100" w:type="dxa"/>
              <w:right w:w="20" w:type="dxa"/>
            </w:tcMar>
          </w:tcPr>
          <w:p w14:paraId="41178B64"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N/A</w:t>
            </w:r>
          </w:p>
        </w:tc>
      </w:tr>
      <w:tr w:rsidR="00384F6F" w:rsidRPr="00CA2941" w14:paraId="5B49E73A" w14:textId="77777777">
        <w:trPr>
          <w:trHeight w:val="405"/>
        </w:trPr>
        <w:tc>
          <w:tcPr>
            <w:tcW w:w="4335" w:type="dxa"/>
            <w:tcBorders>
              <w:top w:val="single" w:sz="8" w:space="0" w:color="000000"/>
              <w:bottom w:val="single" w:sz="8" w:space="0" w:color="000000"/>
            </w:tcBorders>
            <w:shd w:val="clear" w:color="auto" w:fill="D9D9D9"/>
            <w:tcMar>
              <w:top w:w="20" w:type="dxa"/>
              <w:left w:w="20" w:type="dxa"/>
              <w:bottom w:w="100" w:type="dxa"/>
              <w:right w:w="20" w:type="dxa"/>
            </w:tcMar>
          </w:tcPr>
          <w:p w14:paraId="492317E1"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Cell lines</w:t>
            </w:r>
          </w:p>
        </w:tc>
        <w:tc>
          <w:tcPr>
            <w:tcW w:w="2355" w:type="dxa"/>
            <w:tcBorders>
              <w:top w:val="single" w:sz="8" w:space="0" w:color="000000"/>
              <w:bottom w:val="single" w:sz="8" w:space="0" w:color="000000"/>
            </w:tcBorders>
            <w:shd w:val="clear" w:color="auto" w:fill="D9D9D9"/>
            <w:tcMar>
              <w:top w:w="20" w:type="dxa"/>
              <w:left w:w="20" w:type="dxa"/>
              <w:bottom w:w="100" w:type="dxa"/>
              <w:right w:w="20" w:type="dxa"/>
            </w:tcMar>
          </w:tcPr>
          <w:p w14:paraId="6257E023" w14:textId="77777777" w:rsidR="00384F6F" w:rsidRPr="00CA2941" w:rsidRDefault="00384F6F">
            <w:pPr>
              <w:rPr>
                <w:rFonts w:asciiTheme="majorBidi" w:hAnsiTheme="majorBidi" w:cstheme="majorBidi"/>
                <w:sz w:val="20"/>
                <w:szCs w:val="20"/>
              </w:rPr>
            </w:pPr>
          </w:p>
        </w:tc>
        <w:tc>
          <w:tcPr>
            <w:tcW w:w="2625" w:type="dxa"/>
            <w:tcBorders>
              <w:top w:val="single" w:sz="8" w:space="0" w:color="000000"/>
              <w:bottom w:val="single" w:sz="8" w:space="0" w:color="000000"/>
            </w:tcBorders>
            <w:shd w:val="clear" w:color="auto" w:fill="D9D9D9"/>
            <w:tcMar>
              <w:top w:w="20" w:type="dxa"/>
              <w:left w:w="20" w:type="dxa"/>
              <w:bottom w:w="100" w:type="dxa"/>
              <w:right w:w="20" w:type="dxa"/>
            </w:tcMar>
          </w:tcPr>
          <w:p w14:paraId="603E90E7" w14:textId="77777777" w:rsidR="00384F6F" w:rsidRPr="00CA2941" w:rsidRDefault="00384F6F">
            <w:pPr>
              <w:widowControl w:val="0"/>
              <w:spacing w:line="276" w:lineRule="auto"/>
              <w:rPr>
                <w:rFonts w:asciiTheme="majorBidi" w:hAnsiTheme="majorBidi" w:cstheme="majorBidi"/>
                <w:sz w:val="20"/>
                <w:szCs w:val="20"/>
              </w:rPr>
            </w:pPr>
          </w:p>
        </w:tc>
      </w:tr>
      <w:tr w:rsidR="00384F6F" w:rsidRPr="00CA2941" w14:paraId="4010C90F" w14:textId="77777777">
        <w:trPr>
          <w:trHeight w:val="420"/>
        </w:trPr>
        <w:tc>
          <w:tcPr>
            <w:tcW w:w="4335" w:type="dxa"/>
            <w:tcMar>
              <w:top w:w="20" w:type="dxa"/>
              <w:left w:w="20" w:type="dxa"/>
              <w:bottom w:w="100" w:type="dxa"/>
              <w:right w:w="20" w:type="dxa"/>
            </w:tcMar>
          </w:tcPr>
          <w:p w14:paraId="3D3878D5"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K562</w:t>
            </w:r>
          </w:p>
        </w:tc>
        <w:tc>
          <w:tcPr>
            <w:tcW w:w="2355" w:type="dxa"/>
            <w:tcMar>
              <w:top w:w="20" w:type="dxa"/>
              <w:left w:w="20" w:type="dxa"/>
              <w:bottom w:w="100" w:type="dxa"/>
              <w:right w:w="20" w:type="dxa"/>
            </w:tcMar>
          </w:tcPr>
          <w:p w14:paraId="3A805846" w14:textId="77777777" w:rsidR="00384F6F" w:rsidRPr="00CA2941" w:rsidRDefault="008E79C4">
            <w:pPr>
              <w:spacing w:line="360" w:lineRule="auto"/>
              <w:jc w:val="both"/>
              <w:rPr>
                <w:rFonts w:asciiTheme="majorBidi" w:hAnsiTheme="majorBidi" w:cstheme="majorBidi"/>
                <w:sz w:val="20"/>
                <w:szCs w:val="20"/>
              </w:rPr>
            </w:pPr>
            <w:r w:rsidRPr="00CA2941">
              <w:rPr>
                <w:rFonts w:asciiTheme="majorBidi" w:hAnsiTheme="majorBidi" w:cstheme="majorBidi"/>
                <w:sz w:val="20"/>
                <w:szCs w:val="20"/>
              </w:rPr>
              <w:t>ATCC</w:t>
            </w:r>
          </w:p>
        </w:tc>
        <w:tc>
          <w:tcPr>
            <w:tcW w:w="2625" w:type="dxa"/>
            <w:tcMar>
              <w:top w:w="20" w:type="dxa"/>
              <w:left w:w="20" w:type="dxa"/>
              <w:bottom w:w="100" w:type="dxa"/>
              <w:right w:w="20" w:type="dxa"/>
            </w:tcMar>
          </w:tcPr>
          <w:p w14:paraId="68C7478D"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N/A</w:t>
            </w:r>
          </w:p>
        </w:tc>
      </w:tr>
    </w:tbl>
    <w:p w14:paraId="5EFE204F" w14:textId="77777777" w:rsidR="00384F6F" w:rsidRPr="001C2107" w:rsidRDefault="00384F6F">
      <w:pPr>
        <w:rPr>
          <w:rFonts w:asciiTheme="majorBidi" w:hAnsiTheme="majorBidi" w:cstheme="majorBidi"/>
          <w:sz w:val="22"/>
          <w:szCs w:val="22"/>
          <w:u w:val="single"/>
        </w:rPr>
      </w:pPr>
    </w:p>
    <w:p w14:paraId="562A6B10" w14:textId="77777777" w:rsidR="00384F6F" w:rsidRPr="001C2107" w:rsidRDefault="00384F6F" w:rsidP="001C2107">
      <w:pPr>
        <w:rPr>
          <w:rFonts w:asciiTheme="majorBidi" w:hAnsiTheme="majorBidi" w:cstheme="majorBidi"/>
          <w:sz w:val="22"/>
          <w:szCs w:val="22"/>
          <w:u w:val="single"/>
        </w:rPr>
      </w:pPr>
    </w:p>
    <w:p w14:paraId="345A2206" w14:textId="77777777" w:rsidR="00384F6F" w:rsidRPr="00CA2941" w:rsidRDefault="00384F6F">
      <w:pPr>
        <w:rPr>
          <w:rFonts w:asciiTheme="majorBidi" w:hAnsiTheme="majorBidi" w:cstheme="majorBidi"/>
          <w:sz w:val="22"/>
          <w:szCs w:val="22"/>
          <w:u w:val="single"/>
        </w:rPr>
      </w:pPr>
    </w:p>
    <w:p w14:paraId="00D81886" w14:textId="77777777" w:rsidR="00384F6F" w:rsidRPr="00CA2941" w:rsidRDefault="008E79C4" w:rsidP="00AD7809">
      <w:pPr>
        <w:spacing w:line="360" w:lineRule="auto"/>
        <w:jc w:val="both"/>
        <w:rPr>
          <w:rFonts w:asciiTheme="majorBidi" w:hAnsiTheme="majorBidi" w:cstheme="majorBidi"/>
          <w:sz w:val="22"/>
          <w:szCs w:val="22"/>
          <w:u w:val="single"/>
        </w:rPr>
      </w:pPr>
      <w:r w:rsidRPr="00CA2941">
        <w:rPr>
          <w:rFonts w:asciiTheme="majorBidi" w:hAnsiTheme="majorBidi" w:cstheme="majorBidi"/>
          <w:sz w:val="22"/>
          <w:szCs w:val="22"/>
          <w:u w:val="single"/>
        </w:rPr>
        <w:t>Method 2: Cybernetic control of temperature, dissolved oxygen, and pH conditions in a commercial bioreactor system</w:t>
      </w:r>
    </w:p>
    <w:p w14:paraId="7D318612" w14:textId="77777777" w:rsidR="00384F6F" w:rsidRPr="00CA2941" w:rsidRDefault="00384F6F">
      <w:pPr>
        <w:rPr>
          <w:rFonts w:asciiTheme="majorBidi" w:hAnsiTheme="majorBidi" w:cstheme="majorBidi"/>
          <w:sz w:val="22"/>
          <w:szCs w:val="22"/>
          <w:u w:val="single"/>
        </w:rPr>
      </w:pPr>
    </w:p>
    <w:p w14:paraId="6FF165FC" w14:textId="77777777" w:rsidR="00384F6F" w:rsidRPr="00CA2941" w:rsidRDefault="008E79C4">
      <w:pPr>
        <w:spacing w:line="360" w:lineRule="auto"/>
        <w:jc w:val="both"/>
        <w:rPr>
          <w:rFonts w:asciiTheme="majorBidi" w:hAnsiTheme="majorBidi" w:cstheme="majorBidi"/>
          <w:sz w:val="22"/>
          <w:szCs w:val="22"/>
        </w:rPr>
      </w:pPr>
      <w:r w:rsidRPr="00CA2941">
        <w:rPr>
          <w:rFonts w:asciiTheme="majorBidi" w:hAnsiTheme="majorBidi" w:cstheme="majorBidi"/>
          <w:sz w:val="22"/>
          <w:szCs w:val="22"/>
        </w:rPr>
        <w:t xml:space="preserve">Human lymphoblastoid cells (cell line GM12878; </w:t>
      </w:r>
      <w:proofErr w:type="spellStart"/>
      <w:r w:rsidRPr="00CA2941">
        <w:rPr>
          <w:rFonts w:asciiTheme="majorBidi" w:hAnsiTheme="majorBidi" w:cstheme="majorBidi"/>
          <w:sz w:val="22"/>
          <w:szCs w:val="22"/>
        </w:rPr>
        <w:t>Coriell</w:t>
      </w:r>
      <w:proofErr w:type="spellEnd"/>
      <w:r w:rsidRPr="00CA2941">
        <w:rPr>
          <w:rFonts w:asciiTheme="majorBidi" w:hAnsiTheme="majorBidi" w:cstheme="majorBidi"/>
          <w:sz w:val="22"/>
          <w:szCs w:val="22"/>
        </w:rPr>
        <w:t xml:space="preserve"> Institute, received at passage 1) were cultured in RPMI-1640 medium supplemented with 10% FBS and 22 mM NaHCO</w:t>
      </w:r>
      <w:r w:rsidRPr="00CA2941">
        <w:rPr>
          <w:rFonts w:asciiTheme="majorBidi" w:hAnsiTheme="majorBidi" w:cstheme="majorBidi"/>
          <w:sz w:val="22"/>
          <w:szCs w:val="22"/>
          <w:vertAlign w:val="subscript"/>
        </w:rPr>
        <w:t>3</w:t>
      </w:r>
      <w:r w:rsidRPr="00CA2941">
        <w:rPr>
          <w:rFonts w:asciiTheme="majorBidi" w:hAnsiTheme="majorBidi" w:cstheme="majorBidi"/>
          <w:sz w:val="22"/>
          <w:szCs w:val="22"/>
          <w:vertAlign w:val="superscript"/>
        </w:rPr>
        <w:t xml:space="preserve">- </w:t>
      </w:r>
      <w:r w:rsidRPr="00CA2941">
        <w:rPr>
          <w:rFonts w:asciiTheme="majorBidi" w:hAnsiTheme="majorBidi" w:cstheme="majorBidi"/>
          <w:sz w:val="22"/>
          <w:szCs w:val="22"/>
        </w:rPr>
        <w:t>which used the HCO</w:t>
      </w:r>
      <w:r w:rsidRPr="00CA2941">
        <w:rPr>
          <w:rFonts w:asciiTheme="majorBidi" w:hAnsiTheme="majorBidi" w:cstheme="majorBidi"/>
          <w:sz w:val="22"/>
          <w:szCs w:val="22"/>
          <w:vertAlign w:val="subscript"/>
        </w:rPr>
        <w:t>3</w:t>
      </w:r>
      <w:r w:rsidRPr="00CA2941">
        <w:rPr>
          <w:rFonts w:asciiTheme="majorBidi" w:hAnsiTheme="majorBidi" w:cstheme="majorBidi"/>
          <w:sz w:val="22"/>
          <w:szCs w:val="22"/>
          <w:vertAlign w:val="superscript"/>
        </w:rPr>
        <w:t>-</w:t>
      </w:r>
      <w:r w:rsidRPr="00CA2941">
        <w:rPr>
          <w:rFonts w:asciiTheme="majorBidi" w:hAnsiTheme="majorBidi" w:cstheme="majorBidi"/>
          <w:sz w:val="22"/>
          <w:szCs w:val="22"/>
        </w:rPr>
        <w:t>/CO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buffer system. Cells were maintained in four culture vessels controlled by a commercial bioreactor system (Eppendorf </w:t>
      </w:r>
      <w:proofErr w:type="spellStart"/>
      <w:r w:rsidRPr="00CA2941">
        <w:rPr>
          <w:rFonts w:asciiTheme="majorBidi" w:hAnsiTheme="majorBidi" w:cstheme="majorBidi"/>
          <w:sz w:val="22"/>
          <w:szCs w:val="22"/>
        </w:rPr>
        <w:t>DASbox</w:t>
      </w:r>
      <w:proofErr w:type="spellEnd"/>
      <w:r w:rsidRPr="00CA2941">
        <w:rPr>
          <w:rFonts w:asciiTheme="majorBidi" w:hAnsiTheme="majorBidi" w:cstheme="majorBidi"/>
          <w:sz w:val="22"/>
          <w:szCs w:val="22"/>
        </w:rPr>
        <w:t xml:space="preserve"> Mini Bioreactor system controlled by </w:t>
      </w:r>
      <w:proofErr w:type="spellStart"/>
      <w:r w:rsidRPr="00CA2941">
        <w:rPr>
          <w:rFonts w:asciiTheme="majorBidi" w:hAnsiTheme="majorBidi" w:cstheme="majorBidi"/>
          <w:sz w:val="22"/>
          <w:szCs w:val="22"/>
        </w:rPr>
        <w:t>DASware</w:t>
      </w:r>
      <w:proofErr w:type="spellEnd"/>
      <w:r w:rsidRPr="00CA2941">
        <w:rPr>
          <w:rFonts w:asciiTheme="majorBidi" w:hAnsiTheme="majorBidi" w:cstheme="majorBidi"/>
          <w:sz w:val="22"/>
          <w:szCs w:val="22"/>
        </w:rPr>
        <w:t xml:space="preserve"> Software Suite). pH was maintained using a two-sided control via CO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[99.99% purity] and NaHCO</w:t>
      </w:r>
      <w:r w:rsidRPr="00CA2941">
        <w:rPr>
          <w:rFonts w:asciiTheme="majorBidi" w:hAnsiTheme="majorBidi" w:cstheme="majorBidi"/>
          <w:sz w:val="22"/>
          <w:szCs w:val="22"/>
          <w:vertAlign w:val="subscript"/>
        </w:rPr>
        <w:t>3</w:t>
      </w:r>
      <w:r w:rsidRPr="00CA2941">
        <w:rPr>
          <w:rFonts w:asciiTheme="majorBidi" w:hAnsiTheme="majorBidi" w:cstheme="majorBidi"/>
          <w:sz w:val="22"/>
          <w:szCs w:val="22"/>
          <w:vertAlign w:val="superscript"/>
        </w:rPr>
        <w:t>-</w:t>
      </w:r>
      <w:r w:rsidRPr="00CA2941">
        <w:rPr>
          <w:rFonts w:asciiTheme="majorBidi" w:hAnsiTheme="majorBidi" w:cstheme="majorBidi"/>
          <w:sz w:val="22"/>
          <w:szCs w:val="22"/>
        </w:rPr>
        <w:t xml:space="preserve"> buffer addition and 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was maintained via a two-sided control using 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and N</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gas [at 99.99% purity] addition. The bioreactor set-points were at 37 °C, 85% 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saturation, and pH 7.4. Each vessel was equipped with pH, DO, and temperature sensors </w:t>
      </w:r>
      <w:r w:rsidRPr="00CA2941">
        <w:rPr>
          <w:rFonts w:asciiTheme="majorBidi" w:hAnsiTheme="majorBidi" w:cstheme="majorBidi"/>
          <w:sz w:val="22"/>
          <w:szCs w:val="22"/>
        </w:rPr>
        <w:lastRenderedPageBreak/>
        <w:t xml:space="preserve">(see Table S2 for key resources) connected to (and controlled by) the bioreactor system software. Cells were checked daily for mycoplasma contamination using the </w:t>
      </w:r>
      <w:proofErr w:type="spellStart"/>
      <w:r w:rsidRPr="00CA2941">
        <w:rPr>
          <w:rFonts w:asciiTheme="majorBidi" w:hAnsiTheme="majorBidi" w:cstheme="majorBidi"/>
          <w:sz w:val="22"/>
          <w:szCs w:val="22"/>
        </w:rPr>
        <w:t>Mycoalert</w:t>
      </w:r>
      <w:proofErr w:type="spellEnd"/>
      <w:r w:rsidRPr="00CA2941">
        <w:rPr>
          <w:rFonts w:asciiTheme="majorBidi" w:hAnsiTheme="majorBidi" w:cstheme="majorBidi"/>
          <w:sz w:val="22"/>
          <w:szCs w:val="22"/>
        </w:rPr>
        <w:t xml:space="preserve"> kit and monitored for any sign of microbial contamination (</w:t>
      </w:r>
      <w:proofErr w:type="gramStart"/>
      <w:r w:rsidRPr="00344945">
        <w:rPr>
          <w:rFonts w:asciiTheme="majorBidi" w:hAnsiTheme="majorBidi" w:cstheme="majorBidi"/>
          <w:sz w:val="22"/>
          <w:szCs w:val="22"/>
        </w:rPr>
        <w:t>i.e.</w:t>
      </w:r>
      <w:proofErr w:type="gramEnd"/>
      <w:r w:rsidRPr="00CA2941">
        <w:rPr>
          <w:rFonts w:asciiTheme="majorBidi" w:hAnsiTheme="majorBidi" w:cstheme="majorBidi"/>
          <w:sz w:val="22"/>
          <w:szCs w:val="22"/>
        </w:rPr>
        <w:t xml:space="preserve"> bacteria).</w:t>
      </w:r>
    </w:p>
    <w:p w14:paraId="1AE26D42" w14:textId="77777777" w:rsidR="00384F6F" w:rsidRPr="00CA2941" w:rsidRDefault="00384F6F">
      <w:pPr>
        <w:spacing w:line="360" w:lineRule="auto"/>
        <w:jc w:val="both"/>
        <w:rPr>
          <w:rFonts w:asciiTheme="majorBidi" w:hAnsiTheme="majorBidi" w:cstheme="majorBidi"/>
          <w:sz w:val="22"/>
          <w:szCs w:val="22"/>
        </w:rPr>
      </w:pPr>
      <w:bookmarkStart w:id="3" w:name="_11hsqvo30vs4" w:colFirst="0" w:colLast="0"/>
      <w:bookmarkEnd w:id="3"/>
    </w:p>
    <w:p w14:paraId="7B86486D" w14:textId="5874111C" w:rsidR="00384F6F" w:rsidRPr="00CA2941" w:rsidRDefault="008E79C4">
      <w:pPr>
        <w:spacing w:line="360" w:lineRule="auto"/>
        <w:jc w:val="both"/>
        <w:rPr>
          <w:rFonts w:asciiTheme="majorBidi" w:hAnsiTheme="majorBidi" w:cstheme="majorBidi"/>
          <w:sz w:val="22"/>
          <w:szCs w:val="22"/>
        </w:rPr>
      </w:pPr>
      <w:bookmarkStart w:id="4" w:name="_cgl6yxo4yrew" w:colFirst="0" w:colLast="0"/>
      <w:bookmarkEnd w:id="4"/>
      <w:r w:rsidRPr="00CA2941">
        <w:rPr>
          <w:rFonts w:asciiTheme="majorBidi" w:hAnsiTheme="majorBidi" w:cstheme="majorBidi"/>
          <w:sz w:val="22"/>
          <w:szCs w:val="22"/>
        </w:rPr>
        <w:t xml:space="preserve">Prior to the start of the experiment, pH sensors were calibrated via a two-point calibration (NIST traceable buffer solutions at pH 7 and 10). The bioreactor vessels were assembled, filled with DPBS, and subsequently autoclaved at 120 </w:t>
      </w:r>
      <w:r w:rsidRPr="00CA2941">
        <w:rPr>
          <w:rFonts w:asciiTheme="majorBidi" w:hAnsiTheme="majorBidi" w:cstheme="majorBidi"/>
          <w:color w:val="000000"/>
          <w:sz w:val="22"/>
          <w:szCs w:val="22"/>
        </w:rPr>
        <w:t>°C</w:t>
      </w:r>
      <w:r w:rsidRPr="00CA2941">
        <w:rPr>
          <w:rFonts w:asciiTheme="majorBidi" w:hAnsiTheme="majorBidi" w:cstheme="majorBidi"/>
          <w:sz w:val="22"/>
          <w:szCs w:val="22"/>
        </w:rPr>
        <w:t xml:space="preserve"> for 20 minutes. Post autoclaving, vessels were cooled at room temperature in a clean and pre-sterilized safety cabinet for ~1 hour. DO sensors were then calibrated in the DPBS solution using a two-point calibration (100 % air saturation, and 0 % O</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via N</w:t>
      </w:r>
      <w:r w:rsidRPr="00CA2941">
        <w:rPr>
          <w:rFonts w:asciiTheme="majorBidi" w:hAnsiTheme="majorBidi" w:cstheme="majorBidi"/>
          <w:sz w:val="22"/>
          <w:szCs w:val="22"/>
          <w:vertAlign w:val="subscript"/>
        </w:rPr>
        <w:t>2</w:t>
      </w:r>
      <w:r w:rsidRPr="00CA2941">
        <w:rPr>
          <w:rFonts w:asciiTheme="majorBidi" w:hAnsiTheme="majorBidi" w:cstheme="majorBidi"/>
          <w:sz w:val="22"/>
          <w:szCs w:val="22"/>
        </w:rPr>
        <w:t xml:space="preserve"> bubbling). The sensors were polarized overnight before the vessels were removed and externally sterilized with 70% EtOH. The DPBS solution was removed under the safety hood and 140 mL of RPMI-1640 medium was added to each vessel and the bioreactor system activated. Once pH and DO levels stabilized, cells were concentrated in 10 mL of RPMI-1640 medium and inoculated using an inoculation port, rendering a final concentration of 200 k cells mL</w:t>
      </w:r>
      <w:r w:rsidRPr="00CA2941">
        <w:rPr>
          <w:rFonts w:asciiTheme="majorBidi" w:hAnsiTheme="majorBidi" w:cstheme="majorBidi"/>
          <w:sz w:val="22"/>
          <w:szCs w:val="22"/>
          <w:vertAlign w:val="superscript"/>
        </w:rPr>
        <w:t>-1</w:t>
      </w:r>
      <w:r w:rsidRPr="00CA2941">
        <w:rPr>
          <w:rFonts w:asciiTheme="majorBidi" w:hAnsiTheme="majorBidi" w:cstheme="majorBidi"/>
          <w:sz w:val="22"/>
          <w:szCs w:val="22"/>
        </w:rPr>
        <w:t xml:space="preserve"> in 150 mL working volume. Temperature, DO, and pH levels were recorded every 30 min during the experiment and maintained mean levels of 37 ºC ± 0.001 (SD, </w:t>
      </w:r>
      <w:r w:rsidRPr="00CA2941">
        <w:rPr>
          <w:rFonts w:asciiTheme="majorBidi" w:hAnsiTheme="majorBidi" w:cstheme="majorBidi"/>
          <w:i/>
          <w:sz w:val="22"/>
          <w:szCs w:val="22"/>
        </w:rPr>
        <w:t>n</w:t>
      </w:r>
      <w:r w:rsidRPr="00CA2941">
        <w:rPr>
          <w:rFonts w:asciiTheme="majorBidi" w:hAnsiTheme="majorBidi" w:cstheme="majorBidi"/>
          <w:sz w:val="22"/>
          <w:szCs w:val="22"/>
        </w:rPr>
        <w:t xml:space="preserve"> = 146), 89.82 % ± 4.12 % (SD, </w:t>
      </w:r>
      <w:r w:rsidRPr="00CA2941">
        <w:rPr>
          <w:rFonts w:asciiTheme="majorBidi" w:hAnsiTheme="majorBidi" w:cstheme="majorBidi"/>
          <w:i/>
          <w:sz w:val="22"/>
          <w:szCs w:val="22"/>
        </w:rPr>
        <w:t xml:space="preserve">n </w:t>
      </w:r>
      <w:r w:rsidRPr="00CA2941">
        <w:rPr>
          <w:rFonts w:asciiTheme="majorBidi" w:hAnsiTheme="majorBidi" w:cstheme="majorBidi"/>
          <w:sz w:val="22"/>
          <w:szCs w:val="22"/>
        </w:rPr>
        <w:t xml:space="preserve">= 146), and 7.397 ± 0.0129 (SD, </w:t>
      </w:r>
      <w:r w:rsidRPr="00CA2941">
        <w:rPr>
          <w:rFonts w:asciiTheme="majorBidi" w:hAnsiTheme="majorBidi" w:cstheme="majorBidi"/>
          <w:i/>
          <w:sz w:val="22"/>
          <w:szCs w:val="22"/>
        </w:rPr>
        <w:t xml:space="preserve">n </w:t>
      </w:r>
      <w:r w:rsidRPr="00CA2941">
        <w:rPr>
          <w:rFonts w:asciiTheme="majorBidi" w:hAnsiTheme="majorBidi" w:cstheme="majorBidi"/>
          <w:sz w:val="22"/>
          <w:szCs w:val="22"/>
        </w:rPr>
        <w:t xml:space="preserve">= 146), respectively.  </w:t>
      </w:r>
    </w:p>
    <w:p w14:paraId="69957A6D" w14:textId="77777777" w:rsidR="00384F6F" w:rsidRPr="00CA2941" w:rsidRDefault="00384F6F">
      <w:pPr>
        <w:spacing w:line="360" w:lineRule="auto"/>
        <w:jc w:val="both"/>
        <w:rPr>
          <w:rFonts w:asciiTheme="majorBidi" w:hAnsiTheme="majorBidi" w:cstheme="majorBidi"/>
          <w:sz w:val="22"/>
          <w:szCs w:val="22"/>
          <w:highlight w:val="yellow"/>
        </w:rPr>
      </w:pPr>
      <w:bookmarkStart w:id="5" w:name="_jjecyt7sh5ry" w:colFirst="0" w:colLast="0"/>
      <w:bookmarkEnd w:id="5"/>
    </w:p>
    <w:p w14:paraId="2686991E" w14:textId="77777777" w:rsidR="00384F6F" w:rsidRPr="00CA2941" w:rsidRDefault="008E79C4">
      <w:pPr>
        <w:spacing w:before="240" w:after="240"/>
        <w:rPr>
          <w:rFonts w:asciiTheme="majorBidi" w:hAnsiTheme="majorBidi" w:cstheme="majorBidi"/>
        </w:rPr>
      </w:pPr>
      <w:r w:rsidRPr="00CA2941">
        <w:rPr>
          <w:rFonts w:asciiTheme="majorBidi" w:hAnsiTheme="majorBidi" w:cstheme="majorBidi"/>
          <w:b/>
          <w:sz w:val="22"/>
          <w:szCs w:val="22"/>
        </w:rPr>
        <w:t xml:space="preserve">Table S2: </w:t>
      </w:r>
      <w:r w:rsidRPr="00CA2941">
        <w:rPr>
          <w:rFonts w:asciiTheme="majorBidi" w:hAnsiTheme="majorBidi" w:cstheme="majorBidi"/>
          <w:sz w:val="22"/>
          <w:szCs w:val="22"/>
        </w:rPr>
        <w:t>Key R</w:t>
      </w:r>
      <w:r w:rsidRPr="00CA2941">
        <w:rPr>
          <w:rFonts w:asciiTheme="majorBidi" w:hAnsiTheme="majorBidi" w:cstheme="majorBidi"/>
        </w:rPr>
        <w:t>esources Table for Method 2</w:t>
      </w:r>
    </w:p>
    <w:tbl>
      <w:tblPr>
        <w:tblStyle w:val="a0"/>
        <w:tblW w:w="9315" w:type="dxa"/>
        <w:tblBorders>
          <w:top w:val="nil"/>
          <w:left w:val="nil"/>
          <w:bottom w:val="nil"/>
          <w:right w:val="nil"/>
          <w:insideH w:val="nil"/>
          <w:insideV w:val="nil"/>
        </w:tblBorders>
        <w:tblLayout w:type="fixed"/>
        <w:tblLook w:val="0600" w:firstRow="0" w:lastRow="0" w:firstColumn="0" w:lastColumn="0" w:noHBand="1" w:noVBand="1"/>
      </w:tblPr>
      <w:tblGrid>
        <w:gridCol w:w="4335"/>
        <w:gridCol w:w="2355"/>
        <w:gridCol w:w="2625"/>
      </w:tblGrid>
      <w:tr w:rsidR="00384F6F" w:rsidRPr="00CA2941" w14:paraId="46C1E3BD" w14:textId="77777777">
        <w:trPr>
          <w:trHeight w:val="405"/>
        </w:trPr>
        <w:tc>
          <w:tcPr>
            <w:tcW w:w="4335" w:type="dxa"/>
            <w:tcBorders>
              <w:top w:val="single" w:sz="8" w:space="0" w:color="000000"/>
              <w:bottom w:val="single" w:sz="8" w:space="0" w:color="000000"/>
            </w:tcBorders>
            <w:tcMar>
              <w:top w:w="20" w:type="dxa"/>
              <w:left w:w="20" w:type="dxa"/>
              <w:bottom w:w="100" w:type="dxa"/>
              <w:right w:w="20" w:type="dxa"/>
            </w:tcMar>
          </w:tcPr>
          <w:p w14:paraId="14ACCE7F"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REAGENT or RESOURCE</w:t>
            </w:r>
          </w:p>
        </w:tc>
        <w:tc>
          <w:tcPr>
            <w:tcW w:w="2355" w:type="dxa"/>
            <w:tcBorders>
              <w:top w:val="single" w:sz="8" w:space="0" w:color="000000"/>
              <w:bottom w:val="single" w:sz="8" w:space="0" w:color="000000"/>
            </w:tcBorders>
            <w:tcMar>
              <w:top w:w="20" w:type="dxa"/>
              <w:left w:w="20" w:type="dxa"/>
              <w:bottom w:w="100" w:type="dxa"/>
              <w:right w:w="20" w:type="dxa"/>
            </w:tcMar>
          </w:tcPr>
          <w:p w14:paraId="447A9343"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SOURCE</w:t>
            </w:r>
          </w:p>
        </w:tc>
        <w:tc>
          <w:tcPr>
            <w:tcW w:w="2625" w:type="dxa"/>
            <w:tcBorders>
              <w:top w:val="single" w:sz="8" w:space="0" w:color="000000"/>
              <w:bottom w:val="single" w:sz="8" w:space="0" w:color="000000"/>
            </w:tcBorders>
            <w:tcMar>
              <w:top w:w="20" w:type="dxa"/>
              <w:left w:w="20" w:type="dxa"/>
              <w:bottom w:w="100" w:type="dxa"/>
              <w:right w:w="20" w:type="dxa"/>
            </w:tcMar>
          </w:tcPr>
          <w:p w14:paraId="2D7042DD"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IDENTIFIER</w:t>
            </w:r>
          </w:p>
        </w:tc>
      </w:tr>
      <w:tr w:rsidR="00384F6F" w:rsidRPr="00CA2941" w14:paraId="487453FA" w14:textId="77777777">
        <w:trPr>
          <w:trHeight w:val="405"/>
        </w:trPr>
        <w:tc>
          <w:tcPr>
            <w:tcW w:w="4335" w:type="dxa"/>
            <w:tcBorders>
              <w:bottom w:val="single" w:sz="8" w:space="0" w:color="000000"/>
            </w:tcBorders>
            <w:shd w:val="clear" w:color="auto" w:fill="D9D9D9"/>
            <w:tcMar>
              <w:top w:w="20" w:type="dxa"/>
              <w:left w:w="20" w:type="dxa"/>
              <w:bottom w:w="100" w:type="dxa"/>
              <w:right w:w="20" w:type="dxa"/>
            </w:tcMar>
          </w:tcPr>
          <w:p w14:paraId="174AA021"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Reagents</w:t>
            </w:r>
          </w:p>
        </w:tc>
        <w:tc>
          <w:tcPr>
            <w:tcW w:w="2355" w:type="dxa"/>
            <w:tcBorders>
              <w:bottom w:val="single" w:sz="8" w:space="0" w:color="000000"/>
            </w:tcBorders>
            <w:shd w:val="clear" w:color="auto" w:fill="D9D9D9"/>
            <w:tcMar>
              <w:top w:w="20" w:type="dxa"/>
              <w:left w:w="20" w:type="dxa"/>
              <w:bottom w:w="100" w:type="dxa"/>
              <w:right w:w="20" w:type="dxa"/>
            </w:tcMar>
          </w:tcPr>
          <w:p w14:paraId="24EDDCFE" w14:textId="77777777" w:rsidR="00384F6F" w:rsidRPr="00CA2941" w:rsidRDefault="00384F6F">
            <w:pPr>
              <w:rPr>
                <w:rFonts w:asciiTheme="majorBidi" w:hAnsiTheme="majorBidi" w:cstheme="majorBidi"/>
                <w:sz w:val="20"/>
                <w:szCs w:val="20"/>
              </w:rPr>
            </w:pPr>
          </w:p>
        </w:tc>
        <w:tc>
          <w:tcPr>
            <w:tcW w:w="2625" w:type="dxa"/>
            <w:tcBorders>
              <w:bottom w:val="single" w:sz="8" w:space="0" w:color="000000"/>
            </w:tcBorders>
            <w:shd w:val="clear" w:color="auto" w:fill="D9D9D9"/>
            <w:tcMar>
              <w:top w:w="20" w:type="dxa"/>
              <w:left w:w="20" w:type="dxa"/>
              <w:bottom w:w="100" w:type="dxa"/>
              <w:right w:w="20" w:type="dxa"/>
            </w:tcMar>
          </w:tcPr>
          <w:p w14:paraId="5443CF4B" w14:textId="77777777" w:rsidR="00384F6F" w:rsidRPr="00CA2941" w:rsidRDefault="00384F6F">
            <w:pPr>
              <w:widowControl w:val="0"/>
              <w:pBdr>
                <w:top w:val="nil"/>
                <w:left w:val="nil"/>
                <w:bottom w:val="nil"/>
                <w:right w:val="nil"/>
                <w:between w:val="nil"/>
              </w:pBdr>
              <w:spacing w:line="276" w:lineRule="auto"/>
              <w:rPr>
                <w:rFonts w:asciiTheme="majorBidi" w:hAnsiTheme="majorBidi" w:cstheme="majorBidi"/>
                <w:sz w:val="20"/>
                <w:szCs w:val="20"/>
              </w:rPr>
            </w:pPr>
          </w:p>
        </w:tc>
      </w:tr>
      <w:tr w:rsidR="00384F6F" w:rsidRPr="00CA2941" w14:paraId="59C2B15D" w14:textId="77777777">
        <w:trPr>
          <w:trHeight w:val="420"/>
        </w:trPr>
        <w:tc>
          <w:tcPr>
            <w:tcW w:w="4335" w:type="dxa"/>
            <w:tcMar>
              <w:top w:w="20" w:type="dxa"/>
              <w:left w:w="20" w:type="dxa"/>
              <w:bottom w:w="100" w:type="dxa"/>
              <w:right w:w="20" w:type="dxa"/>
            </w:tcMar>
          </w:tcPr>
          <w:p w14:paraId="31C66E98"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RPMI-1640</w:t>
            </w:r>
          </w:p>
        </w:tc>
        <w:tc>
          <w:tcPr>
            <w:tcW w:w="2355" w:type="dxa"/>
            <w:tcMar>
              <w:top w:w="20" w:type="dxa"/>
              <w:left w:w="20" w:type="dxa"/>
              <w:bottom w:w="100" w:type="dxa"/>
              <w:right w:w="20" w:type="dxa"/>
            </w:tcMar>
          </w:tcPr>
          <w:p w14:paraId="248D8FB8"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Thermo Fisher</w:t>
            </w:r>
          </w:p>
        </w:tc>
        <w:tc>
          <w:tcPr>
            <w:tcW w:w="2625" w:type="dxa"/>
            <w:tcMar>
              <w:top w:w="20" w:type="dxa"/>
              <w:left w:w="20" w:type="dxa"/>
              <w:bottom w:w="100" w:type="dxa"/>
              <w:right w:w="20" w:type="dxa"/>
            </w:tcMar>
          </w:tcPr>
          <w:p w14:paraId="65CF38CB"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31800105</w:t>
            </w:r>
          </w:p>
        </w:tc>
      </w:tr>
      <w:tr w:rsidR="00384F6F" w:rsidRPr="00CA2941" w14:paraId="193C6994" w14:textId="77777777">
        <w:trPr>
          <w:trHeight w:val="420"/>
        </w:trPr>
        <w:tc>
          <w:tcPr>
            <w:tcW w:w="4335" w:type="dxa"/>
            <w:shd w:val="clear" w:color="auto" w:fill="D9D9D9"/>
            <w:tcMar>
              <w:top w:w="20" w:type="dxa"/>
              <w:left w:w="20" w:type="dxa"/>
              <w:bottom w:w="100" w:type="dxa"/>
              <w:right w:w="20" w:type="dxa"/>
            </w:tcMar>
          </w:tcPr>
          <w:p w14:paraId="1D1B3306"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FBS</w:t>
            </w:r>
          </w:p>
        </w:tc>
        <w:tc>
          <w:tcPr>
            <w:tcW w:w="2355" w:type="dxa"/>
            <w:shd w:val="clear" w:color="auto" w:fill="D9D9D9"/>
            <w:tcMar>
              <w:top w:w="20" w:type="dxa"/>
              <w:left w:w="20" w:type="dxa"/>
              <w:bottom w:w="100" w:type="dxa"/>
              <w:right w:w="20" w:type="dxa"/>
            </w:tcMar>
          </w:tcPr>
          <w:p w14:paraId="378138C8"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Gibco</w:t>
            </w:r>
          </w:p>
        </w:tc>
        <w:tc>
          <w:tcPr>
            <w:tcW w:w="2625" w:type="dxa"/>
            <w:shd w:val="clear" w:color="auto" w:fill="D9D9D9"/>
            <w:tcMar>
              <w:top w:w="20" w:type="dxa"/>
              <w:left w:w="20" w:type="dxa"/>
              <w:bottom w:w="100" w:type="dxa"/>
              <w:right w:w="20" w:type="dxa"/>
            </w:tcMar>
          </w:tcPr>
          <w:p w14:paraId="736C350F"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26140-079</w:t>
            </w:r>
          </w:p>
        </w:tc>
      </w:tr>
      <w:tr w:rsidR="00384F6F" w:rsidRPr="00CA2941" w14:paraId="2CA5BA97" w14:textId="77777777">
        <w:trPr>
          <w:trHeight w:val="420"/>
        </w:trPr>
        <w:tc>
          <w:tcPr>
            <w:tcW w:w="4335" w:type="dxa"/>
            <w:tcMar>
              <w:top w:w="20" w:type="dxa"/>
              <w:left w:w="20" w:type="dxa"/>
              <w:bottom w:w="100" w:type="dxa"/>
              <w:right w:w="20" w:type="dxa"/>
            </w:tcMar>
          </w:tcPr>
          <w:p w14:paraId="3DAB003F"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DPBS</w:t>
            </w:r>
          </w:p>
        </w:tc>
        <w:tc>
          <w:tcPr>
            <w:tcW w:w="2355" w:type="dxa"/>
            <w:tcMar>
              <w:top w:w="20" w:type="dxa"/>
              <w:left w:w="20" w:type="dxa"/>
              <w:bottom w:w="100" w:type="dxa"/>
              <w:right w:w="20" w:type="dxa"/>
            </w:tcMar>
          </w:tcPr>
          <w:p w14:paraId="6435548A"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Gibco</w:t>
            </w:r>
          </w:p>
        </w:tc>
        <w:tc>
          <w:tcPr>
            <w:tcW w:w="2625" w:type="dxa"/>
            <w:tcMar>
              <w:top w:w="20" w:type="dxa"/>
              <w:left w:w="20" w:type="dxa"/>
              <w:bottom w:w="100" w:type="dxa"/>
              <w:right w:w="20" w:type="dxa"/>
            </w:tcMar>
          </w:tcPr>
          <w:p w14:paraId="6CF9224C"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14190144</w:t>
            </w:r>
          </w:p>
        </w:tc>
      </w:tr>
      <w:tr w:rsidR="00384F6F" w:rsidRPr="00CA2941" w14:paraId="48048862" w14:textId="77777777">
        <w:trPr>
          <w:trHeight w:val="420"/>
        </w:trPr>
        <w:tc>
          <w:tcPr>
            <w:tcW w:w="4335" w:type="dxa"/>
            <w:shd w:val="clear" w:color="auto" w:fill="D9D9D9"/>
            <w:tcMar>
              <w:top w:w="20" w:type="dxa"/>
              <w:left w:w="20" w:type="dxa"/>
              <w:bottom w:w="100" w:type="dxa"/>
              <w:right w:w="20" w:type="dxa"/>
            </w:tcMar>
          </w:tcPr>
          <w:p w14:paraId="6CF40BCB"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NIST traceable buffer solutions (pH 7)</w:t>
            </w:r>
          </w:p>
        </w:tc>
        <w:tc>
          <w:tcPr>
            <w:tcW w:w="2355" w:type="dxa"/>
            <w:shd w:val="clear" w:color="auto" w:fill="D9D9D9"/>
            <w:tcMar>
              <w:top w:w="20" w:type="dxa"/>
              <w:left w:w="20" w:type="dxa"/>
              <w:bottom w:w="100" w:type="dxa"/>
              <w:right w:w="20" w:type="dxa"/>
            </w:tcMar>
          </w:tcPr>
          <w:p w14:paraId="69755BE3"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Orion™</w:t>
            </w:r>
          </w:p>
        </w:tc>
        <w:tc>
          <w:tcPr>
            <w:tcW w:w="2625" w:type="dxa"/>
            <w:shd w:val="clear" w:color="auto" w:fill="D9D9D9"/>
            <w:tcMar>
              <w:top w:w="20" w:type="dxa"/>
              <w:left w:w="20" w:type="dxa"/>
              <w:bottom w:w="100" w:type="dxa"/>
              <w:right w:w="20" w:type="dxa"/>
            </w:tcMar>
          </w:tcPr>
          <w:p w14:paraId="5652F818"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ORIO910760</w:t>
            </w:r>
          </w:p>
        </w:tc>
      </w:tr>
      <w:tr w:rsidR="00384F6F" w:rsidRPr="00CA2941" w14:paraId="00F090BF" w14:textId="77777777">
        <w:trPr>
          <w:trHeight w:val="420"/>
        </w:trPr>
        <w:tc>
          <w:tcPr>
            <w:tcW w:w="4335" w:type="dxa"/>
            <w:tcMar>
              <w:top w:w="20" w:type="dxa"/>
              <w:left w:w="20" w:type="dxa"/>
              <w:bottom w:w="100" w:type="dxa"/>
              <w:right w:w="20" w:type="dxa"/>
            </w:tcMar>
          </w:tcPr>
          <w:p w14:paraId="70F1055E"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NIST traceable buffer solutions (pH 10)</w:t>
            </w:r>
          </w:p>
        </w:tc>
        <w:tc>
          <w:tcPr>
            <w:tcW w:w="2355" w:type="dxa"/>
            <w:tcMar>
              <w:top w:w="20" w:type="dxa"/>
              <w:left w:w="20" w:type="dxa"/>
              <w:bottom w:w="100" w:type="dxa"/>
              <w:right w:w="20" w:type="dxa"/>
            </w:tcMar>
          </w:tcPr>
          <w:p w14:paraId="6967EB52"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Orion™</w:t>
            </w:r>
          </w:p>
        </w:tc>
        <w:tc>
          <w:tcPr>
            <w:tcW w:w="2625" w:type="dxa"/>
            <w:tcMar>
              <w:top w:w="20" w:type="dxa"/>
              <w:left w:w="20" w:type="dxa"/>
              <w:bottom w:w="100" w:type="dxa"/>
              <w:right w:w="20" w:type="dxa"/>
            </w:tcMar>
          </w:tcPr>
          <w:p w14:paraId="52BB9283"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ORIO9110CB</w:t>
            </w:r>
          </w:p>
        </w:tc>
      </w:tr>
      <w:tr w:rsidR="00384F6F" w:rsidRPr="00CA2941" w14:paraId="49B8C468" w14:textId="77777777">
        <w:trPr>
          <w:trHeight w:val="510"/>
        </w:trPr>
        <w:tc>
          <w:tcPr>
            <w:tcW w:w="4335" w:type="dxa"/>
            <w:shd w:val="clear" w:color="auto" w:fill="D9D9D9"/>
            <w:tcMar>
              <w:top w:w="20" w:type="dxa"/>
              <w:left w:w="20" w:type="dxa"/>
              <w:bottom w:w="100" w:type="dxa"/>
              <w:right w:w="20" w:type="dxa"/>
            </w:tcMar>
          </w:tcPr>
          <w:p w14:paraId="27EDAB1B"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Sodium bicarbonate (NaHCO</w:t>
            </w:r>
            <w:r w:rsidRPr="00CA2941">
              <w:rPr>
                <w:rFonts w:asciiTheme="majorBidi" w:hAnsiTheme="majorBidi" w:cstheme="majorBidi"/>
                <w:sz w:val="20"/>
                <w:szCs w:val="20"/>
                <w:vertAlign w:val="subscript"/>
              </w:rPr>
              <w:t>3</w:t>
            </w:r>
            <w:r w:rsidRPr="00CA2941">
              <w:rPr>
                <w:rFonts w:asciiTheme="majorBidi" w:hAnsiTheme="majorBidi" w:cstheme="majorBidi"/>
                <w:sz w:val="20"/>
                <w:szCs w:val="20"/>
                <w:vertAlign w:val="superscript"/>
              </w:rPr>
              <w:t>-</w:t>
            </w:r>
            <w:r w:rsidRPr="00CA2941">
              <w:rPr>
                <w:rFonts w:asciiTheme="majorBidi" w:hAnsiTheme="majorBidi" w:cstheme="majorBidi"/>
                <w:sz w:val="20"/>
                <w:szCs w:val="20"/>
              </w:rPr>
              <w:t>)</w:t>
            </w:r>
          </w:p>
        </w:tc>
        <w:tc>
          <w:tcPr>
            <w:tcW w:w="2355" w:type="dxa"/>
            <w:shd w:val="clear" w:color="auto" w:fill="D9D9D9"/>
            <w:tcMar>
              <w:top w:w="20" w:type="dxa"/>
              <w:left w:w="20" w:type="dxa"/>
              <w:bottom w:w="100" w:type="dxa"/>
              <w:right w:w="20" w:type="dxa"/>
            </w:tcMar>
          </w:tcPr>
          <w:p w14:paraId="63C9FBBB"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Gibco</w:t>
            </w:r>
          </w:p>
        </w:tc>
        <w:tc>
          <w:tcPr>
            <w:tcW w:w="2625" w:type="dxa"/>
            <w:shd w:val="clear" w:color="auto" w:fill="D9D9D9"/>
            <w:tcMar>
              <w:top w:w="20" w:type="dxa"/>
              <w:left w:w="20" w:type="dxa"/>
              <w:bottom w:w="100" w:type="dxa"/>
              <w:right w:w="20" w:type="dxa"/>
            </w:tcMar>
          </w:tcPr>
          <w:p w14:paraId="56CB20DE"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25080-102</w:t>
            </w:r>
          </w:p>
        </w:tc>
      </w:tr>
      <w:tr w:rsidR="00384F6F" w:rsidRPr="00CA2941" w14:paraId="768E93E5" w14:textId="77777777">
        <w:trPr>
          <w:trHeight w:val="405"/>
        </w:trPr>
        <w:tc>
          <w:tcPr>
            <w:tcW w:w="4335" w:type="dxa"/>
            <w:tcBorders>
              <w:top w:val="single" w:sz="8" w:space="0" w:color="000000"/>
              <w:bottom w:val="single" w:sz="8" w:space="0" w:color="000000"/>
            </w:tcBorders>
            <w:tcMar>
              <w:top w:w="20" w:type="dxa"/>
              <w:left w:w="20" w:type="dxa"/>
              <w:bottom w:w="100" w:type="dxa"/>
              <w:right w:w="20" w:type="dxa"/>
            </w:tcMar>
          </w:tcPr>
          <w:p w14:paraId="5053A8DD"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Equipment</w:t>
            </w:r>
          </w:p>
        </w:tc>
        <w:tc>
          <w:tcPr>
            <w:tcW w:w="2355" w:type="dxa"/>
            <w:tcBorders>
              <w:top w:val="single" w:sz="8" w:space="0" w:color="000000"/>
              <w:bottom w:val="single" w:sz="8" w:space="0" w:color="000000"/>
            </w:tcBorders>
            <w:tcMar>
              <w:top w:w="20" w:type="dxa"/>
              <w:left w:w="20" w:type="dxa"/>
              <w:bottom w:w="100" w:type="dxa"/>
              <w:right w:w="20" w:type="dxa"/>
            </w:tcMar>
          </w:tcPr>
          <w:p w14:paraId="34821362" w14:textId="77777777" w:rsidR="00384F6F" w:rsidRPr="00CA2941" w:rsidRDefault="00384F6F">
            <w:pPr>
              <w:rPr>
                <w:rFonts w:asciiTheme="majorBidi" w:hAnsiTheme="majorBidi" w:cstheme="majorBidi"/>
                <w:sz w:val="20"/>
                <w:szCs w:val="20"/>
              </w:rPr>
            </w:pPr>
          </w:p>
        </w:tc>
        <w:tc>
          <w:tcPr>
            <w:tcW w:w="2625" w:type="dxa"/>
            <w:tcBorders>
              <w:top w:val="single" w:sz="8" w:space="0" w:color="000000"/>
              <w:bottom w:val="single" w:sz="8" w:space="0" w:color="000000"/>
            </w:tcBorders>
            <w:tcMar>
              <w:top w:w="20" w:type="dxa"/>
              <w:left w:w="20" w:type="dxa"/>
              <w:bottom w:w="100" w:type="dxa"/>
              <w:right w:w="20" w:type="dxa"/>
            </w:tcMar>
          </w:tcPr>
          <w:p w14:paraId="7D2E5C0F" w14:textId="77777777" w:rsidR="00384F6F" w:rsidRPr="00CA2941" w:rsidRDefault="00384F6F">
            <w:pPr>
              <w:widowControl w:val="0"/>
              <w:pBdr>
                <w:top w:val="nil"/>
                <w:left w:val="nil"/>
                <w:bottom w:val="nil"/>
                <w:right w:val="nil"/>
                <w:between w:val="nil"/>
              </w:pBdr>
              <w:spacing w:line="276" w:lineRule="auto"/>
              <w:rPr>
                <w:rFonts w:asciiTheme="majorBidi" w:hAnsiTheme="majorBidi" w:cstheme="majorBidi"/>
                <w:sz w:val="20"/>
                <w:szCs w:val="20"/>
              </w:rPr>
            </w:pPr>
          </w:p>
        </w:tc>
      </w:tr>
      <w:tr w:rsidR="00384F6F" w:rsidRPr="00CA2941" w14:paraId="01F2FD5E" w14:textId="77777777">
        <w:trPr>
          <w:trHeight w:val="420"/>
        </w:trPr>
        <w:tc>
          <w:tcPr>
            <w:tcW w:w="4335" w:type="dxa"/>
            <w:shd w:val="clear" w:color="auto" w:fill="D9D9D9"/>
            <w:tcMar>
              <w:top w:w="20" w:type="dxa"/>
              <w:left w:w="20" w:type="dxa"/>
              <w:bottom w:w="100" w:type="dxa"/>
              <w:right w:w="20" w:type="dxa"/>
            </w:tcMar>
          </w:tcPr>
          <w:p w14:paraId="56CCC07C"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DASbox</w:t>
            </w:r>
            <w:proofErr w:type="spellEnd"/>
            <w:r w:rsidRPr="00CA2941">
              <w:rPr>
                <w:rFonts w:asciiTheme="majorBidi" w:hAnsiTheme="majorBidi" w:cstheme="majorBidi"/>
                <w:sz w:val="20"/>
                <w:szCs w:val="20"/>
              </w:rPr>
              <w:t xml:space="preserve"> Mini Bioreactor</w:t>
            </w:r>
          </w:p>
        </w:tc>
        <w:tc>
          <w:tcPr>
            <w:tcW w:w="2355" w:type="dxa"/>
            <w:shd w:val="clear" w:color="auto" w:fill="D9D9D9"/>
            <w:tcMar>
              <w:top w:w="20" w:type="dxa"/>
              <w:left w:w="20" w:type="dxa"/>
              <w:bottom w:w="100" w:type="dxa"/>
              <w:right w:w="20" w:type="dxa"/>
            </w:tcMar>
          </w:tcPr>
          <w:p w14:paraId="08013E7A"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Eppendorf</w:t>
            </w:r>
          </w:p>
        </w:tc>
        <w:tc>
          <w:tcPr>
            <w:tcW w:w="2625" w:type="dxa"/>
            <w:shd w:val="clear" w:color="auto" w:fill="D9D9D9"/>
            <w:tcMar>
              <w:top w:w="20" w:type="dxa"/>
              <w:left w:w="20" w:type="dxa"/>
              <w:bottom w:w="100" w:type="dxa"/>
              <w:right w:w="20" w:type="dxa"/>
            </w:tcMar>
          </w:tcPr>
          <w:p w14:paraId="32C6713D"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OT30QUOTE</w:t>
            </w:r>
          </w:p>
        </w:tc>
      </w:tr>
      <w:tr w:rsidR="00384F6F" w:rsidRPr="00CA2941" w14:paraId="2E46A4D7" w14:textId="77777777">
        <w:trPr>
          <w:trHeight w:val="420"/>
        </w:trPr>
        <w:tc>
          <w:tcPr>
            <w:tcW w:w="4335" w:type="dxa"/>
            <w:tcMar>
              <w:top w:w="20" w:type="dxa"/>
              <w:left w:w="20" w:type="dxa"/>
              <w:bottom w:w="100" w:type="dxa"/>
              <w:right w:w="20" w:type="dxa"/>
            </w:tcMar>
          </w:tcPr>
          <w:p w14:paraId="61EEA835"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lastRenderedPageBreak/>
              <w:t>DASbox</w:t>
            </w:r>
            <w:proofErr w:type="spellEnd"/>
            <w:r w:rsidRPr="00CA2941">
              <w:rPr>
                <w:rFonts w:asciiTheme="majorBidi" w:hAnsiTheme="majorBidi" w:cstheme="majorBidi"/>
                <w:sz w:val="20"/>
                <w:szCs w:val="20"/>
              </w:rPr>
              <w:t xml:space="preserve"> 250 mL vessel</w:t>
            </w:r>
          </w:p>
        </w:tc>
        <w:tc>
          <w:tcPr>
            <w:tcW w:w="2355" w:type="dxa"/>
            <w:tcMar>
              <w:top w:w="20" w:type="dxa"/>
              <w:left w:w="20" w:type="dxa"/>
              <w:bottom w:w="100" w:type="dxa"/>
              <w:right w:w="20" w:type="dxa"/>
            </w:tcMar>
          </w:tcPr>
          <w:p w14:paraId="1BB7E7C7"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Eppendorf</w:t>
            </w:r>
          </w:p>
        </w:tc>
        <w:tc>
          <w:tcPr>
            <w:tcW w:w="2625" w:type="dxa"/>
            <w:tcMar>
              <w:top w:w="20" w:type="dxa"/>
              <w:left w:w="20" w:type="dxa"/>
              <w:bottom w:w="100" w:type="dxa"/>
              <w:right w:w="20" w:type="dxa"/>
            </w:tcMar>
          </w:tcPr>
          <w:p w14:paraId="794384B2"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DS0250ODSS</w:t>
            </w:r>
          </w:p>
        </w:tc>
      </w:tr>
      <w:tr w:rsidR="00384F6F" w:rsidRPr="00CA2941" w14:paraId="0CC38C80" w14:textId="77777777">
        <w:trPr>
          <w:trHeight w:val="420"/>
        </w:trPr>
        <w:tc>
          <w:tcPr>
            <w:tcW w:w="4335" w:type="dxa"/>
            <w:shd w:val="clear" w:color="auto" w:fill="D9D9D9"/>
            <w:tcMar>
              <w:top w:w="20" w:type="dxa"/>
              <w:left w:w="20" w:type="dxa"/>
              <w:bottom w:w="100" w:type="dxa"/>
              <w:right w:w="20" w:type="dxa"/>
            </w:tcMar>
          </w:tcPr>
          <w:p w14:paraId="672E8F77"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pH Sensor</w:t>
            </w:r>
          </w:p>
        </w:tc>
        <w:tc>
          <w:tcPr>
            <w:tcW w:w="2355" w:type="dxa"/>
            <w:shd w:val="clear" w:color="auto" w:fill="D9D9D9"/>
            <w:tcMar>
              <w:top w:w="20" w:type="dxa"/>
              <w:left w:w="20" w:type="dxa"/>
              <w:bottom w:w="100" w:type="dxa"/>
              <w:right w:w="20" w:type="dxa"/>
            </w:tcMar>
          </w:tcPr>
          <w:p w14:paraId="0042AD63"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Hamilton®</w:t>
            </w:r>
          </w:p>
        </w:tc>
        <w:tc>
          <w:tcPr>
            <w:tcW w:w="2625" w:type="dxa"/>
            <w:shd w:val="clear" w:color="auto" w:fill="D9D9D9"/>
            <w:tcMar>
              <w:top w:w="20" w:type="dxa"/>
              <w:left w:w="20" w:type="dxa"/>
              <w:bottom w:w="100" w:type="dxa"/>
              <w:right w:w="20" w:type="dxa"/>
            </w:tcMar>
          </w:tcPr>
          <w:p w14:paraId="19026AAF"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76DXPHHMC120</w:t>
            </w:r>
          </w:p>
        </w:tc>
      </w:tr>
      <w:tr w:rsidR="00384F6F" w:rsidRPr="00CA2941" w14:paraId="53049E2C" w14:textId="77777777">
        <w:trPr>
          <w:trHeight w:val="420"/>
        </w:trPr>
        <w:tc>
          <w:tcPr>
            <w:tcW w:w="4335" w:type="dxa"/>
            <w:tcMar>
              <w:top w:w="20" w:type="dxa"/>
              <w:left w:w="20" w:type="dxa"/>
              <w:bottom w:w="100" w:type="dxa"/>
              <w:right w:w="20" w:type="dxa"/>
            </w:tcMar>
          </w:tcPr>
          <w:p w14:paraId="44F1D2F0"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DO Sensor</w:t>
            </w:r>
          </w:p>
        </w:tc>
        <w:tc>
          <w:tcPr>
            <w:tcW w:w="2355" w:type="dxa"/>
            <w:tcMar>
              <w:top w:w="20" w:type="dxa"/>
              <w:left w:w="20" w:type="dxa"/>
              <w:bottom w:w="100" w:type="dxa"/>
              <w:right w:w="20" w:type="dxa"/>
            </w:tcMar>
          </w:tcPr>
          <w:p w14:paraId="0C361551"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Hamilton®</w:t>
            </w:r>
          </w:p>
        </w:tc>
        <w:tc>
          <w:tcPr>
            <w:tcW w:w="2625" w:type="dxa"/>
            <w:tcMar>
              <w:top w:w="20" w:type="dxa"/>
              <w:left w:w="20" w:type="dxa"/>
              <w:bottom w:w="100" w:type="dxa"/>
              <w:right w:w="20" w:type="dxa"/>
            </w:tcMar>
          </w:tcPr>
          <w:p w14:paraId="11DC7F19"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76DXPOHMC120</w:t>
            </w:r>
          </w:p>
        </w:tc>
      </w:tr>
      <w:tr w:rsidR="00384F6F" w:rsidRPr="00CA2941" w14:paraId="1ADFB0E2" w14:textId="77777777">
        <w:trPr>
          <w:trHeight w:val="420"/>
        </w:trPr>
        <w:tc>
          <w:tcPr>
            <w:tcW w:w="4335" w:type="dxa"/>
            <w:shd w:val="clear" w:color="auto" w:fill="D9D9D9"/>
            <w:tcMar>
              <w:top w:w="20" w:type="dxa"/>
              <w:left w:w="20" w:type="dxa"/>
              <w:bottom w:w="100" w:type="dxa"/>
              <w:right w:w="20" w:type="dxa"/>
            </w:tcMar>
          </w:tcPr>
          <w:p w14:paraId="7334F1BF"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8-Blade impeller, 60°pitch</w:t>
            </w:r>
          </w:p>
        </w:tc>
        <w:tc>
          <w:tcPr>
            <w:tcW w:w="2355" w:type="dxa"/>
            <w:shd w:val="clear" w:color="auto" w:fill="D9D9D9"/>
            <w:tcMar>
              <w:top w:w="20" w:type="dxa"/>
              <w:left w:w="20" w:type="dxa"/>
              <w:bottom w:w="100" w:type="dxa"/>
              <w:right w:w="20" w:type="dxa"/>
            </w:tcMar>
          </w:tcPr>
          <w:p w14:paraId="512B1E94"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Eppendorf</w:t>
            </w:r>
          </w:p>
        </w:tc>
        <w:tc>
          <w:tcPr>
            <w:tcW w:w="2625" w:type="dxa"/>
            <w:shd w:val="clear" w:color="auto" w:fill="D9D9D9"/>
            <w:tcMar>
              <w:top w:w="20" w:type="dxa"/>
              <w:left w:w="20" w:type="dxa"/>
              <w:bottom w:w="100" w:type="dxa"/>
              <w:right w:w="20" w:type="dxa"/>
            </w:tcMar>
          </w:tcPr>
          <w:p w14:paraId="7E40E6B5"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78107377</w:t>
            </w:r>
          </w:p>
        </w:tc>
      </w:tr>
      <w:tr w:rsidR="00384F6F" w:rsidRPr="00CA2941" w14:paraId="4A285697" w14:textId="77777777">
        <w:trPr>
          <w:trHeight w:val="420"/>
        </w:trPr>
        <w:tc>
          <w:tcPr>
            <w:tcW w:w="4335" w:type="dxa"/>
            <w:tcMar>
              <w:top w:w="20" w:type="dxa"/>
              <w:left w:w="20" w:type="dxa"/>
              <w:bottom w:w="100" w:type="dxa"/>
              <w:right w:w="20" w:type="dxa"/>
            </w:tcMar>
          </w:tcPr>
          <w:p w14:paraId="12917CC9"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Platinum RTS temperature sensor</w:t>
            </w:r>
          </w:p>
        </w:tc>
        <w:tc>
          <w:tcPr>
            <w:tcW w:w="2355" w:type="dxa"/>
            <w:tcMar>
              <w:top w:w="20" w:type="dxa"/>
              <w:left w:w="20" w:type="dxa"/>
              <w:bottom w:w="100" w:type="dxa"/>
              <w:right w:w="20" w:type="dxa"/>
            </w:tcMar>
          </w:tcPr>
          <w:p w14:paraId="726CE4B6"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Eppendorf</w:t>
            </w:r>
          </w:p>
        </w:tc>
        <w:tc>
          <w:tcPr>
            <w:tcW w:w="2625" w:type="dxa"/>
            <w:tcMar>
              <w:top w:w="20" w:type="dxa"/>
              <w:left w:w="20" w:type="dxa"/>
              <w:bottom w:w="100" w:type="dxa"/>
              <w:right w:w="20" w:type="dxa"/>
            </w:tcMar>
          </w:tcPr>
          <w:p w14:paraId="568F1513"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78103308</w:t>
            </w:r>
          </w:p>
        </w:tc>
      </w:tr>
      <w:tr w:rsidR="00384F6F" w:rsidRPr="00CA2941" w14:paraId="079216D7" w14:textId="77777777">
        <w:trPr>
          <w:trHeight w:val="405"/>
        </w:trPr>
        <w:tc>
          <w:tcPr>
            <w:tcW w:w="4335" w:type="dxa"/>
            <w:tcBorders>
              <w:top w:val="single" w:sz="8" w:space="0" w:color="000000"/>
              <w:bottom w:val="single" w:sz="8" w:space="0" w:color="000000"/>
            </w:tcBorders>
            <w:shd w:val="clear" w:color="auto" w:fill="D9D9D9"/>
            <w:tcMar>
              <w:top w:w="20" w:type="dxa"/>
              <w:left w:w="20" w:type="dxa"/>
              <w:bottom w:w="100" w:type="dxa"/>
              <w:right w:w="20" w:type="dxa"/>
            </w:tcMar>
          </w:tcPr>
          <w:p w14:paraId="088EACC9"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Mycoalert</w:t>
            </w:r>
            <w:proofErr w:type="spellEnd"/>
            <w:r w:rsidRPr="00CA2941">
              <w:rPr>
                <w:rFonts w:asciiTheme="majorBidi" w:hAnsiTheme="majorBidi" w:cstheme="majorBidi"/>
                <w:sz w:val="20"/>
                <w:szCs w:val="20"/>
              </w:rPr>
              <w:t xml:space="preserve"> Kit</w:t>
            </w:r>
          </w:p>
        </w:tc>
        <w:tc>
          <w:tcPr>
            <w:tcW w:w="2355" w:type="dxa"/>
            <w:tcBorders>
              <w:top w:val="single" w:sz="8" w:space="0" w:color="000000"/>
              <w:bottom w:val="single" w:sz="8" w:space="0" w:color="000000"/>
            </w:tcBorders>
            <w:shd w:val="clear" w:color="auto" w:fill="D9D9D9"/>
            <w:tcMar>
              <w:top w:w="20" w:type="dxa"/>
              <w:left w:w="20" w:type="dxa"/>
              <w:bottom w:w="100" w:type="dxa"/>
              <w:right w:w="20" w:type="dxa"/>
            </w:tcMar>
          </w:tcPr>
          <w:p w14:paraId="64874AE6"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Lonza</w:t>
            </w:r>
          </w:p>
        </w:tc>
        <w:tc>
          <w:tcPr>
            <w:tcW w:w="2625" w:type="dxa"/>
            <w:tcBorders>
              <w:top w:val="single" w:sz="8" w:space="0" w:color="000000"/>
              <w:bottom w:val="single" w:sz="8" w:space="0" w:color="000000"/>
            </w:tcBorders>
            <w:shd w:val="clear" w:color="auto" w:fill="D9D9D9"/>
            <w:tcMar>
              <w:top w:w="20" w:type="dxa"/>
              <w:left w:w="20" w:type="dxa"/>
              <w:bottom w:w="100" w:type="dxa"/>
              <w:right w:w="20" w:type="dxa"/>
            </w:tcMar>
          </w:tcPr>
          <w:p w14:paraId="35513604"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LT07-118</w:t>
            </w:r>
          </w:p>
        </w:tc>
      </w:tr>
      <w:tr w:rsidR="00384F6F" w:rsidRPr="00CA2941" w14:paraId="54E7DB3C" w14:textId="77777777">
        <w:trPr>
          <w:trHeight w:val="405"/>
        </w:trPr>
        <w:tc>
          <w:tcPr>
            <w:tcW w:w="4335" w:type="dxa"/>
            <w:tcBorders>
              <w:bottom w:val="single" w:sz="8" w:space="0" w:color="000000"/>
            </w:tcBorders>
            <w:tcMar>
              <w:top w:w="20" w:type="dxa"/>
              <w:left w:w="20" w:type="dxa"/>
              <w:bottom w:w="100" w:type="dxa"/>
              <w:right w:w="20" w:type="dxa"/>
            </w:tcMar>
          </w:tcPr>
          <w:p w14:paraId="0A82F25A"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 xml:space="preserve">Software </w:t>
            </w:r>
          </w:p>
        </w:tc>
        <w:tc>
          <w:tcPr>
            <w:tcW w:w="2355" w:type="dxa"/>
            <w:tcBorders>
              <w:bottom w:val="single" w:sz="8" w:space="0" w:color="000000"/>
            </w:tcBorders>
            <w:tcMar>
              <w:top w:w="20" w:type="dxa"/>
              <w:left w:w="20" w:type="dxa"/>
              <w:bottom w:w="100" w:type="dxa"/>
              <w:right w:w="20" w:type="dxa"/>
            </w:tcMar>
          </w:tcPr>
          <w:p w14:paraId="5C981BAB" w14:textId="77777777" w:rsidR="00384F6F" w:rsidRPr="00CA2941" w:rsidRDefault="00384F6F">
            <w:pPr>
              <w:rPr>
                <w:rFonts w:asciiTheme="majorBidi" w:hAnsiTheme="majorBidi" w:cstheme="majorBidi"/>
                <w:sz w:val="20"/>
                <w:szCs w:val="20"/>
              </w:rPr>
            </w:pPr>
          </w:p>
        </w:tc>
        <w:tc>
          <w:tcPr>
            <w:tcW w:w="2625" w:type="dxa"/>
            <w:tcBorders>
              <w:bottom w:val="single" w:sz="8" w:space="0" w:color="000000"/>
            </w:tcBorders>
            <w:tcMar>
              <w:top w:w="20" w:type="dxa"/>
              <w:left w:w="20" w:type="dxa"/>
              <w:bottom w:w="100" w:type="dxa"/>
              <w:right w:w="20" w:type="dxa"/>
            </w:tcMar>
          </w:tcPr>
          <w:p w14:paraId="526A5912" w14:textId="77777777" w:rsidR="00384F6F" w:rsidRPr="00CA2941" w:rsidRDefault="00384F6F">
            <w:pPr>
              <w:widowControl w:val="0"/>
              <w:pBdr>
                <w:top w:val="nil"/>
                <w:left w:val="nil"/>
                <w:bottom w:val="nil"/>
                <w:right w:val="nil"/>
                <w:between w:val="nil"/>
              </w:pBdr>
              <w:spacing w:line="276" w:lineRule="auto"/>
              <w:rPr>
                <w:rFonts w:asciiTheme="majorBidi" w:hAnsiTheme="majorBidi" w:cstheme="majorBidi"/>
                <w:sz w:val="20"/>
                <w:szCs w:val="20"/>
              </w:rPr>
            </w:pPr>
          </w:p>
        </w:tc>
      </w:tr>
      <w:tr w:rsidR="00384F6F" w:rsidRPr="00CA2941" w14:paraId="126C59C9" w14:textId="77777777">
        <w:trPr>
          <w:trHeight w:val="420"/>
        </w:trPr>
        <w:tc>
          <w:tcPr>
            <w:tcW w:w="4335" w:type="dxa"/>
            <w:shd w:val="clear" w:color="auto" w:fill="D9D9D9"/>
            <w:tcMar>
              <w:top w:w="20" w:type="dxa"/>
              <w:left w:w="20" w:type="dxa"/>
              <w:bottom w:w="100" w:type="dxa"/>
              <w:right w:w="20" w:type="dxa"/>
            </w:tcMar>
          </w:tcPr>
          <w:p w14:paraId="5DD26283"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DASware</w:t>
            </w:r>
            <w:proofErr w:type="spellEnd"/>
            <w:r w:rsidRPr="00CA2941">
              <w:rPr>
                <w:rFonts w:asciiTheme="majorBidi" w:hAnsiTheme="majorBidi" w:cstheme="majorBidi"/>
                <w:sz w:val="20"/>
                <w:szCs w:val="20"/>
              </w:rPr>
              <w:t xml:space="preserve"> Software</w:t>
            </w:r>
          </w:p>
        </w:tc>
        <w:tc>
          <w:tcPr>
            <w:tcW w:w="2355" w:type="dxa"/>
            <w:shd w:val="clear" w:color="auto" w:fill="D9D9D9"/>
            <w:tcMar>
              <w:top w:w="20" w:type="dxa"/>
              <w:left w:w="20" w:type="dxa"/>
              <w:bottom w:w="100" w:type="dxa"/>
              <w:right w:w="20" w:type="dxa"/>
            </w:tcMar>
          </w:tcPr>
          <w:p w14:paraId="6B1A33FF"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Eppendorf</w:t>
            </w:r>
          </w:p>
        </w:tc>
        <w:tc>
          <w:tcPr>
            <w:tcW w:w="2625" w:type="dxa"/>
            <w:shd w:val="clear" w:color="auto" w:fill="D9D9D9"/>
            <w:tcMar>
              <w:top w:w="20" w:type="dxa"/>
              <w:left w:w="20" w:type="dxa"/>
              <w:bottom w:w="100" w:type="dxa"/>
              <w:right w:w="20" w:type="dxa"/>
            </w:tcMar>
          </w:tcPr>
          <w:p w14:paraId="6749B9DE"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N/A</w:t>
            </w:r>
          </w:p>
        </w:tc>
      </w:tr>
      <w:tr w:rsidR="00384F6F" w:rsidRPr="00CA2941" w14:paraId="53426DBE" w14:textId="77777777">
        <w:trPr>
          <w:trHeight w:val="405"/>
        </w:trPr>
        <w:tc>
          <w:tcPr>
            <w:tcW w:w="4335" w:type="dxa"/>
            <w:tcBorders>
              <w:top w:val="single" w:sz="8" w:space="0" w:color="000000"/>
              <w:bottom w:val="single" w:sz="8" w:space="0" w:color="000000"/>
            </w:tcBorders>
            <w:tcMar>
              <w:top w:w="20" w:type="dxa"/>
              <w:left w:w="20" w:type="dxa"/>
              <w:bottom w:w="100" w:type="dxa"/>
              <w:right w:w="20" w:type="dxa"/>
            </w:tcMar>
          </w:tcPr>
          <w:p w14:paraId="61BD2938" w14:textId="77777777" w:rsidR="00384F6F" w:rsidRPr="00CA2941" w:rsidRDefault="008E79C4">
            <w:pPr>
              <w:rPr>
                <w:rFonts w:asciiTheme="majorBidi" w:hAnsiTheme="majorBidi" w:cstheme="majorBidi"/>
                <w:b/>
                <w:sz w:val="20"/>
                <w:szCs w:val="20"/>
              </w:rPr>
            </w:pPr>
            <w:r w:rsidRPr="00CA2941">
              <w:rPr>
                <w:rFonts w:asciiTheme="majorBidi" w:hAnsiTheme="majorBidi" w:cstheme="majorBidi"/>
                <w:b/>
                <w:sz w:val="20"/>
                <w:szCs w:val="20"/>
              </w:rPr>
              <w:t>Cell lines</w:t>
            </w:r>
          </w:p>
        </w:tc>
        <w:tc>
          <w:tcPr>
            <w:tcW w:w="2355" w:type="dxa"/>
            <w:tcBorders>
              <w:top w:val="single" w:sz="8" w:space="0" w:color="000000"/>
              <w:bottom w:val="single" w:sz="8" w:space="0" w:color="000000"/>
            </w:tcBorders>
            <w:tcMar>
              <w:top w:w="20" w:type="dxa"/>
              <w:left w:w="20" w:type="dxa"/>
              <w:bottom w:w="100" w:type="dxa"/>
              <w:right w:w="20" w:type="dxa"/>
            </w:tcMar>
          </w:tcPr>
          <w:p w14:paraId="30E321D6" w14:textId="77777777" w:rsidR="00384F6F" w:rsidRPr="00CA2941" w:rsidRDefault="00384F6F">
            <w:pPr>
              <w:rPr>
                <w:rFonts w:asciiTheme="majorBidi" w:hAnsiTheme="majorBidi" w:cstheme="majorBidi"/>
                <w:sz w:val="20"/>
                <w:szCs w:val="20"/>
              </w:rPr>
            </w:pPr>
          </w:p>
        </w:tc>
        <w:tc>
          <w:tcPr>
            <w:tcW w:w="2625" w:type="dxa"/>
            <w:tcBorders>
              <w:top w:val="single" w:sz="8" w:space="0" w:color="000000"/>
              <w:bottom w:val="single" w:sz="8" w:space="0" w:color="000000"/>
            </w:tcBorders>
            <w:tcMar>
              <w:top w:w="20" w:type="dxa"/>
              <w:left w:w="20" w:type="dxa"/>
              <w:bottom w:w="100" w:type="dxa"/>
              <w:right w:w="20" w:type="dxa"/>
            </w:tcMar>
          </w:tcPr>
          <w:p w14:paraId="1495D614" w14:textId="77777777" w:rsidR="00384F6F" w:rsidRPr="00CA2941" w:rsidRDefault="00384F6F">
            <w:pPr>
              <w:widowControl w:val="0"/>
              <w:pBdr>
                <w:top w:val="nil"/>
                <w:left w:val="nil"/>
                <w:bottom w:val="nil"/>
                <w:right w:val="nil"/>
                <w:between w:val="nil"/>
              </w:pBdr>
              <w:spacing w:line="276" w:lineRule="auto"/>
              <w:rPr>
                <w:rFonts w:asciiTheme="majorBidi" w:hAnsiTheme="majorBidi" w:cstheme="majorBidi"/>
                <w:sz w:val="20"/>
                <w:szCs w:val="20"/>
              </w:rPr>
            </w:pPr>
          </w:p>
        </w:tc>
      </w:tr>
      <w:tr w:rsidR="00384F6F" w:rsidRPr="00CA2941" w14:paraId="128D250F" w14:textId="77777777">
        <w:trPr>
          <w:trHeight w:val="420"/>
        </w:trPr>
        <w:tc>
          <w:tcPr>
            <w:tcW w:w="4335" w:type="dxa"/>
            <w:shd w:val="clear" w:color="auto" w:fill="D9D9D9"/>
            <w:tcMar>
              <w:top w:w="20" w:type="dxa"/>
              <w:left w:w="20" w:type="dxa"/>
              <w:bottom w:w="100" w:type="dxa"/>
              <w:right w:w="20" w:type="dxa"/>
            </w:tcMar>
          </w:tcPr>
          <w:p w14:paraId="3678FFDF"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GM12878</w:t>
            </w:r>
          </w:p>
        </w:tc>
        <w:tc>
          <w:tcPr>
            <w:tcW w:w="2355" w:type="dxa"/>
            <w:shd w:val="clear" w:color="auto" w:fill="D9D9D9"/>
            <w:tcMar>
              <w:top w:w="20" w:type="dxa"/>
              <w:left w:w="20" w:type="dxa"/>
              <w:bottom w:w="100" w:type="dxa"/>
              <w:right w:w="20" w:type="dxa"/>
            </w:tcMar>
          </w:tcPr>
          <w:p w14:paraId="5AFCCC6D" w14:textId="77777777" w:rsidR="00384F6F" w:rsidRPr="00CA2941" w:rsidRDefault="008E79C4">
            <w:pPr>
              <w:rPr>
                <w:rFonts w:asciiTheme="majorBidi" w:hAnsiTheme="majorBidi" w:cstheme="majorBidi"/>
                <w:sz w:val="20"/>
                <w:szCs w:val="20"/>
              </w:rPr>
            </w:pPr>
            <w:proofErr w:type="spellStart"/>
            <w:r w:rsidRPr="00CA2941">
              <w:rPr>
                <w:rFonts w:asciiTheme="majorBidi" w:hAnsiTheme="majorBidi" w:cstheme="majorBidi"/>
                <w:sz w:val="20"/>
                <w:szCs w:val="20"/>
              </w:rPr>
              <w:t>Corriel</w:t>
            </w:r>
            <w:proofErr w:type="spellEnd"/>
            <w:r w:rsidRPr="00CA2941">
              <w:rPr>
                <w:rFonts w:asciiTheme="majorBidi" w:hAnsiTheme="majorBidi" w:cstheme="majorBidi"/>
                <w:sz w:val="20"/>
                <w:szCs w:val="20"/>
              </w:rPr>
              <w:t xml:space="preserve"> </w:t>
            </w:r>
            <w:proofErr w:type="spellStart"/>
            <w:r w:rsidRPr="00CA2941">
              <w:rPr>
                <w:rFonts w:asciiTheme="majorBidi" w:hAnsiTheme="majorBidi" w:cstheme="majorBidi"/>
                <w:sz w:val="20"/>
                <w:szCs w:val="20"/>
              </w:rPr>
              <w:t>Insitute</w:t>
            </w:r>
            <w:proofErr w:type="spellEnd"/>
          </w:p>
        </w:tc>
        <w:tc>
          <w:tcPr>
            <w:tcW w:w="2625" w:type="dxa"/>
            <w:shd w:val="clear" w:color="auto" w:fill="D9D9D9"/>
            <w:tcMar>
              <w:top w:w="20" w:type="dxa"/>
              <w:left w:w="20" w:type="dxa"/>
              <w:bottom w:w="100" w:type="dxa"/>
              <w:right w:w="20" w:type="dxa"/>
            </w:tcMar>
          </w:tcPr>
          <w:p w14:paraId="2F3B5734" w14:textId="77777777" w:rsidR="00384F6F" w:rsidRPr="00CA2941" w:rsidRDefault="008E79C4">
            <w:pPr>
              <w:rPr>
                <w:rFonts w:asciiTheme="majorBidi" w:hAnsiTheme="majorBidi" w:cstheme="majorBidi"/>
                <w:sz w:val="20"/>
                <w:szCs w:val="20"/>
              </w:rPr>
            </w:pPr>
            <w:r w:rsidRPr="00CA2941">
              <w:rPr>
                <w:rFonts w:asciiTheme="majorBidi" w:hAnsiTheme="majorBidi" w:cstheme="majorBidi"/>
                <w:sz w:val="20"/>
                <w:szCs w:val="20"/>
              </w:rPr>
              <w:t>N/A</w:t>
            </w:r>
          </w:p>
        </w:tc>
      </w:tr>
    </w:tbl>
    <w:p w14:paraId="4BD368A5" w14:textId="77777777" w:rsidR="00384F6F" w:rsidRPr="00CA2941" w:rsidRDefault="00384F6F">
      <w:pPr>
        <w:rPr>
          <w:rFonts w:asciiTheme="majorBidi" w:hAnsiTheme="majorBidi" w:cstheme="majorBidi"/>
          <w:highlight w:val="yellow"/>
        </w:rPr>
      </w:pPr>
    </w:p>
    <w:sectPr w:rsidR="00384F6F" w:rsidRPr="00CA29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6F"/>
    <w:rsid w:val="00142291"/>
    <w:rsid w:val="001C2107"/>
    <w:rsid w:val="001F767A"/>
    <w:rsid w:val="00344945"/>
    <w:rsid w:val="00384F6F"/>
    <w:rsid w:val="006373C9"/>
    <w:rsid w:val="008E79C4"/>
    <w:rsid w:val="00AD7809"/>
    <w:rsid w:val="00B060E0"/>
    <w:rsid w:val="00B90ADF"/>
    <w:rsid w:val="00C8344E"/>
    <w:rsid w:val="00CA2941"/>
    <w:rsid w:val="00D30B0F"/>
    <w:rsid w:val="00E4591F"/>
    <w:rsid w:val="00EE5D3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0A11"/>
  <w15:docId w15:val="{4615C480-0D13-F54B-A8F3-0676F379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83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li@kaust.edu.sa" TargetMode="External"/><Relationship Id="rId4" Type="http://schemas.openxmlformats.org/officeDocument/2006/relationships/hyperlink" Target="mailto:carlos.duarte@kaust.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 Klein</dc:creator>
  <cp:lastModifiedBy>Alexandra Steckbauer</cp:lastModifiedBy>
  <cp:revision>9</cp:revision>
  <dcterms:created xsi:type="dcterms:W3CDTF">2021-04-11T11:43:00Z</dcterms:created>
  <dcterms:modified xsi:type="dcterms:W3CDTF">2021-06-21T11:00:00Z</dcterms:modified>
</cp:coreProperties>
</file>