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23EAD" w14:textId="77777777" w:rsidR="001420A6" w:rsidRDefault="00290E49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drawing>
          <wp:inline distT="0" distB="0" distL="0" distR="0" wp14:anchorId="075B9E21" wp14:editId="60CDFBCD">
            <wp:extent cx="5274310" cy="31978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214D" w14:textId="77777777" w:rsidR="001420A6" w:rsidRDefault="00290E4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S1. </w:t>
      </w:r>
      <w:r>
        <w:rPr>
          <w:rFonts w:ascii="Times New Roman" w:hAnsi="Times New Roman" w:cs="Times New Roman"/>
          <w:sz w:val="24"/>
          <w:szCs w:val="28"/>
        </w:rPr>
        <w:t>Phenotypic comparison between (A) green leaf cotton X</w:t>
      </w:r>
      <w:r>
        <w:rPr>
          <w:rFonts w:ascii="Times New Roman" w:hAnsi="Times New Roman" w:cs="Times New Roman" w:hint="eastAsia"/>
          <w:sz w:val="24"/>
          <w:szCs w:val="28"/>
        </w:rPr>
        <w:t>in</w:t>
      </w:r>
      <w:r>
        <w:rPr>
          <w:rFonts w:ascii="Times New Roman" w:hAnsi="Times New Roman" w:cs="Times New Roman"/>
          <w:sz w:val="24"/>
          <w:szCs w:val="28"/>
        </w:rPr>
        <w:t>L</w:t>
      </w:r>
      <w:r>
        <w:rPr>
          <w:rFonts w:ascii="Times New Roman" w:hAnsi="Times New Roman" w:cs="Times New Roman" w:hint="eastAsia"/>
          <w:sz w:val="24"/>
          <w:szCs w:val="28"/>
        </w:rPr>
        <w:t>u</w:t>
      </w:r>
      <w:r>
        <w:rPr>
          <w:rFonts w:ascii="Times New Roman" w:hAnsi="Times New Roman" w:cs="Times New Roman"/>
          <w:sz w:val="24"/>
          <w:szCs w:val="28"/>
        </w:rPr>
        <w:t>Zao 61 and (B) red leaf cottonHuiyuan cultivars grown in natural light.</w:t>
      </w:r>
    </w:p>
    <w:p w14:paraId="2D19787E" w14:textId="77777777" w:rsidR="001420A6" w:rsidRDefault="00290E49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45303471" w14:textId="77777777" w:rsidR="001420A6" w:rsidRDefault="00290E49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32"/>
        </w:rPr>
        <w:lastRenderedPageBreak/>
        <w:drawing>
          <wp:inline distT="0" distB="0" distL="0" distR="0" wp14:anchorId="5941E0EE" wp14:editId="4F5EF529">
            <wp:extent cx="5274310" cy="5132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B581" w14:textId="77777777" w:rsidR="001420A6" w:rsidRDefault="00290E4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S2. </w:t>
      </w:r>
      <w:r>
        <w:rPr>
          <w:rFonts w:ascii="Times New Roman" w:hAnsi="Times New Roman" w:cs="Times New Roman"/>
          <w:sz w:val="24"/>
          <w:szCs w:val="28"/>
        </w:rPr>
        <w:t>Analysis of total anthocyanin concentrations of different tissues and organs from X61 (XinLuZao 61) and Huiyuan cultivars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grown in light conditions. RH: Hypocotyl of Huiyuan; GH: Hypocotyl </w:t>
      </w:r>
      <w:bookmarkStart w:id="0" w:name="_Hlk83379112"/>
      <w:r>
        <w:rPr>
          <w:rFonts w:ascii="Times New Roman" w:hAnsi="Times New Roman" w:cs="Times New Roman"/>
          <w:sz w:val="24"/>
          <w:szCs w:val="28"/>
        </w:rPr>
        <w:t>of X61</w:t>
      </w:r>
      <w:bookmarkEnd w:id="0"/>
      <w:r>
        <w:rPr>
          <w:rFonts w:ascii="Times New Roman" w:hAnsi="Times New Roman" w:cs="Times New Roman"/>
          <w:sz w:val="24"/>
          <w:szCs w:val="28"/>
        </w:rPr>
        <w:t>;</w:t>
      </w:r>
      <w:bookmarkStart w:id="1" w:name="_Hlk83379150"/>
      <w:r>
        <w:rPr>
          <w:rFonts w:ascii="Times New Roman" w:hAnsi="Times New Roman" w:cs="Times New Roman"/>
          <w:sz w:val="24"/>
          <w:szCs w:val="28"/>
        </w:rPr>
        <w:t xml:space="preserve"> RL: Leaves of Huiyuan; GL: Leaves of X61</w:t>
      </w:r>
      <w:bookmarkEnd w:id="1"/>
      <w:r>
        <w:rPr>
          <w:rFonts w:ascii="Times New Roman" w:hAnsi="Times New Roman" w:cs="Times New Roman"/>
          <w:sz w:val="24"/>
          <w:szCs w:val="28"/>
        </w:rPr>
        <w:t>; RP: Petals of Huiyuan; WP: Petals</w:t>
      </w:r>
      <w:r>
        <w:t xml:space="preserve"> </w:t>
      </w:r>
      <w:r>
        <w:rPr>
          <w:rFonts w:ascii="Times New Roman" w:hAnsi="Times New Roman" w:cs="Times New Roman"/>
          <w:sz w:val="24"/>
          <w:szCs w:val="28"/>
        </w:rPr>
        <w:t>of X61. Three biological replicates of each sample were analyzed. Data are expressed as the means ± SD, n = 3. The letters on top of the bars indicate significance with the same letters being insignificant according to one-way analysis of variance (ANOVA)</w:t>
      </w:r>
      <w:r>
        <w:t xml:space="preserve"> </w:t>
      </w:r>
      <w:r>
        <w:rPr>
          <w:rFonts w:ascii="Times New Roman" w:hAnsi="Times New Roman" w:cs="Times New Roman"/>
          <w:sz w:val="24"/>
          <w:szCs w:val="28"/>
        </w:rPr>
        <w:t>(P &lt; 0.05).</w:t>
      </w:r>
    </w:p>
    <w:p w14:paraId="173809A1" w14:textId="77777777" w:rsidR="001420A6" w:rsidRDefault="00290E49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BD63150" w14:textId="77777777" w:rsidR="001420A6" w:rsidRDefault="00290E49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lastRenderedPageBreak/>
        <w:drawing>
          <wp:inline distT="0" distB="0" distL="0" distR="0" wp14:anchorId="08EFF28D" wp14:editId="7838B7BA">
            <wp:extent cx="5274310" cy="29298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EC35F" w14:textId="77777777" w:rsidR="001420A6" w:rsidRDefault="00290E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S3.</w:t>
      </w:r>
      <w:r>
        <w:rPr>
          <w:rFonts w:ascii="Times New Roman" w:hAnsi="Times New Roman" w:cs="Times New Roman"/>
          <w:sz w:val="24"/>
          <w:szCs w:val="24"/>
        </w:rPr>
        <w:t xml:space="preserve"> Promoter alignment of </w:t>
      </w:r>
      <w:r>
        <w:rPr>
          <w:rFonts w:ascii="Times New Roman" w:hAnsi="Times New Roman" w:cs="Times New Roman"/>
          <w:i/>
          <w:iCs/>
          <w:sz w:val="24"/>
          <w:szCs w:val="24"/>
        </w:rPr>
        <w:t>GhPAP1D</w:t>
      </w:r>
      <w:r>
        <w:rPr>
          <w:rFonts w:ascii="Times New Roman" w:hAnsi="Times New Roman" w:cs="Times New Roman"/>
          <w:sz w:val="24"/>
          <w:szCs w:val="24"/>
        </w:rPr>
        <w:t xml:space="preserve"> from XinLuZao 61 (X61) and Huiyuan (HY). The blue font indicates repeated bases. The blue arrow indicates the SNP between Huiyuan and </w:t>
      </w:r>
      <w:r>
        <w:rPr>
          <w:rFonts w:ascii="Times New Roman" w:hAnsi="Times New Roman" w:cs="Times New Roman"/>
          <w:i/>
          <w:iCs/>
          <w:sz w:val="24"/>
          <w:szCs w:val="24"/>
        </w:rPr>
        <w:t>R1</w:t>
      </w:r>
      <w:r>
        <w:rPr>
          <w:rFonts w:ascii="Times New Roman" w:hAnsi="Times New Roman" w:cs="Times New Roman"/>
          <w:sz w:val="24"/>
          <w:szCs w:val="24"/>
        </w:rPr>
        <w:t xml:space="preserve"> promoter. The sequence between the two red arrows indicates a repeating region.</w:t>
      </w:r>
    </w:p>
    <w:p w14:paraId="7409F045" w14:textId="77777777" w:rsidR="001420A6" w:rsidRDefault="00290E4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538253" w14:textId="77777777" w:rsidR="001420A6" w:rsidRDefault="00290E49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lastRenderedPageBreak/>
        <w:drawing>
          <wp:inline distT="0" distB="0" distL="0" distR="0" wp14:anchorId="32ED56BA" wp14:editId="5624F6A9">
            <wp:extent cx="5274310" cy="2590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7C59" w14:textId="77777777" w:rsidR="001420A6" w:rsidRDefault="00290E49">
      <w:pPr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Supplementary Figure S4. </w:t>
      </w:r>
      <w:r>
        <w:rPr>
          <w:rFonts w:ascii="Times New Roman" w:hAnsi="Times New Roman" w:cs="Times New Roman"/>
          <w:sz w:val="24"/>
          <w:szCs w:val="28"/>
        </w:rPr>
        <w:t xml:space="preserve">Pearson correlation (A) and principal component analysis (B) between samples. HB, HR, and HW indicates samples treated by blue light, red light, and white light, respectively. </w:t>
      </w:r>
      <w:bookmarkStart w:id="2" w:name="_Hlk83379856"/>
      <w:r>
        <w:rPr>
          <w:rFonts w:ascii="Times New Roman" w:hAnsi="Times New Roman" w:cs="Times New Roman"/>
          <w:sz w:val="24"/>
          <w:szCs w:val="28"/>
        </w:rPr>
        <w:t>HB_1, HB_2,</w:t>
      </w:r>
      <w:r>
        <w:t xml:space="preserve"> </w:t>
      </w:r>
      <w:r>
        <w:rPr>
          <w:rFonts w:ascii="Times New Roman" w:hAnsi="Times New Roman" w:cs="Times New Roman"/>
          <w:sz w:val="24"/>
          <w:szCs w:val="28"/>
        </w:rPr>
        <w:t>HB_3;</w:t>
      </w:r>
      <w:bookmarkEnd w:id="2"/>
      <w:r>
        <w:rPr>
          <w:rFonts w:ascii="Times New Roman" w:hAnsi="Times New Roman" w:cs="Times New Roman"/>
          <w:sz w:val="24"/>
          <w:szCs w:val="28"/>
        </w:rPr>
        <w:t xml:space="preserve"> HR_1, HR_2, HR_3;</w:t>
      </w:r>
      <w:r>
        <w:t xml:space="preserve"> </w:t>
      </w:r>
      <w:r>
        <w:rPr>
          <w:rFonts w:ascii="Times New Roman" w:hAnsi="Times New Roman" w:cs="Times New Roman"/>
          <w:sz w:val="24"/>
          <w:szCs w:val="28"/>
        </w:rPr>
        <w:t>HW_1, HW_2, HW_3; represents three biological replicates for each treatment, respectively.</w:t>
      </w:r>
    </w:p>
    <w:p w14:paraId="359E4623" w14:textId="77777777" w:rsidR="001420A6" w:rsidRDefault="00290E49">
      <w:pPr>
        <w:widowControl/>
        <w:jc w:val="left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br w:type="page"/>
      </w:r>
    </w:p>
    <w:p w14:paraId="13F58475" w14:textId="767E38C0" w:rsidR="001420A6" w:rsidRDefault="00BA7D01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lastRenderedPageBreak/>
        <w:drawing>
          <wp:inline distT="0" distB="0" distL="0" distR="0" wp14:anchorId="63541E40" wp14:editId="465D9C94">
            <wp:extent cx="5274310" cy="79540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4AE1" w14:textId="77777777" w:rsidR="001420A6" w:rsidRDefault="00290E49">
      <w:pPr>
        <w:rPr>
          <w:rFonts w:ascii="Times New Roman" w:eastAsia="SimSun" w:hAnsi="Times New Roman" w:cs="Times New Roman"/>
          <w:sz w:val="24"/>
          <w:szCs w:val="24"/>
        </w:rPr>
      </w:pPr>
      <w:r w:rsidRPr="00BC33A4">
        <w:rPr>
          <w:rFonts w:ascii="Times New Roman" w:eastAsia="SimSun" w:hAnsi="Times New Roman" w:cs="Times New Roman"/>
          <w:b/>
          <w:bCs/>
          <w:color w:val="FF0000"/>
          <w:sz w:val="24"/>
          <w:szCs w:val="24"/>
        </w:rPr>
        <w:t>Supplementary Figure S5.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Expression analysis of 16 differentially expressed genes related to anthocyanin biosynthesis in Huiyuan treated with different light quality. A: Transcript levels and qRT-PCR results of 16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selected genes from RNA-sequencing. The </w:t>
      </w:r>
      <w:r>
        <w:rPr>
          <w:rFonts w:ascii="Times New Roman" w:eastAsia="SimSun" w:hAnsi="Times New Roman" w:cs="Times New Roman"/>
          <w:sz w:val="24"/>
          <w:szCs w:val="24"/>
        </w:rPr>
        <w:lastRenderedPageBreak/>
        <w:t>left y-axis shows the corresponding RNA-Seq expression data and the right y-axis indicates the relative gene expression levels analyzed by qRT-PCR. Each value in the histogram represents the mean ± standard error. B: The scatter plot of 16 selected genes based on the log2 of the gene expression ratios from qRT-PCR and RNA-seq results indicates the correlation between them. HW, HR, and HB indicates samples treated by white light, red light and blue light, respectively.</w:t>
      </w:r>
    </w:p>
    <w:p w14:paraId="6030736D" w14:textId="77777777" w:rsidR="001420A6" w:rsidRDefault="00290E49">
      <w:pPr>
        <w:widowControl/>
        <w:jc w:val="left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br w:type="page"/>
      </w:r>
    </w:p>
    <w:p w14:paraId="3DC906B2" w14:textId="77777777" w:rsidR="001420A6" w:rsidRDefault="00290E49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lastRenderedPageBreak/>
        <w:drawing>
          <wp:inline distT="0" distB="0" distL="0" distR="0" wp14:anchorId="1CBFF6A0" wp14:editId="0B6520BC">
            <wp:extent cx="5273040" cy="1940560"/>
            <wp:effectExtent l="0" t="0" r="381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BC4B" w14:textId="77777777" w:rsidR="001420A6" w:rsidRDefault="00290E49">
      <w:pPr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b/>
          <w:bCs/>
          <w:sz w:val="24"/>
          <w:szCs w:val="28"/>
        </w:rPr>
        <w:t>Supplementary Figure S6.</w:t>
      </w:r>
      <w:r>
        <w:rPr>
          <w:rFonts w:ascii="Times New Roman" w:eastAsia="SimSun" w:hAnsi="Times New Roman" w:cs="Times New Roman"/>
          <w:sz w:val="24"/>
          <w:szCs w:val="28"/>
        </w:rPr>
        <w:t xml:space="preserve"> Top 10 enriched Gene ontology (GO) classifications among the annotated DEGs in three pairwise comparisons (HB-vs-HW (left); HR-vs-HW (middle); and HB-vs-HR (right)). MF, CC, and BP represent molecular function, cellular component, and biological process, respectively. The Y-axis on the left represents GO entry names, and the X-axis indicates the enrichment gene ratio. Low q-values are shown in red, and high q-values are depicted in blue. Pathways with q-values less than 0.05 are significantly enriched. The size of the spot reflects the number of DEGs, and the color of the spot corresponds to different q-value ranges. HW, HR, and HB indicates samples treated by white light, red light, and blue light, respectively.</w:t>
      </w:r>
    </w:p>
    <w:p w14:paraId="3DCE7D16" w14:textId="77777777" w:rsidR="001420A6" w:rsidRDefault="00290E49">
      <w:pPr>
        <w:widowControl/>
        <w:jc w:val="left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br w:type="page"/>
      </w:r>
    </w:p>
    <w:p w14:paraId="35A187CA" w14:textId="77777777" w:rsidR="001420A6" w:rsidRDefault="00290E49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lastRenderedPageBreak/>
        <w:drawing>
          <wp:inline distT="0" distB="0" distL="0" distR="0" wp14:anchorId="41A58026" wp14:editId="0531FFF5">
            <wp:extent cx="5274310" cy="19888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31F36" w14:textId="77777777" w:rsidR="001420A6" w:rsidRDefault="00290E4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Supplementary Figure S7. </w:t>
      </w:r>
      <w:r>
        <w:rPr>
          <w:rFonts w:ascii="Times New Roman" w:eastAsia="SimSun" w:hAnsi="Times New Roman" w:cs="Times New Roman"/>
          <w:sz w:val="24"/>
          <w:szCs w:val="24"/>
        </w:rPr>
        <w:t>Top 20 enriched KEGG pathways among the annotated DEGs in three pairwise comparisons (</w:t>
      </w:r>
      <w:bookmarkStart w:id="3" w:name="_Hlk83315691"/>
      <w:r>
        <w:rPr>
          <w:rFonts w:ascii="Times New Roman" w:eastAsia="SimSun" w:hAnsi="Times New Roman" w:cs="Times New Roman"/>
          <w:sz w:val="24"/>
          <w:szCs w:val="24"/>
        </w:rPr>
        <w:t>HB-vs-HW (left);</w:t>
      </w:r>
      <w:bookmarkEnd w:id="3"/>
      <w:r>
        <w:rPr>
          <w:rFonts w:ascii="Times New Roman" w:eastAsia="SimSun" w:hAnsi="Times New Roman" w:cs="Times New Roman"/>
          <w:sz w:val="24"/>
          <w:szCs w:val="24"/>
        </w:rPr>
        <w:t xml:space="preserve"> HR-vs-HW (middle); and HB-vs-HR (right)). The Y-axis on the left represents KEGG pathways,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and the X-axis indicates the enrichment gene ratio. Low q-values are shown in red, and high q-values are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depicted in blue. Pathways with q-values less than 0.05 are significantly enriched. The size of the spot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reflects the number of DEGs, and the color of the spot corresponds to different q-value ranges. </w:t>
      </w:r>
      <w:bookmarkStart w:id="4" w:name="_Hlk91672091"/>
      <w:r>
        <w:rPr>
          <w:rFonts w:ascii="Times New Roman" w:eastAsia="SimSun" w:hAnsi="Times New Roman" w:cs="Times New Roman"/>
          <w:sz w:val="24"/>
          <w:szCs w:val="24"/>
        </w:rPr>
        <w:t>HW, HR,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and HB indicates samples treated by white light, red light, and blue light, respectively.</w:t>
      </w:r>
      <w:bookmarkEnd w:id="4"/>
    </w:p>
    <w:p w14:paraId="3D10CABC" w14:textId="018C4177" w:rsidR="001420A6" w:rsidRDefault="00290E49">
      <w:pPr>
        <w:widowControl/>
        <w:jc w:val="left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br w:type="page"/>
      </w:r>
    </w:p>
    <w:p w14:paraId="483E504F" w14:textId="77777777" w:rsidR="001420A6" w:rsidRDefault="00290E49">
      <w:pPr>
        <w:widowControl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32"/>
        </w:rPr>
        <w:lastRenderedPageBreak/>
        <w:drawing>
          <wp:inline distT="0" distB="0" distL="114300" distR="114300" wp14:anchorId="5BBE7E31" wp14:editId="35FBF5D8">
            <wp:extent cx="3082925" cy="2340610"/>
            <wp:effectExtent l="0" t="0" r="10795" b="6350"/>
            <wp:docPr id="3" name="图片 3" descr="原花色素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原花色素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C184" w14:textId="2E3DB51E" w:rsidR="00BA40E9" w:rsidRDefault="00290E49">
      <w:pPr>
        <w:widowControl/>
        <w:jc w:val="left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Supplementary Figure S</w:t>
      </w:r>
      <w:r w:rsidR="00BA40E9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8</w:t>
      </w:r>
      <w:r>
        <w:rPr>
          <w:rFonts w:ascii="Times New Roman" w:eastAsia="SimSun" w:hAnsi="Times New Roman" w:cs="Times New Roman" w:hint="eastAsia"/>
          <w:b/>
          <w:bCs/>
          <w:color w:val="FF0000"/>
          <w:sz w:val="24"/>
          <w:szCs w:val="28"/>
        </w:rPr>
        <w:t>.</w:t>
      </w:r>
      <w:r>
        <w:rPr>
          <w:rFonts w:ascii="Times New Roman" w:eastAsia="SimSu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eastAsia="SimSun" w:hAnsi="Times New Roman" w:cs="Times New Roman"/>
          <w:sz w:val="24"/>
          <w:szCs w:val="28"/>
        </w:rPr>
        <w:t>The content of proanthocyanidins in H</w:t>
      </w:r>
      <w:r>
        <w:rPr>
          <w:rFonts w:ascii="Times New Roman" w:eastAsia="SimSun" w:hAnsi="Times New Roman" w:cs="Times New Roman" w:hint="eastAsia"/>
          <w:sz w:val="24"/>
          <w:szCs w:val="28"/>
        </w:rPr>
        <w:t>uiyuan</w:t>
      </w:r>
      <w:r>
        <w:rPr>
          <w:rFonts w:ascii="Times New Roman" w:eastAsia="SimSun" w:hAnsi="Times New Roman" w:cs="Times New Roman"/>
          <w:sz w:val="24"/>
          <w:szCs w:val="28"/>
        </w:rPr>
        <w:t xml:space="preserve"> leaves after different light quality treatment. Different lower-case letters indicate signiﬁcant differences based on one-way analysis by the Duncan test (P &lt; 0.05). </w:t>
      </w:r>
      <w:r>
        <w:rPr>
          <w:rFonts w:ascii="Times New Roman" w:eastAsia="SimSun" w:hAnsi="Times New Roman" w:cs="Times New Roman"/>
          <w:sz w:val="24"/>
          <w:szCs w:val="24"/>
        </w:rPr>
        <w:t>HW, HR,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and HB indicates samples treated by white light, red light, and blue light, respectively.</w:t>
      </w:r>
      <w:r>
        <w:rPr>
          <w:rFonts w:ascii="Times New Roman" w:eastAsia="SimSun" w:hAnsi="Times New Roman" w:cs="Times New Roman"/>
          <w:sz w:val="24"/>
          <w:szCs w:val="28"/>
        </w:rPr>
        <w:t xml:space="preserve"> Three biological replicates of each sample were analyzed. Data are expressed as the means ± SD, n = 3.</w:t>
      </w:r>
    </w:p>
    <w:p w14:paraId="105A1D43" w14:textId="77777777" w:rsidR="00BA40E9" w:rsidRDefault="00BA40E9">
      <w:pPr>
        <w:widowControl/>
        <w:jc w:val="left"/>
        <w:rPr>
          <w:rFonts w:ascii="Times New Roman" w:eastAsia="SimSun" w:hAnsi="Times New Roman" w:cs="Times New Roman"/>
          <w:sz w:val="24"/>
          <w:szCs w:val="28"/>
        </w:rPr>
      </w:pPr>
      <w:r>
        <w:rPr>
          <w:rFonts w:ascii="Times New Roman" w:eastAsia="SimSun" w:hAnsi="Times New Roman" w:cs="Times New Roman"/>
          <w:sz w:val="24"/>
          <w:szCs w:val="28"/>
        </w:rPr>
        <w:br w:type="page"/>
      </w:r>
    </w:p>
    <w:p w14:paraId="628FF3C5" w14:textId="3C0A3E4E" w:rsidR="00BA40E9" w:rsidRPr="00BA40E9" w:rsidRDefault="00BA40E9" w:rsidP="00BA40E9">
      <w:pPr>
        <w:widowControl/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32"/>
        </w:rPr>
        <w:lastRenderedPageBreak/>
        <w:drawing>
          <wp:inline distT="0" distB="0" distL="0" distR="0" wp14:anchorId="0565C1A3" wp14:editId="59DFEC82">
            <wp:extent cx="5274310" cy="38881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B3D1" w14:textId="77777777" w:rsidR="00BA40E9" w:rsidRDefault="00BA40E9" w:rsidP="00BA40E9">
      <w:pPr>
        <w:rPr>
          <w:rFonts w:ascii="Times New Roman" w:eastAsia="SimSun" w:hAnsi="Times New Roman" w:cs="Times New Roman"/>
          <w:b/>
          <w:bCs/>
          <w:sz w:val="24"/>
          <w:szCs w:val="28"/>
        </w:rPr>
      </w:pPr>
      <w:bookmarkStart w:id="5" w:name="_Hlk91669186"/>
      <w:r>
        <w:rPr>
          <w:rFonts w:ascii="Times New Roman" w:eastAsia="SimSun" w:hAnsi="Times New Roman" w:cs="Times New Roman"/>
          <w:b/>
          <w:bCs/>
          <w:sz w:val="24"/>
          <w:szCs w:val="28"/>
        </w:rPr>
        <w:t xml:space="preserve">Supplementary Figure </w:t>
      </w:r>
      <w:r w:rsidRPr="00BA40E9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S9</w:t>
      </w:r>
      <w:r>
        <w:rPr>
          <w:rFonts w:ascii="Times New Roman" w:eastAsia="SimSun" w:hAnsi="Times New Roman" w:cs="Times New Roman" w:hint="eastAsia"/>
          <w:b/>
          <w:bCs/>
          <w:sz w:val="24"/>
          <w:szCs w:val="28"/>
        </w:rPr>
        <w:t>.</w:t>
      </w:r>
      <w:bookmarkEnd w:id="5"/>
      <w:r>
        <w:rPr>
          <w:rFonts w:ascii="Times New Roman" w:eastAsia="SimSu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eastAsia="SimSun" w:hAnsi="Times New Roman" w:cs="Times New Roman"/>
          <w:sz w:val="24"/>
          <w:szCs w:val="28"/>
        </w:rPr>
        <w:t>Relative expression of genes related to anthocyanin biosynthesis pathway</w:t>
      </w:r>
      <w:r>
        <w:rPr>
          <w:rFonts w:ascii="Times New Roman" w:eastAsia="SimSun" w:hAnsi="Times New Roman" w:cs="Times New Roman"/>
        </w:rPr>
        <w:t xml:space="preserve"> </w:t>
      </w:r>
      <w:r>
        <w:rPr>
          <w:rFonts w:ascii="Times New Roman" w:eastAsia="SimSun" w:hAnsi="Times New Roman" w:cs="Times New Roman"/>
          <w:sz w:val="24"/>
          <w:szCs w:val="28"/>
        </w:rPr>
        <w:t xml:space="preserve">of Control, </w:t>
      </w:r>
      <w:bookmarkStart w:id="6" w:name="_Hlk83313913"/>
      <w:r>
        <w:rPr>
          <w:rFonts w:ascii="Times New Roman" w:eastAsia="SimSun" w:hAnsi="Times New Roman" w:cs="Times New Roman"/>
          <w:i/>
          <w:iCs/>
          <w:sz w:val="24"/>
          <w:szCs w:val="28"/>
        </w:rPr>
        <w:t>TRV2::00</w:t>
      </w:r>
      <w:bookmarkEnd w:id="6"/>
      <w:r>
        <w:rPr>
          <w:rFonts w:ascii="Times New Roman" w:eastAsia="SimSun" w:hAnsi="Times New Roman" w:cs="Times New Roman"/>
          <w:sz w:val="24"/>
          <w:szCs w:val="28"/>
        </w:rPr>
        <w:t xml:space="preserve">, and </w:t>
      </w:r>
      <w:r>
        <w:rPr>
          <w:rFonts w:ascii="Times New Roman" w:eastAsia="SimSun" w:hAnsi="Times New Roman" w:cs="Times New Roman"/>
          <w:i/>
          <w:iCs/>
          <w:sz w:val="24"/>
          <w:szCs w:val="28"/>
        </w:rPr>
        <w:t>TRV2::GhHY5</w:t>
      </w:r>
      <w:r>
        <w:rPr>
          <w:rFonts w:ascii="Times New Roman" w:eastAsia="SimSun" w:hAnsi="Times New Roman" w:cs="Times New Roman"/>
          <w:sz w:val="24"/>
          <w:szCs w:val="28"/>
        </w:rPr>
        <w:t>.</w:t>
      </w:r>
      <w:r>
        <w:rPr>
          <w:rFonts w:ascii="Times New Roman" w:eastAsia="SimSun" w:hAnsi="Times New Roman" w:cs="Times New Roman"/>
          <w:b/>
          <w:bCs/>
          <w:sz w:val="24"/>
          <w:szCs w:val="28"/>
        </w:rPr>
        <w:t xml:space="preserve"> </w:t>
      </w:r>
      <w:bookmarkStart w:id="7" w:name="_Hlk83313757"/>
      <w:r>
        <w:rPr>
          <w:rFonts w:ascii="Times New Roman" w:eastAsia="SimSun" w:hAnsi="Times New Roman" w:cs="Times New Roman"/>
          <w:sz w:val="24"/>
          <w:szCs w:val="28"/>
        </w:rPr>
        <w:t>GhPAP1D: MYB transcription factor of Upland Cotton; GhCHI: chalcone isomerase of Upland Cotton; GhCHS: chalcone synthase of Upland Cotton;</w:t>
      </w:r>
      <w:bookmarkEnd w:id="7"/>
      <w:r>
        <w:rPr>
          <w:rFonts w:ascii="Times New Roman" w:eastAsia="SimSun" w:hAnsi="Times New Roman" w:cs="Times New Roman"/>
          <w:sz w:val="24"/>
          <w:szCs w:val="28"/>
        </w:rPr>
        <w:t xml:space="preserve"> GhANS: anthocyanidin synthase of Upland Cotton; GhANS: glutathione S-transferase F12 of Upland Cotton. Three biological replicates of each sample were analyzed. </w:t>
      </w:r>
      <w:r>
        <w:rPr>
          <w:rFonts w:ascii="Times New Roman" w:eastAsia="SimSun" w:hAnsi="Times New Roman" w:cs="Times New Roman"/>
          <w:i/>
          <w:iCs/>
          <w:sz w:val="24"/>
          <w:szCs w:val="28"/>
        </w:rPr>
        <w:t>GhUBQ7</w:t>
      </w:r>
      <w:r>
        <w:rPr>
          <w:rFonts w:ascii="Times New Roman" w:eastAsia="SimSun" w:hAnsi="Times New Roman" w:cs="Times New Roman"/>
          <w:sz w:val="24"/>
          <w:szCs w:val="28"/>
        </w:rPr>
        <w:t xml:space="preserve"> was used as a housekeeping gene. </w:t>
      </w:r>
      <w:bookmarkStart w:id="8" w:name="_Hlk91671830"/>
      <w:r>
        <w:rPr>
          <w:rFonts w:ascii="Times New Roman" w:eastAsia="SimSun" w:hAnsi="Times New Roman" w:cs="Times New Roman"/>
          <w:sz w:val="24"/>
          <w:szCs w:val="28"/>
        </w:rPr>
        <w:t>Three biological replicates of each sample were analyzed. Data are expressed as the means ± SD, n = 3.</w:t>
      </w:r>
      <w:bookmarkEnd w:id="8"/>
    </w:p>
    <w:p w14:paraId="3AF0EE66" w14:textId="77777777" w:rsidR="00BA40E9" w:rsidRPr="00BA40E9" w:rsidRDefault="00BA40E9">
      <w:pPr>
        <w:widowControl/>
        <w:jc w:val="left"/>
        <w:rPr>
          <w:rFonts w:ascii="Times New Roman" w:hAnsi="Times New Roman" w:cs="Times New Roman"/>
          <w:sz w:val="28"/>
          <w:szCs w:val="32"/>
        </w:rPr>
      </w:pPr>
    </w:p>
    <w:sectPr w:rsidR="00BA40E9" w:rsidRPr="00BA40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03442" w14:textId="77777777" w:rsidR="00445661" w:rsidRDefault="00445661" w:rsidP="00BA40E9">
      <w:r>
        <w:separator/>
      </w:r>
    </w:p>
  </w:endnote>
  <w:endnote w:type="continuationSeparator" w:id="0">
    <w:p w14:paraId="2DA3BB80" w14:textId="77777777" w:rsidR="00445661" w:rsidRDefault="00445661" w:rsidP="00BA4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AFD90" w14:textId="77777777" w:rsidR="00445661" w:rsidRDefault="00445661" w:rsidP="00BA40E9">
      <w:r>
        <w:separator/>
      </w:r>
    </w:p>
  </w:footnote>
  <w:footnote w:type="continuationSeparator" w:id="0">
    <w:p w14:paraId="36382BD8" w14:textId="77777777" w:rsidR="00445661" w:rsidRDefault="00445661" w:rsidP="00BA40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E96"/>
    <w:rsid w:val="00093893"/>
    <w:rsid w:val="000A1E96"/>
    <w:rsid w:val="000B52A1"/>
    <w:rsid w:val="000F6240"/>
    <w:rsid w:val="00102425"/>
    <w:rsid w:val="001420A6"/>
    <w:rsid w:val="00286B5C"/>
    <w:rsid w:val="00290E49"/>
    <w:rsid w:val="002C4EFC"/>
    <w:rsid w:val="00351A74"/>
    <w:rsid w:val="00367CC3"/>
    <w:rsid w:val="004226CD"/>
    <w:rsid w:val="00445661"/>
    <w:rsid w:val="0045331D"/>
    <w:rsid w:val="00487B1F"/>
    <w:rsid w:val="00576B98"/>
    <w:rsid w:val="006164CB"/>
    <w:rsid w:val="006543F2"/>
    <w:rsid w:val="006D19D6"/>
    <w:rsid w:val="00744039"/>
    <w:rsid w:val="0079522F"/>
    <w:rsid w:val="007A5C12"/>
    <w:rsid w:val="007D2F9B"/>
    <w:rsid w:val="008A06B1"/>
    <w:rsid w:val="008F0025"/>
    <w:rsid w:val="00926056"/>
    <w:rsid w:val="00A421BD"/>
    <w:rsid w:val="00A70270"/>
    <w:rsid w:val="00A763CF"/>
    <w:rsid w:val="00AA37DA"/>
    <w:rsid w:val="00AE39CE"/>
    <w:rsid w:val="00B433E0"/>
    <w:rsid w:val="00B53D27"/>
    <w:rsid w:val="00B86F93"/>
    <w:rsid w:val="00BA40E9"/>
    <w:rsid w:val="00BA7D01"/>
    <w:rsid w:val="00BC33A4"/>
    <w:rsid w:val="00DC23EF"/>
    <w:rsid w:val="00E31F4D"/>
    <w:rsid w:val="00E60D67"/>
    <w:rsid w:val="00EE5F40"/>
    <w:rsid w:val="00F35F0A"/>
    <w:rsid w:val="00F47413"/>
    <w:rsid w:val="00F9400C"/>
    <w:rsid w:val="17076F0D"/>
    <w:rsid w:val="7F4A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0EEA71"/>
  <w15:docId w15:val="{076F5925-A3B5-41B8-B64A-EE1B2AD7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SimSu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SimSu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667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邵 冬南</dc:creator>
  <cp:lastModifiedBy>Dylan Mills</cp:lastModifiedBy>
  <cp:revision>2</cp:revision>
  <dcterms:created xsi:type="dcterms:W3CDTF">2022-03-11T16:59:00Z</dcterms:created>
  <dcterms:modified xsi:type="dcterms:W3CDTF">2022-03-11T16:59:00Z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B69E4BC5A3A84B83AF648911A331200E</vt:lpwstr>
  </property>
</Properties>
</file>