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pplementaryMaterial"/>
        <w:spacing w:before="240" w:after="120"/>
        <w:rPr>
          <w:b w:val="false"/>
          <w:b w:val="false"/>
        </w:rPr>
      </w:pPr>
      <w:r>
        <w:rPr/>
        <w:t>Supplementary Material</w:t>
      </w:r>
    </w:p>
    <w:p>
      <w:pPr>
        <w:pStyle w:val="Heading1"/>
        <w:numPr>
          <w:ilvl w:val="0"/>
          <w:numId w:val="3"/>
        </w:numPr>
        <w:rPr/>
      </w:pPr>
      <w:r>
        <w:rPr/>
        <w:t>Supplementary Figures and Tables</w:t>
      </w:r>
    </w:p>
    <w:p>
      <w:pPr>
        <w:pStyle w:val="Normal"/>
        <w:rPr/>
      </w:pPr>
      <w:r>
        <w:rPr/>
        <w:drawing>
          <wp:inline distT="0" distB="0" distL="0" distR="0">
            <wp:extent cx="6092825" cy="1876425"/>
            <wp:effectExtent l="0" t="0" r="0" b="0"/>
            <wp:docPr id="1" name="Picture 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1"/>
        <w:rPr/>
      </w:pPr>
      <w:r>
        <w:rPr/>
        <w:t>Figure S</w:t>
      </w:r>
      <w:r>
        <w:rPr/>
        <w:fldChar w:fldCharType="begin"/>
      </w:r>
      <w:r>
        <w:rPr/>
        <w:instrText xml:space="preserve"> SEQ Figure_S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 xml:space="preserve"> Lake water elevation connectivity. Terminal lake (blue), east marginal lake (red), green supraglacial pond (green). Location is shown in Figure </w:t>
      </w:r>
      <w:r>
        <w:rPr/>
        <w:t>2</w:t>
      </w:r>
      <w:r>
        <w:rPr/>
        <w:t xml:space="preserve">. Daily precipitation (grey bars), air temperature at 15 minutes (grey line) and daily mean temperature (black line) are plotted in the right-hand side axis (same scale). </w:t>
      </w:r>
    </w:p>
    <w:p>
      <w:pPr>
        <w:pStyle w:val="AuthorList"/>
        <w:rPr/>
      </w:pPr>
      <w:r>
        <w:rPr/>
        <w:t>Table S1. Calibrated UAV camera parameters.</w:t>
      </w:r>
    </w:p>
    <w:tbl>
      <w:tblPr>
        <w:tblW w:w="89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"/>
        <w:gridCol w:w="1388"/>
        <w:gridCol w:w="831"/>
        <w:gridCol w:w="830"/>
        <w:gridCol w:w="829"/>
        <w:gridCol w:w="831"/>
        <w:gridCol w:w="830"/>
        <w:gridCol w:w="829"/>
        <w:gridCol w:w="831"/>
        <w:gridCol w:w="829"/>
      </w:tblGrid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sz w:val="2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 w:val="20"/>
                <w:szCs w:val="24"/>
                <w:lang w:val="en-GB" w:eastAsia="en-GB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Initial values</w:t>
            </w:r>
          </w:p>
        </w:tc>
        <w:tc>
          <w:tcPr>
            <w:tcW w:w="6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calibrated internal parameters</w:t>
            </w:r>
          </w:p>
        </w:tc>
      </w:tr>
      <w:tr>
        <w:trPr>
          <w:trHeight w:val="147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all surveys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2019.03.07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2019.03.21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2019.11.24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2019.12.16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2020.01.21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2020.02.20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2020.03.09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2020.05.28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10.633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10.554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10.523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10.524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10.540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10.549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10.500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10.485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10.537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Px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6.540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6.349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6.344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6.342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6.346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6.342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6.341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6.344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6.346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4.348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4.204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4.217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4.221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4.211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4.210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4.219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4.223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4.206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R1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0.033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0.028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0.030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0.029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0.031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0.030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0.026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R2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-0.209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-0.169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-0.177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-0.173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-0.165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-0.168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-0.176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-0.176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-0.163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R3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0.248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0.241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0.244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0.239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T1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T2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-0.006</w:t>
            </w:r>
          </w:p>
        </w:tc>
      </w:tr>
    </w:tbl>
    <w:p>
      <w:pPr>
        <w:pStyle w:val="Normal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</w:r>
    </w:p>
    <w:p>
      <w:pPr>
        <w:pStyle w:val="Normal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</w:r>
    </w:p>
    <w:p>
      <w:pPr>
        <w:pStyle w:val="Normal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</w:r>
    </w:p>
    <w:p>
      <w:pPr>
        <w:pStyle w:val="Caption1"/>
        <w:rPr/>
      </w:pPr>
      <w:r>
        <w:rPr/>
        <w:t>Table S2. Satellite images used in this study.</w:t>
      </w:r>
    </w:p>
    <w:tbl>
      <w:tblPr>
        <w:tblW w:w="479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268"/>
        <w:gridCol w:w="71"/>
        <w:gridCol w:w="1354"/>
        <w:gridCol w:w="1101"/>
      </w:tblGrid>
      <w:tr>
        <w:trPr>
          <w:trHeight w:val="765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Satellite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Acquisition date yyyy.mm.dd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Spatial resolution (m)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Landsat ETM+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2001.12.15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Landsat ETM+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2004.03.11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Landsat ETM+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2004.12.08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Landsat ETM+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2006.02.04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Landsat ETM+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2011.07.29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Rapid Eye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2010.03.04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Rapid Eye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2011.12.01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Rapid Eye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2013.07.07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Rapid Eye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2014.02.26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Rapid Eye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2015.02.27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Rapid Eye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2015.11.03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Rapid Eye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2016.02.29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Rapid Eye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2017.04.17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Rapid Eye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2018.08.31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Rapid Eye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2019.04.24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5</w:t>
            </w:r>
          </w:p>
        </w:tc>
      </w:tr>
    </w:tbl>
    <w:p>
      <w:pPr>
        <w:pStyle w:val="Caption1"/>
        <w:rPr/>
      </w:pPr>
      <w:r>
        <w:rPr/>
      </w:r>
    </w:p>
    <w:p>
      <w:pPr>
        <w:pStyle w:val="Caption1"/>
        <w:rPr/>
      </w:pPr>
      <w:r>
        <w:rPr/>
        <w:t>Table S3. Ablation rates derived from ablation stakes</w:t>
      </w:r>
    </w:p>
    <w:tbl>
      <w:tblPr>
        <w:tblW w:w="760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84"/>
        <w:gridCol w:w="514"/>
        <w:gridCol w:w="1039"/>
        <w:gridCol w:w="1039"/>
        <w:gridCol w:w="1040"/>
        <w:gridCol w:w="1041"/>
        <w:gridCol w:w="1040"/>
        <w:gridCol w:w="703"/>
      </w:tblGrid>
      <w:tr>
        <w:trPr>
          <w:trHeight w:val="255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color w:val="000000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</w:rPr>
              <w:t>mm we d</w:t>
            </w:r>
            <w:r>
              <w:rPr>
                <w:rFonts w:ascii="Times New Roman" w:hAnsi="Times New Roman"/>
                <w:szCs w:val="20"/>
                <w:vertAlign w:val="superscript"/>
              </w:rPr>
              <w:t>-1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dGNSS ice elevation m asl.</w:t>
            </w:r>
          </w:p>
        </w:tc>
      </w:tr>
      <w:tr>
        <w:trPr>
          <w:trHeight w:val="255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date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days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S1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S2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S3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S1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S2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S3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27/11/2019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06/12/2019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64.00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69.00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70.50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16/12/2019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122.40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112.05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79.20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22/01/2020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178.00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185.10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177.27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20/02/2020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29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102.41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92.61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81.62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177.36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184.30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09/03/2020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78.50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65.00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40.00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177.68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184.50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177.13</w:t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29/05/2020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81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75.11</w:t>
            </w:r>
            <w:r>
              <w:rPr>
                <w:rFonts w:ascii="Times New Roman" w:hAnsi="Times New Roman"/>
                <w:szCs w:val="20"/>
                <w:vertAlign w:val="superscript"/>
                <w:lang w:val="fr-CH"/>
              </w:rPr>
              <w:t>a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47.56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38.89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Table"/>
              <w:widowControl w:val="false"/>
              <w:spacing w:before="0" w:after="60"/>
              <w:rPr>
                <w:rFonts w:ascii="Times New Roman" w:hAnsi="Times New Roman"/>
                <w:szCs w:val="20"/>
                <w:lang w:val="fr-CH"/>
              </w:rPr>
            </w:pPr>
            <w:r>
              <w:rPr>
                <w:rFonts w:ascii="Times New Roman" w:hAnsi="Times New Roman"/>
                <w:szCs w:val="20"/>
                <w:lang w:val="fr-CH"/>
              </w:rPr>
              <w:t>-</w:t>
            </w:r>
          </w:p>
        </w:tc>
      </w:tr>
    </w:tbl>
    <w:p>
      <w:pPr>
        <w:pStyle w:val="Normal"/>
        <w:rPr/>
      </w:pPr>
      <w:r>
        <w:rPr>
          <w:vertAlign w:val="superscript"/>
        </w:rPr>
        <w:t xml:space="preserve">a </w:t>
      </w:r>
      <w:r>
        <w:rPr/>
        <w:t>supraglacial stream incised the ice near the stake</w:t>
      </w:r>
    </w:p>
    <w:p>
      <w:pPr>
        <w:pStyle w:val="Normal"/>
        <w:rPr/>
      </w:pPr>
      <w:r>
        <w:rPr/>
        <w:t>Ablation stakes reading were converted to mm w.e. d</w:t>
      </w:r>
      <w:r>
        <w:rPr>
          <w:vertAlign w:val="superscript"/>
        </w:rPr>
        <w:t>-1</w:t>
      </w:r>
      <w:r>
        <w:rPr/>
        <w:t xml:space="preserve"> considering an ice density of 900 kg </w:t>
      </w:r>
      <w:bookmarkStart w:id="0" w:name="_GoBack"/>
      <w:bookmarkEnd w:id="0"/>
      <w:r>
        <w:rPr/>
        <w:t>m</w:t>
      </w:r>
      <w:r>
        <w:rPr>
          <w:vertAlign w:val="superscript"/>
        </w:rPr>
        <w:t>-3</w:t>
      </w:r>
      <w:r>
        <w:rPr/>
        <w:t>.</w:t>
      </w:r>
    </w:p>
    <w:p>
      <w:pPr>
        <w:pStyle w:val="AuthorList"/>
        <w:rPr/>
      </w:pPr>
      <w:r>
        <w:rPr/>
        <w:t>References</w:t>
      </w:r>
    </w:p>
    <w:p>
      <w:pPr>
        <w:pStyle w:val="EndNoteBibliography"/>
        <w:spacing w:before="0" w:after="0"/>
        <w:ind w:left="720" w:hanging="720"/>
        <w:rPr/>
      </w:pPr>
      <w:r>
        <w:fldChar w:fldCharType="begin"/>
      </w:r>
      <w:r>
        <w:rPr/>
        <w:instrText xml:space="preserve">ADDIN EN.SECTION.REFLIST</w:instrText>
      </w:r>
      <w:r>
        <w:rPr/>
      </w:r>
      <w:r>
        <w:rPr/>
        <w:fldChar w:fldCharType="separate"/>
      </w:r>
      <w:r>
        <w:rPr/>
        <w:t xml:space="preserve">Dussaillant, I., Berthier, E., Brun, F., Masiokas, M., Hugonnet, R., Favier, V., and others. (2019a). </w:t>
      </w:r>
      <w:r>
        <w:rPr>
          <w:i/>
        </w:rPr>
        <w:t>South American Andes elevation changes from 2000 to 2018, links to GeoTIFFs</w:t>
      </w:r>
      <w:r>
        <w:rPr/>
        <w:t xml:space="preserve">. Retrieved from: </w:t>
      </w:r>
      <w:hyperlink r:id="rId3">
        <w:r>
          <w:rPr>
            <w:rStyle w:val="InternetLink"/>
          </w:rPr>
          <w:t>https://doi.org/10.1594/PANGAEA.903618</w:t>
        </w:r>
      </w:hyperlink>
    </w:p>
    <w:p>
      <w:pPr>
        <w:pStyle w:val="EndNoteBibliography"/>
        <w:spacing w:before="0" w:after="0"/>
        <w:ind w:left="720" w:hanging="720"/>
        <w:rPr/>
      </w:pPr>
      <w:r>
        <w:rPr/>
        <w:t xml:space="preserve">Dussaillant, I., Berthier, E., Brun, F., Masiokas, M., Hugonnet, R., Favier, V., and others. (2019b). Two decades of glacier mass loss along the Andes. </w:t>
      </w:r>
      <w:r>
        <w:rPr>
          <w:i/>
        </w:rPr>
        <w:t>Nature Geoscience, 12</w:t>
      </w:r>
      <w:r>
        <w:rPr/>
        <w:t>(10), 802-808. doi:10.1038/s41561-019-0432-5</w:t>
      </w:r>
    </w:p>
    <w:p>
      <w:pPr>
        <w:pStyle w:val="EndNoteBibliography"/>
        <w:spacing w:before="0" w:after="0"/>
        <w:ind w:left="720" w:hanging="720"/>
        <w:rPr/>
      </w:pPr>
      <w:r>
        <w:rPr/>
        <w:t xml:space="preserve">Farinotti, D., Huss, M., Fürst, J. J., Landmann, J., Machguth, H., Maussion, F., &amp; Pandit, A. (2019). A consensus estimate for the ice thickness distribution of all glaciers on Earth. </w:t>
      </w:r>
      <w:r>
        <w:rPr>
          <w:i/>
        </w:rPr>
        <w:t>Nature Geoscience, 12</w:t>
      </w:r>
      <w:r>
        <w:rPr/>
        <w:t>(3), 168-173. doi:10.1038/s41561-019-0300-3</w:t>
      </w:r>
    </w:p>
    <w:p>
      <w:pPr>
        <w:pStyle w:val="EndNoteBibliography"/>
        <w:spacing w:before="0" w:after="60"/>
        <w:ind w:left="720" w:hanging="720"/>
        <w:rPr/>
      </w:pPr>
      <w:r>
        <w:rPr/>
        <w:t>Gardner, A. S., Fahnestock, M. A., &amp; Scambos, T. A. (2019). [accessed March 2021]: ITS_LIVE Regional Glacier and Ice Sheet Surface Velocities. Data archived at National Snow and Ice Data Center. doi:10.5067/6II6VW8LLWJ7</w:t>
      </w:r>
      <w:r>
        <w:rPr/>
      </w:r>
      <w:r>
        <w:rPr/>
        <w:fldChar w:fldCharType="end"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type w:val="nextPage"/>
      <w:pgSz w:w="12240" w:h="15840"/>
      <w:pgMar w:left="1282" w:right="1181" w:gutter="0" w:header="720" w:top="1138" w:footer="720" w:bottom="113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Garamond">
    <w:charset w:val="01"/>
    <w:family w:val="roman"/>
    <w:pitch w:val="default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20" w:after="240"/>
      <w:rPr>
        <w:color w:val="C00000"/>
        <w:szCs w:val="24"/>
      </w:rPr>
    </w:pPr>
    <w:r>
      <w:rPr>
        <w:color w:val="C00000"/>
        <w:szCs w:val="24"/>
      </w:rPr>
      <mc:AlternateContent>
        <mc:Choice Requires="wps">
          <w:drawing>
            <wp:anchor behindDoc="1" distT="0" distB="0" distL="0" distR="0" simplePos="0" locked="0" layoutInCell="0" allowOverlap="1" relativeHeight="6" wp14:anchorId="382EAD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4163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341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20" w:after="240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Cs w:val="40"/>
                              <w:color w:val="000000"/>
                            </w:rPr>
                            <w:instrText xml:space="preserve"> PAGE \* ARABIC </w:instrText>
                          </w:r>
                          <w:r>
                            <w:rPr>
                              <w:szCs w:val="4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Cs w:val="40"/>
                              <w:color w:val="000000"/>
                            </w:rPr>
                            <w:t>2</w:t>
                          </w:r>
                          <w:r>
                            <w:rPr>
                              <w:szCs w:val="4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70pt;margin-top:0pt;width:118.75pt;height:26.85pt;mso-wrap-style:square;v-text-anchor:top;mso-position-horizontal:right;mso-position-horizontal-relative:margin;mso-position-vertical:top" wp14:anchorId="382EAD14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spacing w:before="120" w:after="240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szCs w:val="40"/>
                        <w:color w:val="000000"/>
                      </w:rPr>
                      <w:instrText xml:space="preserve"> PAGE \* ARABIC </w:instrText>
                    </w:r>
                    <w:r>
                      <w:rPr>
                        <w:szCs w:val="40"/>
                        <w:color w:val="000000"/>
                      </w:rPr>
                      <w:fldChar w:fldCharType="separate"/>
                    </w:r>
                    <w:r>
                      <w:rPr>
                        <w:szCs w:val="40"/>
                        <w:color w:val="000000"/>
                      </w:rPr>
                      <w:t>2</w:t>
                    </w:r>
                    <w:r>
                      <w:rPr>
                        <w:szCs w:val="4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20" w:after="240"/>
      <w:rPr>
        <w:b/>
        <w:b/>
        <w:sz w:val="20"/>
        <w:szCs w:val="24"/>
      </w:rPr>
    </w:pPr>
    <w:r>
      <w:rPr>
        <w:b/>
        <w:sz w:val="20"/>
        <w:szCs w:val="24"/>
      </w:rPr>
      <mc:AlternateContent>
        <mc:Choice Requires="wps">
          <w:drawing>
            <wp:anchor behindDoc="1" distT="0" distB="0" distL="0" distR="0" simplePos="0" locked="0" layoutInCell="0" allowOverlap="1" relativeHeight="4" wp14:anchorId="70F9F55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41630"/>
              <wp:effectExtent l="0" t="0" r="0" b="0"/>
              <wp:wrapNone/>
              <wp:docPr id="5" name="Text Box 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341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20" w:after="240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Cs w:val="40"/>
                              <w:color w:val="000000"/>
                            </w:rPr>
                            <w:instrText xml:space="preserve"> PAGE \* ARABIC </w:instrText>
                          </w:r>
                          <w:r>
                            <w:rPr>
                              <w:szCs w:val="4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Cs w:val="40"/>
                              <w:color w:val="000000"/>
                            </w:rPr>
                            <w:t>3</w:t>
                          </w:r>
                          <w:r>
                            <w:rPr>
                              <w:szCs w:val="4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6" path="m0,0l-2147483645,0l-2147483645,-2147483646l0,-2147483646xe" stroked="f" o:allowincell="f" style="position:absolute;margin-left:370pt;margin-top:0pt;width:118.75pt;height:26.85pt;mso-wrap-style:square;v-text-anchor:top;mso-position-horizontal:right;mso-position-horizontal-relative:margin;mso-position-vertical:top" wp14:anchorId="70F9F55F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spacing w:before="120" w:after="240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szCs w:val="40"/>
                        <w:color w:val="000000"/>
                      </w:rPr>
                      <w:instrText xml:space="preserve"> PAGE \* ARABIC </w:instrText>
                    </w:r>
                    <w:r>
                      <w:rPr>
                        <w:szCs w:val="40"/>
                        <w:color w:val="000000"/>
                      </w:rPr>
                      <w:fldChar w:fldCharType="separate"/>
                    </w:r>
                    <w:r>
                      <w:rPr>
                        <w:szCs w:val="40"/>
                        <w:color w:val="000000"/>
                      </w:rPr>
                      <w:t>3</w:t>
                    </w:r>
                    <w:r>
                      <w:rPr>
                        <w:szCs w:val="4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20" w:after="240"/>
      <w:rPr>
        <w:rFonts w:cs="Times New Roman"/>
      </w:rPr>
    </w:pPr>
    <w:r>
      <w:rPr>
        <w:rFonts w:cs="Times New Roman"/>
      </w:rPr>
      <w:tab/>
      <w:tab/>
      <w:t>Supplementary Material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120" w:after="24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40" w:before="120" w:after="240"/>
      <w:jc w:val="left"/>
      <w:rPr/>
    </w:pPr>
    <w:r>
      <w:rPr/>
      <w:drawing>
        <wp:inline distT="0" distB="0" distL="0" distR="0">
          <wp:extent cx="1382395" cy="497205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567"/>
        </w:tabs>
        <w:ind w:left="567" w:hanging="567"/>
      </w:pPr>
      <w:rPr/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567"/>
        </w:tabs>
        <w:ind w:left="567" w:hanging="567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567"/>
        </w:tabs>
        <w:ind w:left="567" w:hanging="567"/>
      </w:pPr>
      <w:rPr/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/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/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/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/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/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/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/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/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/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/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2" w:semiHidden="1" w:unhideWhenUsed="1" w:qFormat="1"/>
    <w:lsdException w:name="heading 5" w:uiPriority="2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6715"/>
    <w:pPr>
      <w:widowControl/>
      <w:bidi w:val="0"/>
      <w:spacing w:lineRule="auto" w:line="240" w:before="120" w:after="24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ilvl w:val="0"/>
        <w:numId w:val="3"/>
      </w:numPr>
      <w:spacing w:before="240" w:after="120"/>
      <w:contextualSpacing w:val="false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  <w:numId w:val="1"/>
      </w:numPr>
      <w:spacing w:before="240" w:after="200"/>
      <w:outlineLvl w:val="1"/>
    </w:pPr>
    <w:rPr/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 w:val="true"/>
      <w:keepLines/>
      <w:numPr>
        <w:ilvl w:val="2"/>
        <w:numId w:val="3"/>
      </w:numPr>
      <w:spacing w:before="40" w:after="120"/>
      <w:outlineLvl w:val="2"/>
    </w:pPr>
    <w:rPr>
      <w:rFonts w:eastAsia="" w:cs="" w:cstheme="majorBidi" w:eastAsiaTheme="majorEastAsia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  <w:numId w:val="1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  <w:numId w:val="1"/>
      </w:numPr>
      <w:outlineLvl w:val="4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2"/>
    <w:qFormat/>
    <w:rsid w:val="00ab6715"/>
    <w:rPr>
      <w:rFonts w:ascii="Times New Roman" w:hAnsi="Times New Roman" w:eastAsia="Cambria" w:cs="Times New Roman"/>
      <w:b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2"/>
    <w:qFormat/>
    <w:rsid w:val="00ab6715"/>
    <w:rPr>
      <w:rFonts w:ascii="Times New Roman" w:hAnsi="Times New Roman" w:eastAsia="Cambria" w:cs="Times New Roman"/>
      <w:b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qFormat/>
    <w:rsid w:val="00ab6715"/>
    <w:rPr>
      <w:rFonts w:ascii="Times New Roman" w:hAnsi="Times New Roman" w:cs="Times New Roman"/>
      <w:b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6715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b6715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 w:customStyle="1">
    <w:name w:val="Endnote Text Char"/>
    <w:basedOn w:val="DefaultParagraphFont"/>
    <w:link w:val="Endnote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VisitedInternet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b6715"/>
    <w:rPr>
      <w:rFonts w:ascii="Times New Roman" w:hAnsi="Times New Roman"/>
      <w:sz w:val="24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b6715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 w:customStyle="1">
    <w:name w:val="Footnote Text Char"/>
    <w:basedOn w:val="DefaultParagraphFont"/>
    <w:link w:val="Footnote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b6715"/>
    <w:rPr>
      <w:rFonts w:ascii="Times New Roman" w:hAnsi="Times New Roman"/>
      <w:b/>
      <w:sz w:val="24"/>
    </w:rPr>
  </w:style>
  <w:style w:type="character" w:styleId="Internet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qFormat/>
    <w:rsid w:val="00ab6715"/>
    <w:rPr/>
  </w:style>
  <w:style w:type="character" w:styleId="Heading3Char" w:customStyle="1">
    <w:name w:val="Heading 3 Char"/>
    <w:basedOn w:val="DefaultParagraphFont"/>
    <w:link w:val="Heading3"/>
    <w:uiPriority w:val="2"/>
    <w:qFormat/>
    <w:rsid w:val="00ab6715"/>
    <w:rPr>
      <w:rFonts w:ascii="Times New Roman" w:hAnsi="Times New Roman" w:eastAsia="" w:cs="" w:cstheme="majorBidi" w:eastAsiaTheme="majorEastAsia"/>
      <w:b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2"/>
    <w:qFormat/>
    <w:rsid w:val="00ab6715"/>
    <w:rPr>
      <w:rFonts w:ascii="Times New Roman" w:hAnsi="Times New Roman" w:eastAsia="" w:cs="" w:cstheme="majorBidi" w:eastAsiaTheme="majorEastAsia"/>
      <w:b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2"/>
    <w:qFormat/>
    <w:rsid w:val="00ab6715"/>
    <w:rPr>
      <w:rFonts w:ascii="Times New Roman" w:hAnsi="Times New Roman" w:eastAsia="" w:cs="" w:cstheme="majorBidi" w:eastAsiaTheme="majorEastAsia"/>
      <w:b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qFormat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character" w:styleId="TitleChar" w:customStyle="1">
    <w:name w:val="Title Char"/>
    <w:basedOn w:val="DefaultParagraphFont"/>
    <w:link w:val="Title"/>
    <w:qFormat/>
    <w:rsid w:val="00ab6715"/>
    <w:rPr>
      <w:rFonts w:ascii="Times New Roman" w:hAnsi="Times New Roman" w:cs="Times New Roman"/>
      <w:b/>
      <w:sz w:val="32"/>
      <w:szCs w:val="32"/>
    </w:rPr>
  </w:style>
  <w:style w:type="character" w:styleId="EndNoteBibliographyChar" w:customStyle="1">
    <w:name w:val="EndNote Bibliography Char"/>
    <w:basedOn w:val="DefaultParagraphFont"/>
    <w:link w:val="EndNoteBibliography"/>
    <w:qFormat/>
    <w:rsid w:val="006a742b"/>
    <w:rPr>
      <w:rFonts w:ascii="Garamond" w:hAnsi="Garamond" w:cs="Times New Roman"/>
      <w:lang w:val="en-GB" w:eastAsia="fr-CH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Mangal"/>
      <w:lang w:val="zxx" w:eastAsia="zxx" w:bidi="zxx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 w:after="240"/>
    </w:pPr>
    <w:rPr>
      <w:rFonts w:cs="Times New Roman"/>
      <w:b/>
      <w:szCs w:val="24"/>
    </w:rPr>
  </w:style>
  <w:style w:type="paragraph" w:styleId="AuthorList" w:customStyle="1">
    <w:name w:val="Author List"/>
    <w:basedOn w:val="Subtitle"/>
    <w:next w:val="Normal"/>
    <w:uiPriority w:val="1"/>
    <w:qFormat/>
    <w:rsid w:val="00ab6715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b6715"/>
    <w:pPr>
      <w:spacing w:before="120" w:after="0"/>
    </w:pPr>
    <w:rPr>
      <w:rFonts w:ascii="Tahoma" w:hAnsi="Tahoma" w:cs="Tahoma"/>
      <w:sz w:val="16"/>
      <w:szCs w:val="16"/>
    </w:rPr>
  </w:style>
  <w:style w:type="paragraph" w:styleId="Caption1">
    <w:name w:val="caption"/>
    <w:basedOn w:val="Normal"/>
    <w:next w:val="NoSpacing"/>
    <w:uiPriority w:val="35"/>
    <w:unhideWhenUsed/>
    <w:qFormat/>
    <w:rsid w:val="00ab6715"/>
    <w:pPr>
      <w:keepNext w:val="true"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b67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b6715"/>
    <w:pPr/>
    <w:rPr>
      <w:b/>
      <w:bCs/>
    </w:rPr>
  </w:style>
  <w:style w:type="paragraph" w:styleId="Endnote">
    <w:name w:val="Endnote Text"/>
    <w:basedOn w:val="Normal"/>
    <w:link w:val="EndnoteTextChar"/>
    <w:uiPriority w:val="99"/>
    <w:semiHidden/>
    <w:unhideWhenUsed/>
    <w:rsid w:val="00ab6715"/>
    <w:pPr>
      <w:spacing w:before="120" w:after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lear" w:pos="720"/>
        <w:tab w:val="center" w:pos="4844" w:leader="none"/>
        <w:tab w:val="right" w:pos="9689" w:leader="none"/>
      </w:tabs>
      <w:spacing w:before="120" w:after="0"/>
    </w:pPr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ab6715"/>
    <w:pPr>
      <w:spacing w:before="12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lear" w:pos="720"/>
        <w:tab w:val="center" w:pos="4844" w:leader="none"/>
        <w:tab w:val="right" w:pos="9689" w:leader="none"/>
      </w:tabs>
    </w:pPr>
    <w:rPr>
      <w:b/>
    </w:rPr>
  </w:style>
  <w:style w:type="paragraph" w:styleId="ListParagraph">
    <w:name w:val="List Paragraph"/>
    <w:basedOn w:val="Normal"/>
    <w:uiPriority w:val="3"/>
    <w:qFormat/>
    <w:rsid w:val="00ab6715"/>
    <w:pPr>
      <w:numPr>
        <w:ilvl w:val="0"/>
        <w:numId w:val="2"/>
      </w:numPr>
      <w:spacing w:before="120" w:after="240"/>
      <w:contextualSpacing/>
    </w:pPr>
    <w:rPr>
      <w:rFonts w:eastAsia="Cambria" w:cs="Times New Roman"/>
      <w:szCs w:val="24"/>
    </w:rPr>
  </w:style>
  <w:style w:type="paragraph" w:styleId="NormalWeb">
    <w:name w:val="Normal (Web)"/>
    <w:basedOn w:val="Normal"/>
    <w:uiPriority w:val="99"/>
    <w:unhideWhenUsed/>
    <w:qFormat/>
    <w:rsid w:val="00ab6715"/>
    <w:pPr>
      <w:spacing w:beforeAutospacing="1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SupplementaryMaterial" w:customStyle="1">
    <w:name w:val="Supplementary Material"/>
    <w:basedOn w:val="Title"/>
    <w:next w:val="Title"/>
    <w:qFormat/>
    <w:rsid w:val="0001436a"/>
    <w:pPr>
      <w:spacing w:before="240" w:after="120"/>
    </w:pPr>
    <w:rPr>
      <w:i/>
    </w:rPr>
  </w:style>
  <w:style w:type="paragraph" w:styleId="Figure" w:customStyle="1">
    <w:name w:val="figure"/>
    <w:basedOn w:val="Normal"/>
    <w:qFormat/>
    <w:rsid w:val="006a742b"/>
    <w:pPr>
      <w:suppressAutoHyphens w:val="true"/>
      <w:spacing w:before="0" w:after="60"/>
      <w:jc w:val="both"/>
    </w:pPr>
    <w:rPr>
      <w:rFonts w:ascii="Garamond" w:hAnsi="Garamond" w:eastAsia="" w:cs="Times New Roman" w:eastAsiaTheme="minorEastAsia"/>
      <w:b/>
      <w:color w:val="000000" w:themeColor="text1"/>
      <w:sz w:val="20"/>
      <w:szCs w:val="18"/>
      <w:lang w:val="en-GB" w:eastAsia="fr-CH"/>
    </w:rPr>
  </w:style>
  <w:style w:type="paragraph" w:styleId="EndNoteBibliography" w:customStyle="1">
    <w:name w:val="EndNote Bibliography"/>
    <w:basedOn w:val="Normal"/>
    <w:link w:val="EndNoteBibliographyChar"/>
    <w:qFormat/>
    <w:rsid w:val="006a742b"/>
    <w:pPr>
      <w:suppressAutoHyphens w:val="true"/>
      <w:spacing w:before="0" w:after="60"/>
      <w:jc w:val="both"/>
    </w:pPr>
    <w:rPr>
      <w:rFonts w:ascii="Garamond" w:hAnsi="Garamond" w:cs="Times New Roman"/>
      <w:sz w:val="22"/>
      <w:lang w:val="en-GB" w:eastAsia="fr-CH"/>
    </w:rPr>
  </w:style>
  <w:style w:type="paragraph" w:styleId="Table" w:customStyle="1">
    <w:name w:val="table"/>
    <w:basedOn w:val="Normal"/>
    <w:qFormat/>
    <w:rsid w:val="006a742b"/>
    <w:pPr>
      <w:suppressAutoHyphens w:val="true"/>
      <w:spacing w:before="0" w:after="60"/>
      <w:jc w:val="both"/>
    </w:pPr>
    <w:rPr>
      <w:rFonts w:ascii="Garamond" w:hAnsi="Garamond" w:eastAsia="Times New Roman" w:cs="Times New Roman"/>
      <w:sz w:val="20"/>
      <w:lang w:val="en-GB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Headings" w:customStyle="1">
    <w:name w:val="Headings"/>
    <w:uiPriority w:val="99"/>
    <w:qFormat/>
    <w:rsid w:val="00ab6715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i.org/10.1594/PANGAEA.903618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BA9880-2148-4784-A63B-3BD3068B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Application>LibreOffice/7.3.1.3$Windows_X86_64 LibreOffice_project/a69ca51ded25f3eefd52d7bf9a5fad8c90b87951</Application>
  <AppVersion>15.0000</AppVersion>
  <Pages>3</Pages>
  <Words>469</Words>
  <Characters>2577</Characters>
  <CharactersWithSpaces>2829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dc:description/>
  <dc:language>es-CL</dc:language>
  <cp:lastModifiedBy>Inigo Irarrazaval</cp:lastModifiedBy>
  <cp:lastPrinted>2013-10-03T12:51:00Z</cp:lastPrinted>
  <dcterms:modified xsi:type="dcterms:W3CDTF">2022-03-23T10:23:21Z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