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ADFCD" w14:textId="75AF5F21" w:rsidR="00381141" w:rsidRPr="000725E5" w:rsidRDefault="007C459C" w:rsidP="00C02BFA">
      <w:pPr>
        <w:spacing w:line="240" w:lineRule="auto"/>
        <w:rPr>
          <w:b/>
        </w:rPr>
      </w:pPr>
      <w:r w:rsidRPr="001E6DAD">
        <w:rPr>
          <w:b/>
        </w:rPr>
        <w:t>Supplemental Table 2</w:t>
      </w:r>
      <w:r w:rsidR="00381141" w:rsidRPr="000725E5">
        <w:rPr>
          <w:b/>
        </w:rPr>
        <w:t>. Selected publications that associated the overtraining syndrome or nonfunctional overreaching with neuroendocrine responses to stress.</w:t>
      </w:r>
    </w:p>
    <w:tbl>
      <w:tblPr>
        <w:tblStyle w:val="TableGrid2"/>
        <w:tblW w:w="1324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828"/>
        <w:gridCol w:w="10980"/>
        <w:gridCol w:w="1440"/>
      </w:tblGrid>
      <w:tr w:rsidR="00381141" w:rsidRPr="000725E5" w14:paraId="44BFD456" w14:textId="77777777" w:rsidTr="008078A0">
        <w:tc>
          <w:tcPr>
            <w:tcW w:w="828" w:type="dxa"/>
            <w:tcBorders>
              <w:bottom w:val="single" w:sz="4" w:space="0" w:color="auto"/>
            </w:tcBorders>
          </w:tcPr>
          <w:p w14:paraId="348894A3" w14:textId="77777777" w:rsidR="00381141" w:rsidRPr="000725E5" w:rsidRDefault="00381141" w:rsidP="00EF6970">
            <w:pPr>
              <w:rPr>
                <w:b/>
              </w:rPr>
            </w:pPr>
            <w:r w:rsidRPr="000725E5">
              <w:rPr>
                <w:b/>
              </w:rPr>
              <w:t>Year</w:t>
            </w:r>
          </w:p>
        </w:tc>
        <w:tc>
          <w:tcPr>
            <w:tcW w:w="10980" w:type="dxa"/>
            <w:tcBorders>
              <w:bottom w:val="single" w:sz="4" w:space="0" w:color="auto"/>
            </w:tcBorders>
          </w:tcPr>
          <w:p w14:paraId="76BB10E5" w14:textId="77777777" w:rsidR="00381141" w:rsidRPr="000725E5" w:rsidRDefault="00381141" w:rsidP="00EF6970">
            <w:pPr>
              <w:rPr>
                <w:b/>
              </w:rPr>
            </w:pPr>
            <w:r w:rsidRPr="000725E5">
              <w:rPr>
                <w:b/>
              </w:rPr>
              <w:t>Description of Findings/Conclusions</w:t>
            </w:r>
          </w:p>
        </w:tc>
        <w:tc>
          <w:tcPr>
            <w:tcW w:w="1440" w:type="dxa"/>
            <w:tcBorders>
              <w:bottom w:val="single" w:sz="4" w:space="0" w:color="auto"/>
            </w:tcBorders>
          </w:tcPr>
          <w:p w14:paraId="01841FAD" w14:textId="77777777" w:rsidR="00381141" w:rsidRPr="000725E5" w:rsidRDefault="00381141" w:rsidP="00EF6970">
            <w:pPr>
              <w:rPr>
                <w:b/>
              </w:rPr>
            </w:pPr>
            <w:r w:rsidRPr="000725E5">
              <w:rPr>
                <w:b/>
              </w:rPr>
              <w:t>Reference</w:t>
            </w:r>
          </w:p>
        </w:tc>
      </w:tr>
      <w:tr w:rsidR="00381141" w:rsidRPr="000725E5" w14:paraId="0BC051EF" w14:textId="77777777" w:rsidTr="008078A0">
        <w:trPr>
          <w:trHeight w:val="1475"/>
        </w:trPr>
        <w:tc>
          <w:tcPr>
            <w:tcW w:w="828" w:type="dxa"/>
            <w:tcBorders>
              <w:top w:val="single" w:sz="4" w:space="0" w:color="auto"/>
              <w:bottom w:val="nil"/>
            </w:tcBorders>
          </w:tcPr>
          <w:p w14:paraId="0E41D2B2" w14:textId="77777777" w:rsidR="00381141" w:rsidRPr="000725E5" w:rsidRDefault="00381141" w:rsidP="00EF6970">
            <w:r w:rsidRPr="000725E5">
              <w:t>1985</w:t>
            </w:r>
          </w:p>
        </w:tc>
        <w:tc>
          <w:tcPr>
            <w:tcW w:w="10980" w:type="dxa"/>
            <w:tcBorders>
              <w:top w:val="single" w:sz="4" w:space="0" w:color="auto"/>
              <w:bottom w:val="nil"/>
            </w:tcBorders>
          </w:tcPr>
          <w:p w14:paraId="0E3CA160" w14:textId="5F6F83DA" w:rsidR="00381141" w:rsidRPr="000725E5" w:rsidRDefault="00381141" w:rsidP="008B6A27">
            <w:r w:rsidRPr="000725E5">
              <w:t>Hypothalamic-pituitary function was studied in 5 asymptomatic and 4 overtrained</w:t>
            </w:r>
            <w:r w:rsidRPr="000725E5">
              <w:rPr>
                <w:vertAlign w:val="superscript"/>
              </w:rPr>
              <w:t>a</w:t>
            </w:r>
            <w:r w:rsidRPr="000725E5">
              <w:t xml:space="preserve"> male marathon runners (i.e., evaluated when they were overtrained and after 4 weeks of rest). Insulin-induced hormone responses (plasma cortisol, adr</w:t>
            </w:r>
            <w:r w:rsidR="00A066D8">
              <w:t>enocorticotrophic hormone</w:t>
            </w:r>
            <w:r w:rsidRPr="000725E5">
              <w:t xml:space="preserve">, growth hormone, prolactin, luteinizing hormone, thyroid stimulating hormone) in the overtrained athletes were lower than their own responses after 4 weeks of rest, and lower than the asymptomatic runners. </w:t>
            </w:r>
            <w:r w:rsidR="00A066D8">
              <w:t>These results suggested h</w:t>
            </w:r>
            <w:r w:rsidRPr="000725E5">
              <w:t>ypothalamic but not pituitary dysfunction.</w:t>
            </w:r>
          </w:p>
        </w:tc>
        <w:tc>
          <w:tcPr>
            <w:tcW w:w="1440" w:type="dxa"/>
            <w:tcBorders>
              <w:top w:val="single" w:sz="4" w:space="0" w:color="auto"/>
              <w:bottom w:val="nil"/>
            </w:tcBorders>
          </w:tcPr>
          <w:p w14:paraId="4707A7E2" w14:textId="2FED9AAC" w:rsidR="00381141" w:rsidRPr="000725E5" w:rsidRDefault="00350D24" w:rsidP="008078A0">
            <w:pPr>
              <w:jc w:val="center"/>
              <w:rPr>
                <w:color w:val="0070C0"/>
              </w:rPr>
            </w:pPr>
            <w:r>
              <w:rPr>
                <w:noProof/>
              </w:rPr>
              <w:t>(Barron, Noakes et al. 1985)</w:t>
            </w:r>
          </w:p>
        </w:tc>
      </w:tr>
      <w:tr w:rsidR="00381141" w:rsidRPr="000725E5" w14:paraId="2E3AD36F" w14:textId="77777777" w:rsidTr="008078A0">
        <w:tc>
          <w:tcPr>
            <w:tcW w:w="828" w:type="dxa"/>
            <w:tcBorders>
              <w:top w:val="nil"/>
              <w:bottom w:val="nil"/>
            </w:tcBorders>
          </w:tcPr>
          <w:p w14:paraId="6C140694" w14:textId="77777777" w:rsidR="00381141" w:rsidRPr="000725E5" w:rsidRDefault="00381141" w:rsidP="00EF6970">
            <w:r w:rsidRPr="000725E5">
              <w:t>1988</w:t>
            </w:r>
          </w:p>
        </w:tc>
        <w:tc>
          <w:tcPr>
            <w:tcW w:w="10980" w:type="dxa"/>
            <w:tcBorders>
              <w:top w:val="nil"/>
              <w:bottom w:val="nil"/>
            </w:tcBorders>
          </w:tcPr>
          <w:p w14:paraId="574D43EA" w14:textId="77777777" w:rsidR="00381141" w:rsidRPr="000725E5" w:rsidRDefault="00381141" w:rsidP="00EF6970">
            <w:pPr>
              <w:rPr>
                <w:color w:val="000000" w:themeColor="text1"/>
              </w:rPr>
            </w:pPr>
            <w:r w:rsidRPr="000725E5">
              <w:t>This review paper distinguished overreaching from overtraining.</w:t>
            </w:r>
            <w:r w:rsidRPr="000725E5">
              <w:rPr>
                <w:vertAlign w:val="superscript"/>
              </w:rPr>
              <w:t>a</w:t>
            </w:r>
            <w:r w:rsidRPr="000725E5">
              <w:t xml:space="preserve"> Describing overtraining and its clinical manifestations as a stress response, possible causes include: an imbalance of excitation and inhibition of the neuroendocrine system, hypothalamic dysfunction (see Barron et al., 1985 above), increased cortisol release from the adrenal glands, downregulation of cortisol receptors in the brain, a transient loss of pituitary responsiveness, impairment of negative feedback that terminates the stress response, altered balance </w:t>
            </w:r>
            <w:r w:rsidRPr="000725E5">
              <w:rPr>
                <w:color w:val="000000" w:themeColor="text1"/>
              </w:rPr>
              <w:t>between catabolic and anabolic hormones, and exhaustion of the pituitary-adrenal-gonadal axis. The specific neuroendocrine mechanisms involved in overtraining are unknown.</w:t>
            </w:r>
          </w:p>
        </w:tc>
        <w:tc>
          <w:tcPr>
            <w:tcW w:w="1440" w:type="dxa"/>
            <w:tcBorders>
              <w:top w:val="nil"/>
              <w:bottom w:val="nil"/>
            </w:tcBorders>
          </w:tcPr>
          <w:p w14:paraId="4A33546E" w14:textId="1B3604AC" w:rsidR="00381141" w:rsidRPr="000725E5" w:rsidRDefault="00350D24" w:rsidP="008078A0">
            <w:pPr>
              <w:jc w:val="center"/>
              <w:rPr>
                <w:color w:val="0070C0"/>
              </w:rPr>
            </w:pPr>
            <w:r>
              <w:rPr>
                <w:noProof/>
              </w:rPr>
              <w:t>(Kuipers and Keizer 1988)</w:t>
            </w:r>
          </w:p>
        </w:tc>
      </w:tr>
      <w:tr w:rsidR="00381141" w:rsidRPr="000725E5" w14:paraId="30BA17C6" w14:textId="77777777" w:rsidTr="008078A0">
        <w:tc>
          <w:tcPr>
            <w:tcW w:w="828" w:type="dxa"/>
            <w:tcBorders>
              <w:top w:val="nil"/>
              <w:bottom w:val="nil"/>
            </w:tcBorders>
          </w:tcPr>
          <w:p w14:paraId="21CE0A24" w14:textId="77777777" w:rsidR="00381141" w:rsidRPr="000725E5" w:rsidRDefault="00381141" w:rsidP="00EF6970">
            <w:r w:rsidRPr="000725E5">
              <w:t>1991</w:t>
            </w:r>
          </w:p>
        </w:tc>
        <w:tc>
          <w:tcPr>
            <w:tcW w:w="10980" w:type="dxa"/>
            <w:tcBorders>
              <w:top w:val="nil"/>
              <w:bottom w:val="nil"/>
            </w:tcBorders>
          </w:tcPr>
          <w:p w14:paraId="7867BF1F" w14:textId="77777777" w:rsidR="00381141" w:rsidRPr="000725E5" w:rsidRDefault="00381141" w:rsidP="00EF6970">
            <w:r w:rsidRPr="000725E5">
              <w:t>This study exposed experienced 8 middle- and long-distance runners to 4 weeks of progressively increasing training volume (e.g., from 85.9 to 174.6 km/wk, 6 d/wk).</w:t>
            </w:r>
            <w:r w:rsidRPr="000725E5">
              <w:rPr>
                <w:vertAlign w:val="superscript"/>
              </w:rPr>
              <w:t>d</w:t>
            </w:r>
            <w:r w:rsidRPr="000725E5">
              <w:t xml:space="preserve"> Plasma and urinary cortisol, catecholamines (noradrenaline, adrenaline, dopamine), cardiovascular, and metabolic variables were examined. Endurance capacity and/or treadmill performance decreased in all athletes at the end of the 4-wk observation period. Several plasma constituents decreased, whereas others remained constant. Importantly, the authors concluded that increased plasma noradrenaline concentration during treadmill running, and markedly reduced basal 24-h urinary catecholamine and cortisol excretion, were relevant to the diagnosis of short-term overtraining.</w:t>
            </w:r>
            <w:r w:rsidRPr="000725E5">
              <w:rPr>
                <w:vertAlign w:val="superscript"/>
              </w:rPr>
              <w:t>b</w:t>
            </w:r>
          </w:p>
        </w:tc>
        <w:tc>
          <w:tcPr>
            <w:tcW w:w="1440" w:type="dxa"/>
            <w:tcBorders>
              <w:top w:val="nil"/>
              <w:bottom w:val="nil"/>
            </w:tcBorders>
          </w:tcPr>
          <w:p w14:paraId="3F1C035F" w14:textId="4F7E9A0E" w:rsidR="00381141" w:rsidRPr="000725E5" w:rsidRDefault="00350D24" w:rsidP="008078A0">
            <w:pPr>
              <w:jc w:val="center"/>
              <w:rPr>
                <w:color w:val="0070C0"/>
              </w:rPr>
            </w:pPr>
            <w:r>
              <w:rPr>
                <w:noProof/>
              </w:rPr>
              <w:t>(Lehmann, Dickhuth et al. 1991)</w:t>
            </w:r>
          </w:p>
        </w:tc>
      </w:tr>
      <w:tr w:rsidR="00381141" w:rsidRPr="000725E5" w14:paraId="23E320C7" w14:textId="77777777" w:rsidTr="008078A0">
        <w:tc>
          <w:tcPr>
            <w:tcW w:w="828" w:type="dxa"/>
            <w:tcBorders>
              <w:top w:val="nil"/>
              <w:bottom w:val="nil"/>
            </w:tcBorders>
          </w:tcPr>
          <w:p w14:paraId="6E2ECC9C" w14:textId="77777777" w:rsidR="00381141" w:rsidRPr="000725E5" w:rsidRDefault="00381141" w:rsidP="00EF6970">
            <w:r w:rsidRPr="000725E5">
              <w:t>1993</w:t>
            </w:r>
          </w:p>
        </w:tc>
        <w:tc>
          <w:tcPr>
            <w:tcW w:w="10980" w:type="dxa"/>
            <w:tcBorders>
              <w:top w:val="nil"/>
              <w:bottom w:val="nil"/>
            </w:tcBorders>
          </w:tcPr>
          <w:p w14:paraId="146C7A08" w14:textId="44F7FBD2" w:rsidR="00381141" w:rsidRPr="000725E5" w:rsidRDefault="00381141" w:rsidP="00EF6970">
            <w:r w:rsidRPr="000725E5">
              <w:t>This review article considered neuroendocrine responses due to short-term overtraining and long-term overtraining.</w:t>
            </w:r>
            <w:r w:rsidRPr="000725E5">
              <w:rPr>
                <w:vertAlign w:val="superscript"/>
              </w:rPr>
              <w:t>a</w:t>
            </w:r>
            <w:r w:rsidRPr="000725E5">
              <w:t xml:space="preserve"> The following factors were proposed as possible mechanisms: a change of target organ sensitivity to neurotransmitters such as norepinephrine and epinephrine, changes in sympathetic or parasympathetic nervous system effects, dysfunction of the adrenal glands, and plasma levels of unbound cortisol and testosterone as indicators of catabolic and anabolic tissue activity. However, at the time of this publication, the mosaic of findings did not permit a consensus of assessment or </w:t>
            </w:r>
            <w:r w:rsidR="008B6A27">
              <w:t xml:space="preserve">a </w:t>
            </w:r>
            <w:r w:rsidRPr="000725E5">
              <w:t>mechanism.</w:t>
            </w:r>
          </w:p>
        </w:tc>
        <w:tc>
          <w:tcPr>
            <w:tcW w:w="1440" w:type="dxa"/>
            <w:tcBorders>
              <w:top w:val="nil"/>
              <w:bottom w:val="nil"/>
            </w:tcBorders>
          </w:tcPr>
          <w:p w14:paraId="2092340A" w14:textId="581362FB" w:rsidR="00381141" w:rsidRPr="000725E5" w:rsidRDefault="00350D24" w:rsidP="008078A0">
            <w:pPr>
              <w:jc w:val="center"/>
              <w:rPr>
                <w:color w:val="0070C0"/>
              </w:rPr>
            </w:pPr>
            <w:r>
              <w:rPr>
                <w:noProof/>
              </w:rPr>
              <w:t>(Lehmann, Foster et al. 1993)</w:t>
            </w:r>
          </w:p>
        </w:tc>
      </w:tr>
      <w:tr w:rsidR="00381141" w:rsidRPr="000725E5" w14:paraId="3392F729" w14:textId="77777777" w:rsidTr="008078A0">
        <w:tc>
          <w:tcPr>
            <w:tcW w:w="828" w:type="dxa"/>
            <w:tcBorders>
              <w:top w:val="nil"/>
              <w:bottom w:val="nil"/>
            </w:tcBorders>
          </w:tcPr>
          <w:p w14:paraId="5B6D2E29" w14:textId="77777777" w:rsidR="00381141" w:rsidRPr="000725E5" w:rsidRDefault="00381141" w:rsidP="00EF6970">
            <w:r w:rsidRPr="000725E5">
              <w:t>1993</w:t>
            </w:r>
          </w:p>
        </w:tc>
        <w:tc>
          <w:tcPr>
            <w:tcW w:w="10980" w:type="dxa"/>
            <w:tcBorders>
              <w:top w:val="nil"/>
              <w:bottom w:val="nil"/>
            </w:tcBorders>
          </w:tcPr>
          <w:p w14:paraId="0690B9C2" w14:textId="77777777" w:rsidR="00381141" w:rsidRPr="000725E5" w:rsidRDefault="00381141" w:rsidP="00EF6970">
            <w:r w:rsidRPr="000725E5">
              <w:t>This controlled field study monitored 14 elite male and female swimmers at 5 points during a 6-month competitive season. Considering all athletes as a single group, plasma cortisol and norepinephrine levels were not different at any time point throughout the season; plasma epinephrine decreased significantly only at the post-season testing session. Three swimmers were determined to be overtrained</w:t>
            </w:r>
            <w:r w:rsidRPr="000725E5">
              <w:rPr>
                <w:vertAlign w:val="superscript"/>
              </w:rPr>
              <w:t>c</w:t>
            </w:r>
            <w:r w:rsidRPr="000725E5">
              <w:t xml:space="preserve">; their plasma norepinephrine </w:t>
            </w:r>
            <w:r w:rsidRPr="000725E5">
              <w:lastRenderedPageBreak/>
              <w:t>concentrations trended higher than non-stale swimmers from mid-season onward, and were significantly higher (P&lt;.001) during tapering which occurred prior to the season-culminating competition.</w:t>
            </w:r>
          </w:p>
        </w:tc>
        <w:tc>
          <w:tcPr>
            <w:tcW w:w="1440" w:type="dxa"/>
            <w:tcBorders>
              <w:top w:val="nil"/>
              <w:bottom w:val="nil"/>
            </w:tcBorders>
          </w:tcPr>
          <w:p w14:paraId="7932F94D" w14:textId="6DEB925E" w:rsidR="00381141" w:rsidRPr="000725E5" w:rsidRDefault="00350D24" w:rsidP="008078A0">
            <w:pPr>
              <w:jc w:val="center"/>
              <w:rPr>
                <w:color w:val="0070C0"/>
              </w:rPr>
            </w:pPr>
            <w:r>
              <w:rPr>
                <w:noProof/>
              </w:rPr>
              <w:lastRenderedPageBreak/>
              <w:t>(Hooper, MacKinnon et al. 1993)</w:t>
            </w:r>
          </w:p>
        </w:tc>
      </w:tr>
      <w:tr w:rsidR="00381141" w:rsidRPr="000725E5" w14:paraId="4EE7B8F4" w14:textId="77777777" w:rsidTr="008078A0">
        <w:tc>
          <w:tcPr>
            <w:tcW w:w="828" w:type="dxa"/>
            <w:tcBorders>
              <w:top w:val="nil"/>
              <w:bottom w:val="nil"/>
            </w:tcBorders>
          </w:tcPr>
          <w:p w14:paraId="2820A0DC" w14:textId="77777777" w:rsidR="00381141" w:rsidRPr="000725E5" w:rsidRDefault="00381141" w:rsidP="00EF6970">
            <w:r w:rsidRPr="000725E5">
              <w:t>1997</w:t>
            </w:r>
          </w:p>
        </w:tc>
        <w:tc>
          <w:tcPr>
            <w:tcW w:w="10980" w:type="dxa"/>
            <w:tcBorders>
              <w:top w:val="nil"/>
              <w:bottom w:val="nil"/>
            </w:tcBorders>
          </w:tcPr>
          <w:p w14:paraId="06C7DDE9" w14:textId="77777777" w:rsidR="00381141" w:rsidRPr="000725E5" w:rsidRDefault="00381141" w:rsidP="00EF6970">
            <w:r w:rsidRPr="000725E5">
              <w:t>This review of endurance sports provides extensive coverage of hypothetical mechanisms that may underlie overtraining and overreaching</w:t>
            </w:r>
            <w:r w:rsidRPr="000725E5">
              <w:rPr>
                <w:vertAlign w:val="superscript"/>
              </w:rPr>
              <w:t>a</w:t>
            </w:r>
            <w:r w:rsidRPr="000725E5">
              <w:t>, including decreased intrinsic sympathetic activity (i.e., catecholamine excretion), reduced sensitivity of receptors to catecholamines (or reduced receptor density), and diminished sensitivity of adrenal glands to ACTH which affects cortisol release.</w:t>
            </w:r>
          </w:p>
        </w:tc>
        <w:tc>
          <w:tcPr>
            <w:tcW w:w="1440" w:type="dxa"/>
            <w:tcBorders>
              <w:top w:val="nil"/>
              <w:bottom w:val="nil"/>
            </w:tcBorders>
          </w:tcPr>
          <w:p w14:paraId="3C98D9C9" w14:textId="2ABD777A" w:rsidR="00381141" w:rsidRPr="000725E5" w:rsidRDefault="00350D24" w:rsidP="008078A0">
            <w:pPr>
              <w:jc w:val="center"/>
              <w:rPr>
                <w:color w:val="0070C0"/>
              </w:rPr>
            </w:pPr>
            <w:r>
              <w:rPr>
                <w:noProof/>
              </w:rPr>
              <w:t>(Lehmann, Lormes et al. 1997)</w:t>
            </w:r>
          </w:p>
        </w:tc>
      </w:tr>
      <w:tr w:rsidR="00381141" w:rsidRPr="000725E5" w14:paraId="5F9C2B5B" w14:textId="77777777" w:rsidTr="008078A0">
        <w:tc>
          <w:tcPr>
            <w:tcW w:w="828" w:type="dxa"/>
            <w:tcBorders>
              <w:top w:val="nil"/>
              <w:bottom w:val="nil"/>
            </w:tcBorders>
          </w:tcPr>
          <w:p w14:paraId="2AAF46AD" w14:textId="77777777" w:rsidR="00381141" w:rsidRPr="000725E5" w:rsidRDefault="00381141" w:rsidP="00EF6970">
            <w:r w:rsidRPr="000725E5">
              <w:t>1997</w:t>
            </w:r>
          </w:p>
        </w:tc>
        <w:tc>
          <w:tcPr>
            <w:tcW w:w="10980" w:type="dxa"/>
            <w:tcBorders>
              <w:top w:val="nil"/>
              <w:bottom w:val="nil"/>
            </w:tcBorders>
          </w:tcPr>
          <w:p w14:paraId="2137331E" w14:textId="1907C9DA" w:rsidR="00381141" w:rsidRPr="000725E5" w:rsidRDefault="00381141" w:rsidP="00EF6970">
            <w:r w:rsidRPr="000725E5">
              <w:t>Resistance training overreaching and overtraining were the topics of this review paper. Depending on whether training volume or training intensity are excessive, resistance exercise can result in differential responses. The neuroendocrine responses to high volume resistance training appear to be similar to overtraining for aerobic activities, whereas excessive resistance training intensity produces a different neuroendocrine profile. Multipl</w:t>
            </w:r>
            <w:r w:rsidR="008B6A27">
              <w:t>e anabolic and stress hormones we</w:t>
            </w:r>
            <w:r w:rsidRPr="000725E5">
              <w:t>re discussed.</w:t>
            </w:r>
          </w:p>
        </w:tc>
        <w:tc>
          <w:tcPr>
            <w:tcW w:w="1440" w:type="dxa"/>
            <w:tcBorders>
              <w:top w:val="nil"/>
              <w:bottom w:val="nil"/>
            </w:tcBorders>
          </w:tcPr>
          <w:p w14:paraId="5DB0B853" w14:textId="5258F9DE" w:rsidR="00381141" w:rsidRPr="000725E5" w:rsidRDefault="00350D24" w:rsidP="008078A0">
            <w:pPr>
              <w:jc w:val="center"/>
              <w:rPr>
                <w:color w:val="0070C0"/>
              </w:rPr>
            </w:pPr>
            <w:r>
              <w:rPr>
                <w:noProof/>
              </w:rPr>
              <w:t>(Fry and Kraemer 1997)</w:t>
            </w:r>
          </w:p>
        </w:tc>
      </w:tr>
      <w:tr w:rsidR="00381141" w:rsidRPr="000725E5" w14:paraId="4BC26A30" w14:textId="77777777" w:rsidTr="008078A0">
        <w:tc>
          <w:tcPr>
            <w:tcW w:w="828" w:type="dxa"/>
            <w:tcBorders>
              <w:top w:val="nil"/>
              <w:bottom w:val="nil"/>
            </w:tcBorders>
          </w:tcPr>
          <w:p w14:paraId="05382EC9" w14:textId="77777777" w:rsidR="00381141" w:rsidRPr="000725E5" w:rsidRDefault="00381141" w:rsidP="00EF6970">
            <w:r w:rsidRPr="000725E5">
              <w:t>1998</w:t>
            </w:r>
          </w:p>
        </w:tc>
        <w:tc>
          <w:tcPr>
            <w:tcW w:w="10980" w:type="dxa"/>
            <w:tcBorders>
              <w:top w:val="nil"/>
              <w:bottom w:val="nil"/>
            </w:tcBorders>
          </w:tcPr>
          <w:p w14:paraId="576777A3" w14:textId="7DBD5972" w:rsidR="00381141" w:rsidRPr="000725E5" w:rsidRDefault="00381141" w:rsidP="00EF6970">
            <w:r w:rsidRPr="000725E5">
              <w:t>The plasma stress hormones epinephrine and norepinephrine increase in overtrained athletes versus control subjects; cortisol may or may not increase.</w:t>
            </w:r>
          </w:p>
        </w:tc>
        <w:tc>
          <w:tcPr>
            <w:tcW w:w="1440" w:type="dxa"/>
            <w:tcBorders>
              <w:top w:val="nil"/>
              <w:bottom w:val="nil"/>
            </w:tcBorders>
          </w:tcPr>
          <w:p w14:paraId="37657EE8" w14:textId="7E1CAE65" w:rsidR="00381141" w:rsidRPr="000725E5" w:rsidRDefault="00350D24" w:rsidP="008078A0">
            <w:pPr>
              <w:jc w:val="center"/>
              <w:rPr>
                <w:color w:val="0070C0"/>
              </w:rPr>
            </w:pPr>
            <w:r>
              <w:rPr>
                <w:noProof/>
              </w:rPr>
              <w:t>(Budgett 1998)</w:t>
            </w:r>
          </w:p>
        </w:tc>
      </w:tr>
      <w:tr w:rsidR="00381141" w:rsidRPr="000725E5" w14:paraId="449A69A3" w14:textId="77777777" w:rsidTr="008078A0">
        <w:tc>
          <w:tcPr>
            <w:tcW w:w="828" w:type="dxa"/>
            <w:tcBorders>
              <w:top w:val="nil"/>
              <w:bottom w:val="nil"/>
            </w:tcBorders>
          </w:tcPr>
          <w:p w14:paraId="7C70A074" w14:textId="77777777" w:rsidR="00381141" w:rsidRPr="000725E5" w:rsidRDefault="00381141" w:rsidP="00EF6970">
            <w:r w:rsidRPr="000725E5">
              <w:t>2002</w:t>
            </w:r>
          </w:p>
        </w:tc>
        <w:tc>
          <w:tcPr>
            <w:tcW w:w="10980" w:type="dxa"/>
            <w:tcBorders>
              <w:top w:val="nil"/>
              <w:bottom w:val="nil"/>
            </w:tcBorders>
          </w:tcPr>
          <w:p w14:paraId="07C88D5C" w14:textId="77777777" w:rsidR="00381141" w:rsidRPr="000725E5" w:rsidRDefault="00381141" w:rsidP="00EF6970">
            <w:r w:rsidRPr="000725E5">
              <w:t>It is not widely recognized that overtraining syndrome (OTS)</w:t>
            </w:r>
            <w:r w:rsidRPr="000725E5">
              <w:rPr>
                <w:vertAlign w:val="superscript"/>
              </w:rPr>
              <w:t>a</w:t>
            </w:r>
            <w:r w:rsidRPr="000725E5">
              <w:t xml:space="preserve"> and clinical depression involve remarkably similar signs and symptoms. They also may involve similar brain structures, neurotransmitters, endocrine pathways and immune responses. In this review paper, the authors proposed that OTS and depression have similar etiologies. Several effects of the neurotransmitter serotonin are important in the etiology of both clinical depression and OTS, and the regulatory and integrating functions of the hypothalamus. Further, central serotonergic systems influence the regulation of hormones that are involved in the body’s responses to stress, and act upon the sympathetic nervous system and the hypothalamic-pituitary-adrenal axis (HPA). Clinically depressed patients exhibit dysfunction of the HPA axis, as do athletes who exhibit OTS. These numerous shared characteristics may offer insights into the mechanism of OTS and encourage testable experimental hypotheses.</w:t>
            </w:r>
          </w:p>
        </w:tc>
        <w:tc>
          <w:tcPr>
            <w:tcW w:w="1440" w:type="dxa"/>
            <w:tcBorders>
              <w:top w:val="nil"/>
              <w:bottom w:val="nil"/>
            </w:tcBorders>
          </w:tcPr>
          <w:p w14:paraId="33E3C8C8" w14:textId="29CA0B4D" w:rsidR="00381141" w:rsidRPr="000725E5" w:rsidRDefault="00350D24" w:rsidP="008078A0">
            <w:pPr>
              <w:jc w:val="center"/>
              <w:rPr>
                <w:color w:val="0070C0"/>
              </w:rPr>
            </w:pPr>
            <w:r>
              <w:rPr>
                <w:noProof/>
              </w:rPr>
              <w:t>(Armstrong and VanHeest 2002)</w:t>
            </w:r>
          </w:p>
        </w:tc>
      </w:tr>
      <w:tr w:rsidR="00381141" w:rsidRPr="000725E5" w14:paraId="6DBE1F5B" w14:textId="77777777" w:rsidTr="008078A0">
        <w:tc>
          <w:tcPr>
            <w:tcW w:w="828" w:type="dxa"/>
            <w:tcBorders>
              <w:top w:val="nil"/>
              <w:bottom w:val="nil"/>
            </w:tcBorders>
          </w:tcPr>
          <w:p w14:paraId="72D368E7" w14:textId="77777777" w:rsidR="00381141" w:rsidRPr="000725E5" w:rsidRDefault="00381141" w:rsidP="00EF6970">
            <w:r w:rsidRPr="000725E5">
              <w:t>2004</w:t>
            </w:r>
          </w:p>
        </w:tc>
        <w:tc>
          <w:tcPr>
            <w:tcW w:w="10980" w:type="dxa"/>
            <w:tcBorders>
              <w:top w:val="nil"/>
              <w:bottom w:val="nil"/>
            </w:tcBorders>
          </w:tcPr>
          <w:p w14:paraId="336C6C31" w14:textId="77777777" w:rsidR="00381141" w:rsidRPr="000725E5" w:rsidRDefault="00381141" w:rsidP="00EF6970">
            <w:r w:rsidRPr="000725E5">
              <w:t>Although the available scientific and anecdotal evidence supports the existence of OTS</w:t>
            </w:r>
            <w:r w:rsidRPr="000725E5">
              <w:rPr>
                <w:vertAlign w:val="superscript"/>
              </w:rPr>
              <w:t xml:space="preserve">c </w:t>
            </w:r>
            <w:r w:rsidRPr="000725E5">
              <w:t>, there is no definitive diagnostic tool, inter-individual and between-study variabilities are large, and few well controlled studies exist. Most studies of intense training have investigated overreaching, not OTS. At the time of this publication, no evidence suggested that overreaching precedes OTS, that these conditions exist on a continuum, or that symptoms of OTS are more severe.</w:t>
            </w:r>
          </w:p>
        </w:tc>
        <w:tc>
          <w:tcPr>
            <w:tcW w:w="1440" w:type="dxa"/>
            <w:tcBorders>
              <w:top w:val="nil"/>
              <w:bottom w:val="nil"/>
            </w:tcBorders>
          </w:tcPr>
          <w:p w14:paraId="617F5A75" w14:textId="2DFE66C9" w:rsidR="00381141" w:rsidRPr="000725E5" w:rsidRDefault="00350D24" w:rsidP="008078A0">
            <w:pPr>
              <w:jc w:val="center"/>
              <w:rPr>
                <w:color w:val="0070C0"/>
              </w:rPr>
            </w:pPr>
            <w:r>
              <w:rPr>
                <w:noProof/>
              </w:rPr>
              <w:t>(Halson, Lancaster et al. 2004)</w:t>
            </w:r>
          </w:p>
        </w:tc>
      </w:tr>
      <w:tr w:rsidR="00381141" w:rsidRPr="000725E5" w14:paraId="665467AC" w14:textId="77777777" w:rsidTr="008078A0">
        <w:tc>
          <w:tcPr>
            <w:tcW w:w="828" w:type="dxa"/>
            <w:tcBorders>
              <w:top w:val="nil"/>
              <w:bottom w:val="nil"/>
            </w:tcBorders>
          </w:tcPr>
          <w:p w14:paraId="31C5D2A2" w14:textId="77777777" w:rsidR="00381141" w:rsidRPr="000725E5" w:rsidRDefault="00381141" w:rsidP="00EF6970">
            <w:r w:rsidRPr="000725E5">
              <w:t>2004</w:t>
            </w:r>
          </w:p>
        </w:tc>
        <w:tc>
          <w:tcPr>
            <w:tcW w:w="10980" w:type="dxa"/>
            <w:tcBorders>
              <w:top w:val="nil"/>
              <w:bottom w:val="nil"/>
            </w:tcBorders>
          </w:tcPr>
          <w:p w14:paraId="0D2E4BF9" w14:textId="6AA0A303" w:rsidR="00381141" w:rsidRPr="000725E5" w:rsidRDefault="00381141" w:rsidP="001425BE">
            <w:r w:rsidRPr="000725E5">
              <w:t xml:space="preserve">This case-controlled study involved one athlete who had been clinically diagnosed with OTS; he complained about his inability to complete any training session during the last several months, needed a long recovery period, and participated in psychological counselling for </w:t>
            </w:r>
            <w:r w:rsidR="001425BE">
              <w:t xml:space="preserve">1 year. Seven trained cyclists were tested as a healthy comparison group, </w:t>
            </w:r>
            <w:r w:rsidRPr="000725E5">
              <w:t xml:space="preserve">before (T) and after (OR) a 10-day training camp. The test protocol, which involved two bouts of maximal exercise, also was utilized in a later confirmatory </w:t>
            </w:r>
            <w:r w:rsidRPr="00B20EA6">
              <w:t>publication</w:t>
            </w:r>
            <w:r w:rsidR="00784EB9">
              <w:t xml:space="preserve">; </w:t>
            </w:r>
            <w:r w:rsidRPr="00B20EA6">
              <w:t xml:space="preserve">see </w:t>
            </w:r>
            <w:r w:rsidR="00350D24">
              <w:rPr>
                <w:noProof/>
              </w:rPr>
              <w:t xml:space="preserve">(Meeusen, Nederhof et al. </w:t>
            </w:r>
            <w:r w:rsidR="00350D24">
              <w:rPr>
                <w:noProof/>
              </w:rPr>
              <w:lastRenderedPageBreak/>
              <w:t>2010)</w:t>
            </w:r>
            <w:r w:rsidR="001E6DAD">
              <w:t xml:space="preserve"> </w:t>
            </w:r>
            <w:r w:rsidRPr="000725E5">
              <w:t>below. Blood was analyzed for growth hormone, cortisol, ACTH, and prolactin. The latter two hormone responses to the second exercise test were significantly different (i.e., the increase during T &gt; OR &gt; OTS); this was evidence of an altered and dysfunctional hypothalamic–pituitary axis response in the athlete with OTS.</w:t>
            </w:r>
          </w:p>
        </w:tc>
        <w:tc>
          <w:tcPr>
            <w:tcW w:w="1440" w:type="dxa"/>
            <w:tcBorders>
              <w:top w:val="nil"/>
              <w:bottom w:val="nil"/>
            </w:tcBorders>
            <w:shd w:val="clear" w:color="auto" w:fill="auto"/>
          </w:tcPr>
          <w:p w14:paraId="44254EFF" w14:textId="4CF81A36" w:rsidR="00381141" w:rsidRPr="000725E5" w:rsidRDefault="00350D24" w:rsidP="008078A0">
            <w:pPr>
              <w:jc w:val="center"/>
              <w:rPr>
                <w:color w:val="0070C0"/>
              </w:rPr>
            </w:pPr>
            <w:r>
              <w:rPr>
                <w:noProof/>
              </w:rPr>
              <w:lastRenderedPageBreak/>
              <w:t>(Meeusen, Piacentini et al. 2004)</w:t>
            </w:r>
          </w:p>
        </w:tc>
      </w:tr>
      <w:tr w:rsidR="00381141" w:rsidRPr="000725E5" w14:paraId="06C48435" w14:textId="77777777" w:rsidTr="008078A0">
        <w:tc>
          <w:tcPr>
            <w:tcW w:w="828" w:type="dxa"/>
            <w:tcBorders>
              <w:top w:val="nil"/>
              <w:bottom w:val="nil"/>
            </w:tcBorders>
          </w:tcPr>
          <w:p w14:paraId="4F1A25EC" w14:textId="77777777" w:rsidR="00381141" w:rsidRPr="004E3EED" w:rsidRDefault="00381141" w:rsidP="00EF6970">
            <w:r w:rsidRPr="004E3EED">
              <w:t>2004</w:t>
            </w:r>
          </w:p>
        </w:tc>
        <w:tc>
          <w:tcPr>
            <w:tcW w:w="10980" w:type="dxa"/>
            <w:tcBorders>
              <w:top w:val="nil"/>
              <w:bottom w:val="nil"/>
            </w:tcBorders>
          </w:tcPr>
          <w:p w14:paraId="392DB2EA" w14:textId="77777777" w:rsidR="00381141" w:rsidRPr="000725E5" w:rsidRDefault="00381141" w:rsidP="00EF6970">
            <w:r w:rsidRPr="000725E5">
              <w:t>This review paper summarized the hormonal responses to exercise training and proposed a hypothetical biphasic model in which (a) acute training responses mainly involve peripheral muscular damage and metabolic needs, and (b) chronic training responses involve changes in tissue metabolism, somatic growth, body composition, organ function, and central regulatory disturbances. When a training overload is prolonged and intense, the adrenal glands become less responsive and there exists a depression of the HPA axis, resulting in a decrease of circulating levels of catecholamines. The authors noted that similar responses occur for all hypothalamic-pituitary-peripheral hormone axes. This overtrained state</w:t>
            </w:r>
            <w:r w:rsidRPr="000725E5">
              <w:rPr>
                <w:vertAlign w:val="superscript"/>
              </w:rPr>
              <w:t>a</w:t>
            </w:r>
            <w:r w:rsidRPr="000725E5">
              <w:t xml:space="preserve"> can be aggravated by limited recovery, substrate availability and protein synthesis, as well as the influences of other stressors.</w:t>
            </w:r>
          </w:p>
        </w:tc>
        <w:tc>
          <w:tcPr>
            <w:tcW w:w="1440" w:type="dxa"/>
            <w:tcBorders>
              <w:top w:val="nil"/>
              <w:bottom w:val="nil"/>
            </w:tcBorders>
          </w:tcPr>
          <w:p w14:paraId="29358F3B" w14:textId="09499D2C" w:rsidR="00381141" w:rsidRPr="000725E5" w:rsidRDefault="00350D24" w:rsidP="008078A0">
            <w:pPr>
              <w:jc w:val="center"/>
              <w:rPr>
                <w:color w:val="0070C0"/>
              </w:rPr>
            </w:pPr>
            <w:r>
              <w:rPr>
                <w:noProof/>
              </w:rPr>
              <w:t>(Steinacker, Lormes et al. 2004)</w:t>
            </w:r>
          </w:p>
        </w:tc>
      </w:tr>
      <w:tr w:rsidR="00381141" w:rsidRPr="000725E5" w14:paraId="6BCE83EA" w14:textId="77777777" w:rsidTr="008078A0">
        <w:tc>
          <w:tcPr>
            <w:tcW w:w="828" w:type="dxa"/>
            <w:tcBorders>
              <w:top w:val="nil"/>
              <w:bottom w:val="nil"/>
            </w:tcBorders>
          </w:tcPr>
          <w:p w14:paraId="3C109A74" w14:textId="77777777" w:rsidR="00381141" w:rsidRPr="004E3EED" w:rsidRDefault="00381141" w:rsidP="00EF6970">
            <w:r w:rsidRPr="004E3EED">
              <w:t>2005</w:t>
            </w:r>
          </w:p>
        </w:tc>
        <w:tc>
          <w:tcPr>
            <w:tcW w:w="10980" w:type="dxa"/>
            <w:tcBorders>
              <w:top w:val="nil"/>
              <w:bottom w:val="nil"/>
            </w:tcBorders>
          </w:tcPr>
          <w:p w14:paraId="64022CA1" w14:textId="77777777" w:rsidR="00381141" w:rsidRPr="004E3EED" w:rsidRDefault="00381141" w:rsidP="00EF6970">
            <w:r w:rsidRPr="004E3EED">
              <w:t>Providing an extensive review of OTS research, potential biomarkers, and possible underlying mechanisms, this book chapter concludes that the causes of OTS</w:t>
            </w:r>
            <w:r w:rsidRPr="004E3EED">
              <w:rPr>
                <w:vertAlign w:val="superscript"/>
              </w:rPr>
              <w:t>b</w:t>
            </w:r>
            <w:r w:rsidRPr="004E3EED">
              <w:t xml:space="preserve"> are difficult to determine from previous research because some sports possess a combination of high-force and high-endurance characteristics, and because each sport is unique. Thus, previous publications report different physiological responses, adaptations, and maladaptations to sport-specific training stresses. </w:t>
            </w:r>
          </w:p>
        </w:tc>
        <w:tc>
          <w:tcPr>
            <w:tcW w:w="1440" w:type="dxa"/>
            <w:tcBorders>
              <w:top w:val="nil"/>
              <w:bottom w:val="nil"/>
            </w:tcBorders>
          </w:tcPr>
          <w:p w14:paraId="42770A2F" w14:textId="71DFFCE0" w:rsidR="00381141" w:rsidRPr="004E3EED" w:rsidRDefault="00350D24" w:rsidP="008078A0">
            <w:pPr>
              <w:jc w:val="center"/>
              <w:rPr>
                <w:color w:val="0070C0"/>
              </w:rPr>
            </w:pPr>
            <w:r w:rsidRPr="004E3EED">
              <w:rPr>
                <w:noProof/>
              </w:rPr>
              <w:t>(</w:t>
            </w:r>
            <w:r w:rsidR="004E3EED">
              <w:rPr>
                <w:noProof/>
              </w:rPr>
              <w:t>Fry et al. 2005</w:t>
            </w:r>
            <w:r w:rsidRPr="004E3EED">
              <w:rPr>
                <w:noProof/>
              </w:rPr>
              <w:t>)</w:t>
            </w:r>
          </w:p>
        </w:tc>
      </w:tr>
      <w:tr w:rsidR="00381141" w:rsidRPr="000725E5" w14:paraId="51E6A6B4" w14:textId="77777777" w:rsidTr="008078A0">
        <w:tc>
          <w:tcPr>
            <w:tcW w:w="828" w:type="dxa"/>
            <w:tcBorders>
              <w:top w:val="nil"/>
              <w:bottom w:val="nil"/>
            </w:tcBorders>
          </w:tcPr>
          <w:p w14:paraId="6CA795DA" w14:textId="77777777" w:rsidR="00381141" w:rsidRPr="000725E5" w:rsidRDefault="00381141" w:rsidP="00EF6970">
            <w:r w:rsidRPr="000725E5">
              <w:t>2005</w:t>
            </w:r>
          </w:p>
        </w:tc>
        <w:tc>
          <w:tcPr>
            <w:tcW w:w="10980" w:type="dxa"/>
            <w:tcBorders>
              <w:top w:val="nil"/>
              <w:bottom w:val="nil"/>
            </w:tcBorders>
          </w:tcPr>
          <w:p w14:paraId="742CB11F" w14:textId="77777777" w:rsidR="00381141" w:rsidRPr="000725E5" w:rsidRDefault="00381141" w:rsidP="00EF6970">
            <w:r w:rsidRPr="000725E5">
              <w:t>This paper reviews the acute effects of resistance exercise and chronic effects of long-term resistance training on the following hormones: cortisol, testosterone, growth hormone, insulin-like growth factors, insulin, thyroid hormones, leptin, and estrogens. Overreaching and OTS are considered separately.</w:t>
            </w:r>
            <w:r w:rsidRPr="000725E5">
              <w:rPr>
                <w:vertAlign w:val="superscript"/>
              </w:rPr>
              <w:t>b</w:t>
            </w:r>
            <w:r w:rsidRPr="000725E5">
              <w:t xml:space="preserve"> Chronic adaptations of neuroendocrine function (i.e., including cortisol) appear to be minimal. Acute hormonal responses are related to the intensity and volume of the training session, genetic predisposition, sex, fitness level, nutrition, overreaching, OTS, and circadian patters of hormone secretion.</w:t>
            </w:r>
          </w:p>
        </w:tc>
        <w:tc>
          <w:tcPr>
            <w:tcW w:w="1440" w:type="dxa"/>
            <w:tcBorders>
              <w:top w:val="nil"/>
              <w:bottom w:val="nil"/>
            </w:tcBorders>
          </w:tcPr>
          <w:p w14:paraId="7193E5E0" w14:textId="13327C54" w:rsidR="00381141" w:rsidRPr="000725E5" w:rsidRDefault="00350D24" w:rsidP="008078A0">
            <w:pPr>
              <w:jc w:val="center"/>
              <w:rPr>
                <w:color w:val="0070C0"/>
              </w:rPr>
            </w:pPr>
            <w:r w:rsidRPr="000F770A">
              <w:rPr>
                <w:noProof/>
              </w:rPr>
              <w:t>(Kraemer and Ratamess 2005)</w:t>
            </w:r>
          </w:p>
        </w:tc>
      </w:tr>
      <w:tr w:rsidR="00381141" w:rsidRPr="000725E5" w14:paraId="34161077" w14:textId="77777777" w:rsidTr="008078A0">
        <w:tc>
          <w:tcPr>
            <w:tcW w:w="828" w:type="dxa"/>
            <w:tcBorders>
              <w:top w:val="nil"/>
              <w:bottom w:val="nil"/>
            </w:tcBorders>
          </w:tcPr>
          <w:p w14:paraId="189629A0" w14:textId="77777777" w:rsidR="00381141" w:rsidRPr="000725E5" w:rsidRDefault="00381141" w:rsidP="00EF6970">
            <w:r w:rsidRPr="000725E5">
              <w:t>2006</w:t>
            </w:r>
          </w:p>
        </w:tc>
        <w:tc>
          <w:tcPr>
            <w:tcW w:w="10980" w:type="dxa"/>
            <w:tcBorders>
              <w:top w:val="nil"/>
              <w:bottom w:val="nil"/>
            </w:tcBorders>
          </w:tcPr>
          <w:p w14:paraId="53C7979F" w14:textId="14423282" w:rsidR="00381141" w:rsidRPr="000725E5" w:rsidRDefault="00381141" w:rsidP="00EF6970">
            <w:r w:rsidRPr="000725E5">
              <w:t>This controlled laboratory study examined performance and skeletal muscle tissue responses to high-intensity resistance exercise overtraining (daily for 2 wk). Weight-trained men were divided into overtrained (OT)</w:t>
            </w:r>
            <w:r w:rsidRPr="000725E5">
              <w:rPr>
                <w:vertAlign w:val="superscript"/>
              </w:rPr>
              <w:t>b,d</w:t>
            </w:r>
            <w:r w:rsidRPr="000725E5">
              <w:t xml:space="preserve"> and control groups. Biopsies from vastus lateralis muscle and nocturnal urinary epinephrine (U</w:t>
            </w:r>
            <w:r w:rsidRPr="000725E5">
              <w:rPr>
                <w:vertAlign w:val="subscript"/>
              </w:rPr>
              <w:t>EPI</w:t>
            </w:r>
            <w:r w:rsidRPr="000725E5">
              <w:t>) were assessed pre- and post-training; U</w:t>
            </w:r>
            <w:r w:rsidRPr="000725E5">
              <w:rPr>
                <w:vertAlign w:val="subscript"/>
              </w:rPr>
              <w:t>EPI</w:t>
            </w:r>
            <w:r w:rsidRPr="000725E5">
              <w:t xml:space="preserve"> reflected sympathetic nervous system activity; biopsies were analyzed for β</w:t>
            </w:r>
            <w:r w:rsidRPr="000725E5">
              <w:rPr>
                <w:vertAlign w:val="subscript"/>
              </w:rPr>
              <w:t>2</w:t>
            </w:r>
            <w:r w:rsidRPr="000725E5">
              <w:t xml:space="preserve"> adrenergic receptors (</w:t>
            </w:r>
            <w:r w:rsidRPr="001425BE">
              <w:t>β</w:t>
            </w:r>
            <w:r w:rsidR="001425BE" w:rsidRPr="001425BE">
              <w:t>2</w:t>
            </w:r>
            <w:r w:rsidR="001425BE">
              <w:t>-</w:t>
            </w:r>
            <w:r w:rsidRPr="001425BE">
              <w:t>AR</w:t>
            </w:r>
            <w:r w:rsidRPr="000725E5">
              <w:t>). Circulating epinephrine binds to this receptor and activates numerous intracellular regulatory signaling pathways. Overtraining was verified by a decrease in strength and a 36.3% decrease in mean power output. A large increase in the U</w:t>
            </w:r>
            <w:r w:rsidRPr="000725E5">
              <w:rPr>
                <w:vertAlign w:val="subscript"/>
              </w:rPr>
              <w:t>EPI</w:t>
            </w:r>
            <w:r w:rsidRPr="000725E5">
              <w:t>:β</w:t>
            </w:r>
            <w:r w:rsidRPr="000725E5">
              <w:rPr>
                <w:vertAlign w:val="subscript"/>
              </w:rPr>
              <w:t>2</w:t>
            </w:r>
            <w:r w:rsidRPr="000725E5">
              <w:t xml:space="preserve">-AR ratio indicated that receptor sensitivity had decreased in the OT group but not the control group. </w:t>
            </w:r>
          </w:p>
        </w:tc>
        <w:tc>
          <w:tcPr>
            <w:tcW w:w="1440" w:type="dxa"/>
            <w:tcBorders>
              <w:top w:val="nil"/>
              <w:bottom w:val="nil"/>
            </w:tcBorders>
          </w:tcPr>
          <w:p w14:paraId="2B1086F4" w14:textId="3C37AF5B" w:rsidR="00381141" w:rsidRPr="000725E5" w:rsidRDefault="00350D24" w:rsidP="008078A0">
            <w:pPr>
              <w:jc w:val="center"/>
              <w:rPr>
                <w:color w:val="0070C0"/>
              </w:rPr>
            </w:pPr>
            <w:r>
              <w:rPr>
                <w:noProof/>
              </w:rPr>
              <w:t>(Fry, Schilling et al. 2006)</w:t>
            </w:r>
          </w:p>
        </w:tc>
      </w:tr>
      <w:tr w:rsidR="00381141" w:rsidRPr="000725E5" w14:paraId="19DDC3A3" w14:textId="77777777" w:rsidTr="008078A0">
        <w:tc>
          <w:tcPr>
            <w:tcW w:w="828" w:type="dxa"/>
            <w:tcBorders>
              <w:top w:val="nil"/>
              <w:bottom w:val="nil"/>
            </w:tcBorders>
          </w:tcPr>
          <w:p w14:paraId="4D826631" w14:textId="77777777" w:rsidR="00381141" w:rsidRPr="000725E5" w:rsidRDefault="00381141" w:rsidP="00EF6970">
            <w:r w:rsidRPr="000725E5">
              <w:t>2007</w:t>
            </w:r>
          </w:p>
        </w:tc>
        <w:tc>
          <w:tcPr>
            <w:tcW w:w="10980" w:type="dxa"/>
            <w:tcBorders>
              <w:top w:val="nil"/>
              <w:bottom w:val="nil"/>
            </w:tcBorders>
          </w:tcPr>
          <w:p w14:paraId="1E975226" w14:textId="77777777" w:rsidR="00381141" w:rsidRPr="000725E5" w:rsidRDefault="00381141" w:rsidP="00EF6970">
            <w:r w:rsidRPr="000725E5">
              <w:t xml:space="preserve">This review article focuses on the involvement of the central nervous system in OTS and fatigue. Research evidence suggests that the central neurotransmitter serotonin acts on the sympathetic nervous system and the HPA axis; reciprocally, glucocorticoids (i.e., cortisol) and catecholamines (epinephrine, norepinephrine, </w:t>
            </w:r>
            <w:r w:rsidRPr="000725E5">
              <w:lastRenderedPageBreak/>
              <w:t>dopamine) affect central serotonergic systems. In pathological situations (i.e., major depression and possibly OTS), glucocorticoids and catecholamines apparently fail to restrain the HPA response to stress. Thus, neurotransmitters may play a key role in the maladaptations which characterize OTS.</w:t>
            </w:r>
          </w:p>
        </w:tc>
        <w:tc>
          <w:tcPr>
            <w:tcW w:w="1440" w:type="dxa"/>
            <w:tcBorders>
              <w:top w:val="nil"/>
              <w:bottom w:val="nil"/>
            </w:tcBorders>
            <w:shd w:val="clear" w:color="auto" w:fill="auto"/>
          </w:tcPr>
          <w:p w14:paraId="2E37484F" w14:textId="1BD7450F" w:rsidR="00381141" w:rsidRPr="000725E5" w:rsidRDefault="00350D24" w:rsidP="008078A0">
            <w:pPr>
              <w:jc w:val="center"/>
              <w:rPr>
                <w:color w:val="0070C0"/>
              </w:rPr>
            </w:pPr>
            <w:r>
              <w:rPr>
                <w:noProof/>
              </w:rPr>
              <w:lastRenderedPageBreak/>
              <w:t>(Meeusen, Watson et al. 2007)</w:t>
            </w:r>
          </w:p>
        </w:tc>
      </w:tr>
      <w:tr w:rsidR="00381141" w:rsidRPr="000725E5" w14:paraId="0D8CA529" w14:textId="77777777" w:rsidTr="008078A0">
        <w:tc>
          <w:tcPr>
            <w:tcW w:w="828" w:type="dxa"/>
            <w:tcBorders>
              <w:top w:val="nil"/>
              <w:bottom w:val="nil"/>
            </w:tcBorders>
          </w:tcPr>
          <w:p w14:paraId="6BA6FBE2" w14:textId="77777777" w:rsidR="00381141" w:rsidRPr="000725E5" w:rsidRDefault="00381141" w:rsidP="00EF6970">
            <w:r w:rsidRPr="000725E5">
              <w:t>2010</w:t>
            </w:r>
          </w:p>
        </w:tc>
        <w:tc>
          <w:tcPr>
            <w:tcW w:w="10980" w:type="dxa"/>
            <w:tcBorders>
              <w:top w:val="nil"/>
              <w:bottom w:val="nil"/>
            </w:tcBorders>
          </w:tcPr>
          <w:p w14:paraId="001A0BBC" w14:textId="77777777" w:rsidR="00381141" w:rsidRPr="000725E5" w:rsidRDefault="00381141" w:rsidP="00EF6970">
            <w:r w:rsidRPr="000725E5">
              <w:t>10 underperforming athletes from 8 different sports performed 2 laboratory maximal exercise tests (24-25 min duration) to exhaustion with 4 h rest between. Based on the duration of recovery after testing, NFO was retrospectively diagnosed in 5 athletes (1- to 6-month recovery), and OTS was diagnosed in 5 other athletes (1 to &gt;5 y recovery required).</w:t>
            </w:r>
            <w:r w:rsidRPr="000725E5">
              <w:rPr>
                <w:vertAlign w:val="superscript"/>
              </w:rPr>
              <w:t>c</w:t>
            </w:r>
            <w:r w:rsidRPr="000725E5">
              <w:t xml:space="preserve"> Venous blood was analyzed before and after both maximal exercise tests, to determine if specific variables could distinguish NFO from OTS. The authors concluded that NFO might be distinguished from OTS based on plasma ACTH and prolactin responses. In agreement with previous studies, these data suggested that NFO and OTS involve hypothalamic dysfunction rather than a malfunction of peripheral hormonal organs.</w:t>
            </w:r>
          </w:p>
        </w:tc>
        <w:tc>
          <w:tcPr>
            <w:tcW w:w="1440" w:type="dxa"/>
            <w:tcBorders>
              <w:top w:val="nil"/>
              <w:bottom w:val="nil"/>
            </w:tcBorders>
          </w:tcPr>
          <w:p w14:paraId="0240DDE1" w14:textId="4BF78419" w:rsidR="00381141" w:rsidRPr="000725E5" w:rsidRDefault="00350D24" w:rsidP="008078A0">
            <w:pPr>
              <w:jc w:val="center"/>
              <w:rPr>
                <w:color w:val="0070C0"/>
              </w:rPr>
            </w:pPr>
            <w:r>
              <w:rPr>
                <w:noProof/>
              </w:rPr>
              <w:t>(Meeusen, Nederhof et al. 2010)</w:t>
            </w:r>
          </w:p>
        </w:tc>
      </w:tr>
      <w:tr w:rsidR="00381141" w:rsidRPr="000725E5" w14:paraId="5AF57534" w14:textId="77777777" w:rsidTr="008078A0">
        <w:tc>
          <w:tcPr>
            <w:tcW w:w="828" w:type="dxa"/>
            <w:tcBorders>
              <w:top w:val="nil"/>
              <w:bottom w:val="nil"/>
            </w:tcBorders>
          </w:tcPr>
          <w:p w14:paraId="67A8BC05" w14:textId="77777777" w:rsidR="00381141" w:rsidRPr="000725E5" w:rsidRDefault="00381141" w:rsidP="00EF6970">
            <w:r w:rsidRPr="000725E5">
              <w:t>2017</w:t>
            </w:r>
          </w:p>
        </w:tc>
        <w:tc>
          <w:tcPr>
            <w:tcW w:w="10980" w:type="dxa"/>
            <w:tcBorders>
              <w:top w:val="nil"/>
              <w:bottom w:val="nil"/>
            </w:tcBorders>
          </w:tcPr>
          <w:p w14:paraId="4F41F73A" w14:textId="3F5720B4" w:rsidR="00381141" w:rsidRPr="000725E5" w:rsidRDefault="00381141" w:rsidP="001425BE">
            <w:r w:rsidRPr="000725E5">
              <w:t xml:space="preserve">A systematic literature search was conducted in the PUBMED, MEDLINE and Cochrane databases using 16 endocrine-related keywords, to evaluate the roles of hormones in OTS, functional overreaching (FO), and NFO (see Figure 1). The initial search yielded 835 articles, 38 of which were selected this analysis. There were three types of endocrine assessments of athletes: basal hormones in previously affected athletes, resting levels after overload training, and acute hormone responses to endocrine stimulation tests. The authors concluded that basal plasma concentrations are not useful as biomarkers of OTS or overreaching. Endurance sport athletes generally showed a reduction of catecholamine levels. </w:t>
            </w:r>
          </w:p>
        </w:tc>
        <w:tc>
          <w:tcPr>
            <w:tcW w:w="1440" w:type="dxa"/>
            <w:tcBorders>
              <w:top w:val="nil"/>
              <w:bottom w:val="nil"/>
            </w:tcBorders>
          </w:tcPr>
          <w:p w14:paraId="30B64157" w14:textId="79DBA947" w:rsidR="00381141" w:rsidRPr="000725E5" w:rsidRDefault="00350D24" w:rsidP="008078A0">
            <w:pPr>
              <w:jc w:val="center"/>
              <w:rPr>
                <w:color w:val="0070C0"/>
              </w:rPr>
            </w:pPr>
            <w:r>
              <w:rPr>
                <w:noProof/>
              </w:rPr>
              <w:t>(Cadegiani and Kater 2017)</w:t>
            </w:r>
          </w:p>
        </w:tc>
      </w:tr>
      <w:tr w:rsidR="00381141" w:rsidRPr="000725E5" w14:paraId="57C76FFD" w14:textId="77777777" w:rsidTr="008078A0">
        <w:tc>
          <w:tcPr>
            <w:tcW w:w="828" w:type="dxa"/>
            <w:tcBorders>
              <w:top w:val="nil"/>
              <w:bottom w:val="nil"/>
            </w:tcBorders>
          </w:tcPr>
          <w:p w14:paraId="159E3A7D" w14:textId="77777777" w:rsidR="00381141" w:rsidRPr="000725E5" w:rsidRDefault="00381141" w:rsidP="00EF6970">
            <w:r w:rsidRPr="000725E5">
              <w:t>2018</w:t>
            </w:r>
          </w:p>
        </w:tc>
        <w:tc>
          <w:tcPr>
            <w:tcW w:w="10980" w:type="dxa"/>
            <w:tcBorders>
              <w:top w:val="nil"/>
              <w:bottom w:val="nil"/>
            </w:tcBorders>
          </w:tcPr>
          <w:p w14:paraId="723684C8" w14:textId="298F23B9" w:rsidR="00381141" w:rsidRPr="000725E5" w:rsidRDefault="00381141" w:rsidP="00EF6970">
            <w:r w:rsidRPr="000725E5">
              <w:t>This study aimed to compare the HPA ax</w:t>
            </w:r>
            <w:r w:rsidR="0075644A">
              <w:t xml:space="preserve">is responses of 14 overtrained </w:t>
            </w:r>
            <w:r w:rsidRPr="000725E5">
              <w:t>athletes</w:t>
            </w:r>
            <w:r w:rsidRPr="000725E5">
              <w:rPr>
                <w:vertAlign w:val="superscript"/>
              </w:rPr>
              <w:t>c</w:t>
            </w:r>
            <w:r w:rsidRPr="000725E5">
              <w:t xml:space="preserve"> </w:t>
            </w:r>
            <w:r w:rsidR="0075644A">
              <w:t xml:space="preserve">(OTS) </w:t>
            </w:r>
            <w:r w:rsidRPr="000725E5">
              <w:t xml:space="preserve">to 25 healthy physically active subjects </w:t>
            </w:r>
            <w:r w:rsidR="001425BE">
              <w:t xml:space="preserve">(PA) </w:t>
            </w:r>
            <w:r w:rsidRPr="000725E5">
              <w:t>and 12 healthy non-active subjects</w:t>
            </w:r>
            <w:r w:rsidR="001425BE">
              <w:t xml:space="preserve"> (NA)</w:t>
            </w:r>
            <w:r w:rsidRPr="000725E5">
              <w:t>. This project measured plasma growth hormone (GH) and prolactin (PRL) responses to administration of intravenous insulin, a gold-standard and non-exercising endocrine stimulation test (ITT). Analyses determined that GH and PRL responses to the insulin tolerance test were blunted in OTS (versus the PA group). Unstimulated, resting basal concentrations of GH and PRL were lower in OTS (versus PA) but were similar to NA. In PA (compared to NA), growth hormone and prolactin responses to ITT were exacerbated. Based on their time-to-hypoglycemia during ITT, the authors recommended that athletes with OTS increase their dietary carbohydrate intake prior to training sessions to avoid hypoglycemia, because athletes with OTS may be more chronically and severely depleted of carbohydrates and glycogen.</w:t>
            </w:r>
          </w:p>
        </w:tc>
        <w:tc>
          <w:tcPr>
            <w:tcW w:w="1440" w:type="dxa"/>
            <w:tcBorders>
              <w:top w:val="nil"/>
              <w:bottom w:val="nil"/>
            </w:tcBorders>
          </w:tcPr>
          <w:p w14:paraId="3090CF6A" w14:textId="7BC2BA98" w:rsidR="00381141" w:rsidRPr="00FC55C7" w:rsidRDefault="00350D24" w:rsidP="008078A0">
            <w:pPr>
              <w:jc w:val="center"/>
              <w:rPr>
                <w:color w:val="0070C0"/>
              </w:rPr>
            </w:pPr>
            <w:r w:rsidRPr="00FC55C7">
              <w:rPr>
                <w:noProof/>
              </w:rPr>
              <w:t>(Cadegiani and Kater 2018</w:t>
            </w:r>
            <w:r w:rsidR="00FC55C7" w:rsidRPr="00FC55C7">
              <w:rPr>
                <w:noProof/>
              </w:rPr>
              <w:t>b</w:t>
            </w:r>
            <w:r w:rsidRPr="00FC55C7">
              <w:rPr>
                <w:noProof/>
              </w:rPr>
              <w:t>)</w:t>
            </w:r>
          </w:p>
          <w:p w14:paraId="3E71D892" w14:textId="77777777" w:rsidR="00381141" w:rsidRPr="00FC55C7" w:rsidRDefault="00381141" w:rsidP="008078A0">
            <w:pPr>
              <w:jc w:val="center"/>
              <w:rPr>
                <w:color w:val="00B050"/>
              </w:rPr>
            </w:pPr>
          </w:p>
          <w:p w14:paraId="308E2252" w14:textId="77777777" w:rsidR="00381141" w:rsidRPr="00FC55C7" w:rsidRDefault="00381141" w:rsidP="008078A0">
            <w:pPr>
              <w:jc w:val="center"/>
              <w:rPr>
                <w:color w:val="0070C0"/>
              </w:rPr>
            </w:pPr>
          </w:p>
        </w:tc>
      </w:tr>
      <w:tr w:rsidR="00381141" w:rsidRPr="000725E5" w14:paraId="740488FB" w14:textId="77777777" w:rsidTr="008078A0">
        <w:tc>
          <w:tcPr>
            <w:tcW w:w="828" w:type="dxa"/>
            <w:tcBorders>
              <w:top w:val="nil"/>
              <w:bottom w:val="nil"/>
            </w:tcBorders>
          </w:tcPr>
          <w:p w14:paraId="192032B3" w14:textId="77777777" w:rsidR="00381141" w:rsidRPr="000725E5" w:rsidRDefault="00381141" w:rsidP="00EF6970">
            <w:r w:rsidRPr="000725E5">
              <w:t>2019</w:t>
            </w:r>
          </w:p>
        </w:tc>
        <w:tc>
          <w:tcPr>
            <w:tcW w:w="10980" w:type="dxa"/>
            <w:tcBorders>
              <w:top w:val="nil"/>
              <w:bottom w:val="nil"/>
            </w:tcBorders>
          </w:tcPr>
          <w:p w14:paraId="0345C530" w14:textId="70C9760D" w:rsidR="00381141" w:rsidRPr="000725E5" w:rsidRDefault="00381141" w:rsidP="0075644A">
            <w:r w:rsidRPr="000725E5">
              <w:t>The 51 subjects were identical to those in the preceding study</w:t>
            </w:r>
            <w:r w:rsidR="00A24DB3">
              <w:t xml:space="preserve"> </w:t>
            </w:r>
            <w:r w:rsidR="00350D24">
              <w:rPr>
                <w:noProof/>
              </w:rPr>
              <w:t>(Cadegiani and Kater 2018</w:t>
            </w:r>
            <w:r w:rsidR="00FC55C7">
              <w:rPr>
                <w:noProof/>
              </w:rPr>
              <w:t>b</w:t>
            </w:r>
            <w:r w:rsidR="00350D24">
              <w:rPr>
                <w:noProof/>
              </w:rPr>
              <w:t>)</w:t>
            </w:r>
            <w:r w:rsidRPr="000725E5">
              <w:t xml:space="preserve">, identified as OTS, healthy physically active (PA), and healthy non-active (NA) men. A sequence of 3 gold standard non-exercising hormone tests were performed in all subjects, including the cosyntropin stimulation test, insulin tolerance test, and salivary cortisol rhythm test; these validated tests are endorsed by endocrine societies. Test results indicated that healthy </w:t>
            </w:r>
            <w:r w:rsidR="0075644A">
              <w:t xml:space="preserve">PA </w:t>
            </w:r>
            <w:r w:rsidRPr="000725E5">
              <w:t xml:space="preserve">experienced hormonal conditioning adaptations (versus </w:t>
            </w:r>
            <w:r w:rsidR="0075644A">
              <w:t>healthy NA</w:t>
            </w:r>
            <w:r w:rsidRPr="000725E5">
              <w:t xml:space="preserve">), but those </w:t>
            </w:r>
            <w:r w:rsidRPr="000725E5">
              <w:lastRenderedPageBreak/>
              <w:t xml:space="preserve">with OTS </w:t>
            </w:r>
            <w:r w:rsidR="0075644A">
              <w:t xml:space="preserve">exhibited </w:t>
            </w:r>
            <w:r w:rsidRPr="000725E5">
              <w:t>a blunted optimal hormone response to non-exercise stress (i.e., located in the hypothalamus and/or pituitary but not the adrenal glands); similar to deconditioning, this may explain the decreased performance and reduced time-to-fatigue observed during OTS.</w:t>
            </w:r>
          </w:p>
        </w:tc>
        <w:tc>
          <w:tcPr>
            <w:tcW w:w="1440" w:type="dxa"/>
            <w:tcBorders>
              <w:top w:val="nil"/>
              <w:bottom w:val="nil"/>
            </w:tcBorders>
          </w:tcPr>
          <w:p w14:paraId="26AA72D8" w14:textId="787D4C61" w:rsidR="00381141" w:rsidRPr="00FC55C7" w:rsidRDefault="00350D24" w:rsidP="008078A0">
            <w:pPr>
              <w:jc w:val="center"/>
              <w:rPr>
                <w:color w:val="0070C0"/>
              </w:rPr>
            </w:pPr>
            <w:r w:rsidRPr="00FC55C7">
              <w:rPr>
                <w:noProof/>
              </w:rPr>
              <w:lastRenderedPageBreak/>
              <w:t>(Cadegiani and Kater 2019</w:t>
            </w:r>
            <w:r w:rsidR="00FC55C7" w:rsidRPr="00FC55C7">
              <w:rPr>
                <w:noProof/>
              </w:rPr>
              <w:t>a</w:t>
            </w:r>
            <w:r w:rsidRPr="00FC55C7">
              <w:rPr>
                <w:noProof/>
              </w:rPr>
              <w:t>)</w:t>
            </w:r>
          </w:p>
        </w:tc>
      </w:tr>
      <w:tr w:rsidR="00381141" w:rsidRPr="000725E5" w14:paraId="313BB77C" w14:textId="77777777" w:rsidTr="008078A0">
        <w:tc>
          <w:tcPr>
            <w:tcW w:w="828" w:type="dxa"/>
            <w:tcBorders>
              <w:top w:val="nil"/>
              <w:bottom w:val="single" w:sz="4" w:space="0" w:color="auto"/>
            </w:tcBorders>
          </w:tcPr>
          <w:p w14:paraId="6D080515" w14:textId="77777777" w:rsidR="00381141" w:rsidRPr="000725E5" w:rsidRDefault="00381141" w:rsidP="00EF6970">
            <w:r w:rsidRPr="000725E5">
              <w:t>2019</w:t>
            </w:r>
          </w:p>
        </w:tc>
        <w:tc>
          <w:tcPr>
            <w:tcW w:w="10980" w:type="dxa"/>
            <w:tcBorders>
              <w:top w:val="nil"/>
              <w:bottom w:val="single" w:sz="4" w:space="0" w:color="auto"/>
            </w:tcBorders>
          </w:tcPr>
          <w:p w14:paraId="67B7F93A" w14:textId="1A8AE502" w:rsidR="00381141" w:rsidRPr="000725E5" w:rsidRDefault="00381141" w:rsidP="0075644A">
            <w:r w:rsidRPr="000725E5">
              <w:t xml:space="preserve">This investigation was designed to simplify and optimize the distinction between NFO and OTS. Test subjects (n = 100, 74 males), without (i.e., healthy controls) </w:t>
            </w:r>
            <w:r w:rsidR="0075644A">
              <w:t xml:space="preserve">and with </w:t>
            </w:r>
            <w:r w:rsidRPr="000725E5">
              <w:t xml:space="preserve">complaints of underperformance and fatigue, performed 2 laboratory maximal exercise tests to exhaustion with 4 h rest between (protocol described above, see </w:t>
            </w:r>
            <w:r w:rsidR="00350D24">
              <w:rPr>
                <w:noProof/>
              </w:rPr>
              <w:t>(Meeusen, Nederhof et al. 2010)</w:t>
            </w:r>
            <w:r w:rsidRPr="000725E5">
              <w:t>(28)). Before and after both exercise tests, blood was sampled and analyzed for the hormones cortisol, ACTH, prolactin, and growth hormone. Time of day and meal consumption were controlled. Statistical discriminant analysis indicated that hormonal (ACTH and prolactin) and psychological (ratings of fatigue and tension) responses to the second exercise test provided an accurate diagnosis of NFO and OTS with 98% sensitivity.</w:t>
            </w:r>
          </w:p>
        </w:tc>
        <w:tc>
          <w:tcPr>
            <w:tcW w:w="1440" w:type="dxa"/>
            <w:tcBorders>
              <w:top w:val="nil"/>
              <w:bottom w:val="single" w:sz="4" w:space="0" w:color="auto"/>
            </w:tcBorders>
          </w:tcPr>
          <w:p w14:paraId="17E116FD" w14:textId="08A74FE3" w:rsidR="00381141" w:rsidRPr="000725E5" w:rsidRDefault="00350D24" w:rsidP="008078A0">
            <w:pPr>
              <w:jc w:val="center"/>
              <w:rPr>
                <w:color w:val="0070C0"/>
              </w:rPr>
            </w:pPr>
            <w:r>
              <w:rPr>
                <w:noProof/>
              </w:rPr>
              <w:t>(Buyse, Decroix et al. 2019)</w:t>
            </w:r>
          </w:p>
        </w:tc>
      </w:tr>
    </w:tbl>
    <w:p w14:paraId="316F811C" w14:textId="77777777" w:rsidR="00784EB9" w:rsidRDefault="00381141" w:rsidP="005C1A42">
      <w:pPr>
        <w:spacing w:before="240" w:after="0" w:line="240" w:lineRule="auto"/>
      </w:pPr>
      <w:r w:rsidRPr="000725E5">
        <w:rPr>
          <w:vertAlign w:val="superscript"/>
        </w:rPr>
        <w:t>a</w:t>
      </w:r>
      <w:r w:rsidRPr="000725E5">
        <w:t>, published before currently-accepted criteria and operational definitions for OTS and NFO were published in the joint consensus statement of the European College of Sport Science and American College of Sports Medicine</w:t>
      </w:r>
      <w:r w:rsidR="00A24DB3">
        <w:t xml:space="preserve"> </w:t>
      </w:r>
      <w:r w:rsidR="00350D24">
        <w:rPr>
          <w:noProof/>
        </w:rPr>
        <w:t>(Meeusen, Duclos et al. 2013)</w:t>
      </w:r>
      <w:r w:rsidRPr="000725E5">
        <w:rPr>
          <w:vertAlign w:val="superscript"/>
        </w:rPr>
        <w:t>b</w:t>
      </w:r>
      <w:r w:rsidRPr="000725E5">
        <w:t xml:space="preserve">, overtraining was defined in terms of decreased performance; </w:t>
      </w:r>
      <w:r w:rsidRPr="000725E5">
        <w:rPr>
          <w:vertAlign w:val="superscript"/>
        </w:rPr>
        <w:t>c</w:t>
      </w:r>
      <w:r w:rsidRPr="000725E5">
        <w:t xml:space="preserve">, overtraining was defined in terms of decreased performance plus other criteria (e.g., time to the complete recovery of performance, self-ratings of fatigue or mood, sleep quality); </w:t>
      </w:r>
      <w:r w:rsidRPr="000725E5">
        <w:rPr>
          <w:vertAlign w:val="superscript"/>
        </w:rPr>
        <w:t>d</w:t>
      </w:r>
      <w:r w:rsidRPr="000725E5">
        <w:t xml:space="preserve">, overtraining was induced and verified by investigators as part of the experimental protocol; </w:t>
      </w:r>
      <w:r w:rsidRPr="000725E5">
        <w:rPr>
          <w:vertAlign w:val="superscript"/>
        </w:rPr>
        <w:t>e</w:t>
      </w:r>
      <w:r w:rsidRPr="000725E5">
        <w:t>, neither overtraining nor OTS were operationally defined</w:t>
      </w:r>
      <w:r w:rsidR="00784EB9">
        <w:t xml:space="preserve"> </w:t>
      </w:r>
    </w:p>
    <w:p w14:paraId="55BF5894" w14:textId="77777777" w:rsidR="00784EB9" w:rsidRDefault="00784EB9" w:rsidP="005C1A42">
      <w:pPr>
        <w:spacing w:before="240" w:after="0" w:line="240" w:lineRule="auto"/>
      </w:pPr>
    </w:p>
    <w:sectPr w:rsidR="00784EB9" w:rsidSect="00381141">
      <w:footerReference w:type="default" r:id="rId8"/>
      <w:pgSz w:w="15840" w:h="12240" w:orient="landscape"/>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8C6A0" w14:textId="77777777" w:rsidR="00315A7B" w:rsidRDefault="00315A7B" w:rsidP="00DB3112">
      <w:pPr>
        <w:spacing w:after="0" w:line="240" w:lineRule="auto"/>
      </w:pPr>
      <w:r>
        <w:separator/>
      </w:r>
    </w:p>
  </w:endnote>
  <w:endnote w:type="continuationSeparator" w:id="0">
    <w:p w14:paraId="56B2EB59" w14:textId="77777777" w:rsidR="00315A7B" w:rsidRDefault="00315A7B" w:rsidP="00DB3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9895348"/>
      <w:docPartObj>
        <w:docPartGallery w:val="Page Numbers (Bottom of Page)"/>
        <w:docPartUnique/>
      </w:docPartObj>
    </w:sdtPr>
    <w:sdtEndPr>
      <w:rPr>
        <w:noProof/>
      </w:rPr>
    </w:sdtEndPr>
    <w:sdtContent>
      <w:p w14:paraId="3459F326" w14:textId="77777777" w:rsidR="00DB10C6" w:rsidRDefault="00DB10C6">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14:paraId="79D1BE43" w14:textId="77777777" w:rsidR="00DB10C6" w:rsidRDefault="00DB10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AB605" w14:textId="77777777" w:rsidR="00315A7B" w:rsidRDefault="00315A7B" w:rsidP="00DB3112">
      <w:pPr>
        <w:spacing w:after="0" w:line="240" w:lineRule="auto"/>
      </w:pPr>
      <w:r>
        <w:separator/>
      </w:r>
    </w:p>
  </w:footnote>
  <w:footnote w:type="continuationSeparator" w:id="0">
    <w:p w14:paraId="5124DE5C" w14:textId="77777777" w:rsidR="00315A7B" w:rsidRDefault="00315A7B" w:rsidP="00DB31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F2E2F"/>
    <w:multiLevelType w:val="multilevel"/>
    <w:tmpl w:val="069E4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E3236E"/>
    <w:multiLevelType w:val="hybridMultilevel"/>
    <w:tmpl w:val="E7AC6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D12A35"/>
    <w:multiLevelType w:val="hybridMultilevel"/>
    <w:tmpl w:val="E54E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C978F0"/>
    <w:multiLevelType w:val="hybridMultilevel"/>
    <w:tmpl w:val="D6505C5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2C520DCC"/>
    <w:multiLevelType w:val="hybridMultilevel"/>
    <w:tmpl w:val="037AB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6E4111"/>
    <w:multiLevelType w:val="hybridMultilevel"/>
    <w:tmpl w:val="EB98C0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5262644"/>
    <w:multiLevelType w:val="hybridMultilevel"/>
    <w:tmpl w:val="EE4C9E04"/>
    <w:lvl w:ilvl="0" w:tplc="41DADA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6540415"/>
    <w:multiLevelType w:val="hybridMultilevel"/>
    <w:tmpl w:val="78584A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FF195D"/>
    <w:multiLevelType w:val="hybridMultilevel"/>
    <w:tmpl w:val="81C27D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D4769E2"/>
    <w:multiLevelType w:val="hybridMultilevel"/>
    <w:tmpl w:val="AB14C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6355F0"/>
    <w:multiLevelType w:val="hybridMultilevel"/>
    <w:tmpl w:val="E53E1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E63E46"/>
    <w:multiLevelType w:val="hybridMultilevel"/>
    <w:tmpl w:val="74C8BC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CA42AEA"/>
    <w:multiLevelType w:val="hybridMultilevel"/>
    <w:tmpl w:val="241499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A03EC6"/>
    <w:multiLevelType w:val="hybridMultilevel"/>
    <w:tmpl w:val="0B5E5A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4"/>
  </w:num>
  <w:num w:numId="3">
    <w:abstractNumId w:val="9"/>
  </w:num>
  <w:num w:numId="4">
    <w:abstractNumId w:val="1"/>
  </w:num>
  <w:num w:numId="5">
    <w:abstractNumId w:val="2"/>
  </w:num>
  <w:num w:numId="6">
    <w:abstractNumId w:val="12"/>
  </w:num>
  <w:num w:numId="7">
    <w:abstractNumId w:val="3"/>
  </w:num>
  <w:num w:numId="8">
    <w:abstractNumId w:val="5"/>
  </w:num>
  <w:num w:numId="9">
    <w:abstractNumId w:val="8"/>
  </w:num>
  <w:num w:numId="10">
    <w:abstractNumId w:val="10"/>
  </w:num>
  <w:num w:numId="11">
    <w:abstractNumId w:val="0"/>
  </w:num>
  <w:num w:numId="12">
    <w:abstractNumId w:val="13"/>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uthor-Dat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0F5F89"/>
    <w:rsid w:val="00000E0C"/>
    <w:rsid w:val="00003573"/>
    <w:rsid w:val="00004E33"/>
    <w:rsid w:val="000059B4"/>
    <w:rsid w:val="00007BE1"/>
    <w:rsid w:val="00011AB2"/>
    <w:rsid w:val="00012895"/>
    <w:rsid w:val="00012A66"/>
    <w:rsid w:val="0001526A"/>
    <w:rsid w:val="00016A5D"/>
    <w:rsid w:val="00017633"/>
    <w:rsid w:val="00017CCD"/>
    <w:rsid w:val="0002019D"/>
    <w:rsid w:val="000202D1"/>
    <w:rsid w:val="00023DD3"/>
    <w:rsid w:val="00024926"/>
    <w:rsid w:val="00024D31"/>
    <w:rsid w:val="00026FC1"/>
    <w:rsid w:val="00030952"/>
    <w:rsid w:val="000309CE"/>
    <w:rsid w:val="00031B19"/>
    <w:rsid w:val="000324C5"/>
    <w:rsid w:val="00033C6D"/>
    <w:rsid w:val="000341D6"/>
    <w:rsid w:val="00035D6C"/>
    <w:rsid w:val="00036A16"/>
    <w:rsid w:val="000371D4"/>
    <w:rsid w:val="000375FA"/>
    <w:rsid w:val="00037C0E"/>
    <w:rsid w:val="000441A2"/>
    <w:rsid w:val="000462E2"/>
    <w:rsid w:val="000474A9"/>
    <w:rsid w:val="000503B2"/>
    <w:rsid w:val="00050E9F"/>
    <w:rsid w:val="0005152D"/>
    <w:rsid w:val="0005522F"/>
    <w:rsid w:val="00055789"/>
    <w:rsid w:val="000562E6"/>
    <w:rsid w:val="000578C2"/>
    <w:rsid w:val="0006134D"/>
    <w:rsid w:val="000635A3"/>
    <w:rsid w:val="00064BB9"/>
    <w:rsid w:val="00066615"/>
    <w:rsid w:val="00067967"/>
    <w:rsid w:val="00067CB3"/>
    <w:rsid w:val="000725E5"/>
    <w:rsid w:val="0007289B"/>
    <w:rsid w:val="0007496E"/>
    <w:rsid w:val="0008035E"/>
    <w:rsid w:val="00081A85"/>
    <w:rsid w:val="000820F7"/>
    <w:rsid w:val="00082FC0"/>
    <w:rsid w:val="00083798"/>
    <w:rsid w:val="00083BE0"/>
    <w:rsid w:val="00091E3D"/>
    <w:rsid w:val="000935DE"/>
    <w:rsid w:val="00096DF6"/>
    <w:rsid w:val="000977F7"/>
    <w:rsid w:val="000A4A51"/>
    <w:rsid w:val="000A6E2F"/>
    <w:rsid w:val="000B0E6B"/>
    <w:rsid w:val="000B131D"/>
    <w:rsid w:val="000B44D5"/>
    <w:rsid w:val="000B4740"/>
    <w:rsid w:val="000B5521"/>
    <w:rsid w:val="000B5E6B"/>
    <w:rsid w:val="000B5E86"/>
    <w:rsid w:val="000B73BC"/>
    <w:rsid w:val="000B7BE7"/>
    <w:rsid w:val="000C4024"/>
    <w:rsid w:val="000C4932"/>
    <w:rsid w:val="000C5D45"/>
    <w:rsid w:val="000C611D"/>
    <w:rsid w:val="000C7169"/>
    <w:rsid w:val="000C7205"/>
    <w:rsid w:val="000C7498"/>
    <w:rsid w:val="000D2F0A"/>
    <w:rsid w:val="000D42E5"/>
    <w:rsid w:val="000D45FC"/>
    <w:rsid w:val="000D5465"/>
    <w:rsid w:val="000D5DB1"/>
    <w:rsid w:val="000D60B0"/>
    <w:rsid w:val="000E2820"/>
    <w:rsid w:val="000E3488"/>
    <w:rsid w:val="000E62DB"/>
    <w:rsid w:val="000F05F1"/>
    <w:rsid w:val="000F0C8D"/>
    <w:rsid w:val="000F161A"/>
    <w:rsid w:val="000F2C2C"/>
    <w:rsid w:val="000F37D5"/>
    <w:rsid w:val="000F3A4D"/>
    <w:rsid w:val="000F5AF0"/>
    <w:rsid w:val="000F5F89"/>
    <w:rsid w:val="000F668A"/>
    <w:rsid w:val="000F770A"/>
    <w:rsid w:val="000F7AE8"/>
    <w:rsid w:val="001014F2"/>
    <w:rsid w:val="00102E40"/>
    <w:rsid w:val="00107FD6"/>
    <w:rsid w:val="00107FEF"/>
    <w:rsid w:val="001103D2"/>
    <w:rsid w:val="0011185F"/>
    <w:rsid w:val="0011189B"/>
    <w:rsid w:val="001118B5"/>
    <w:rsid w:val="00112433"/>
    <w:rsid w:val="00112D7D"/>
    <w:rsid w:val="001136B7"/>
    <w:rsid w:val="00113845"/>
    <w:rsid w:val="0011449E"/>
    <w:rsid w:val="00120BD9"/>
    <w:rsid w:val="001216E8"/>
    <w:rsid w:val="00123602"/>
    <w:rsid w:val="0012646C"/>
    <w:rsid w:val="001265D7"/>
    <w:rsid w:val="00126A3A"/>
    <w:rsid w:val="0012731A"/>
    <w:rsid w:val="00127436"/>
    <w:rsid w:val="00132AFB"/>
    <w:rsid w:val="00132BA1"/>
    <w:rsid w:val="0013462E"/>
    <w:rsid w:val="001360CD"/>
    <w:rsid w:val="0013748F"/>
    <w:rsid w:val="001424FB"/>
    <w:rsid w:val="001425BE"/>
    <w:rsid w:val="00142668"/>
    <w:rsid w:val="00144847"/>
    <w:rsid w:val="001475AD"/>
    <w:rsid w:val="00154654"/>
    <w:rsid w:val="00154714"/>
    <w:rsid w:val="00154D58"/>
    <w:rsid w:val="001606E8"/>
    <w:rsid w:val="001627B2"/>
    <w:rsid w:val="0016290E"/>
    <w:rsid w:val="00162FC1"/>
    <w:rsid w:val="001632FC"/>
    <w:rsid w:val="001644C7"/>
    <w:rsid w:val="00164896"/>
    <w:rsid w:val="00166295"/>
    <w:rsid w:val="00167BC6"/>
    <w:rsid w:val="00167EB5"/>
    <w:rsid w:val="001703F8"/>
    <w:rsid w:val="001727BE"/>
    <w:rsid w:val="0017551B"/>
    <w:rsid w:val="00176022"/>
    <w:rsid w:val="00180170"/>
    <w:rsid w:val="001813B0"/>
    <w:rsid w:val="0018288B"/>
    <w:rsid w:val="00185020"/>
    <w:rsid w:val="001872A1"/>
    <w:rsid w:val="00187EE8"/>
    <w:rsid w:val="0019614A"/>
    <w:rsid w:val="00197163"/>
    <w:rsid w:val="001A1041"/>
    <w:rsid w:val="001A1185"/>
    <w:rsid w:val="001A2947"/>
    <w:rsid w:val="001A29DF"/>
    <w:rsid w:val="001A2B47"/>
    <w:rsid w:val="001A2EBD"/>
    <w:rsid w:val="001A62D8"/>
    <w:rsid w:val="001B09B7"/>
    <w:rsid w:val="001B1684"/>
    <w:rsid w:val="001B26E8"/>
    <w:rsid w:val="001B5753"/>
    <w:rsid w:val="001B57ED"/>
    <w:rsid w:val="001B657A"/>
    <w:rsid w:val="001B6F40"/>
    <w:rsid w:val="001C0E1F"/>
    <w:rsid w:val="001C4997"/>
    <w:rsid w:val="001C4FCF"/>
    <w:rsid w:val="001C517F"/>
    <w:rsid w:val="001C698D"/>
    <w:rsid w:val="001C7938"/>
    <w:rsid w:val="001D04E1"/>
    <w:rsid w:val="001D158A"/>
    <w:rsid w:val="001D2768"/>
    <w:rsid w:val="001D3CD1"/>
    <w:rsid w:val="001D4123"/>
    <w:rsid w:val="001D60EF"/>
    <w:rsid w:val="001D6DB8"/>
    <w:rsid w:val="001D7DA5"/>
    <w:rsid w:val="001E0E80"/>
    <w:rsid w:val="001E16E2"/>
    <w:rsid w:val="001E413E"/>
    <w:rsid w:val="001E4885"/>
    <w:rsid w:val="001E4A24"/>
    <w:rsid w:val="001E4F27"/>
    <w:rsid w:val="001E5096"/>
    <w:rsid w:val="001E60A8"/>
    <w:rsid w:val="001E60B8"/>
    <w:rsid w:val="001E6537"/>
    <w:rsid w:val="001E6DAD"/>
    <w:rsid w:val="001E7412"/>
    <w:rsid w:val="001F00E3"/>
    <w:rsid w:val="001F0E2B"/>
    <w:rsid w:val="001F4856"/>
    <w:rsid w:val="001F4FF7"/>
    <w:rsid w:val="001F6B90"/>
    <w:rsid w:val="001F732F"/>
    <w:rsid w:val="001F7F9A"/>
    <w:rsid w:val="002022EC"/>
    <w:rsid w:val="00203328"/>
    <w:rsid w:val="002037CC"/>
    <w:rsid w:val="0020396A"/>
    <w:rsid w:val="00204B43"/>
    <w:rsid w:val="00205778"/>
    <w:rsid w:val="002059D1"/>
    <w:rsid w:val="00206819"/>
    <w:rsid w:val="00210FA2"/>
    <w:rsid w:val="00211360"/>
    <w:rsid w:val="0021153B"/>
    <w:rsid w:val="002157B6"/>
    <w:rsid w:val="00215B34"/>
    <w:rsid w:val="00217027"/>
    <w:rsid w:val="00220D3D"/>
    <w:rsid w:val="00222369"/>
    <w:rsid w:val="0022286B"/>
    <w:rsid w:val="002235A5"/>
    <w:rsid w:val="00223720"/>
    <w:rsid w:val="002247D9"/>
    <w:rsid w:val="002248C5"/>
    <w:rsid w:val="002278B4"/>
    <w:rsid w:val="00231167"/>
    <w:rsid w:val="00231BAD"/>
    <w:rsid w:val="0023408C"/>
    <w:rsid w:val="00241171"/>
    <w:rsid w:val="00245CAC"/>
    <w:rsid w:val="00247E1F"/>
    <w:rsid w:val="00250BF0"/>
    <w:rsid w:val="00250C05"/>
    <w:rsid w:val="0025184C"/>
    <w:rsid w:val="00253BAE"/>
    <w:rsid w:val="0025591E"/>
    <w:rsid w:val="00255F31"/>
    <w:rsid w:val="0025709D"/>
    <w:rsid w:val="0025710C"/>
    <w:rsid w:val="00262E15"/>
    <w:rsid w:val="00263B4B"/>
    <w:rsid w:val="00267CF9"/>
    <w:rsid w:val="00271F20"/>
    <w:rsid w:val="002720E2"/>
    <w:rsid w:val="00275A1F"/>
    <w:rsid w:val="00276EC6"/>
    <w:rsid w:val="00280848"/>
    <w:rsid w:val="0028325D"/>
    <w:rsid w:val="00284040"/>
    <w:rsid w:val="00284EA3"/>
    <w:rsid w:val="00290594"/>
    <w:rsid w:val="00291394"/>
    <w:rsid w:val="00291CF3"/>
    <w:rsid w:val="002928F8"/>
    <w:rsid w:val="00293EBE"/>
    <w:rsid w:val="00294B19"/>
    <w:rsid w:val="00294FC0"/>
    <w:rsid w:val="00295CB7"/>
    <w:rsid w:val="002964CB"/>
    <w:rsid w:val="00297201"/>
    <w:rsid w:val="002A0DEB"/>
    <w:rsid w:val="002A22ED"/>
    <w:rsid w:val="002A353F"/>
    <w:rsid w:val="002A4426"/>
    <w:rsid w:val="002A4E66"/>
    <w:rsid w:val="002A6DC5"/>
    <w:rsid w:val="002B0FC4"/>
    <w:rsid w:val="002B37F3"/>
    <w:rsid w:val="002B4A98"/>
    <w:rsid w:val="002B51F6"/>
    <w:rsid w:val="002B6A19"/>
    <w:rsid w:val="002B6C17"/>
    <w:rsid w:val="002C2B36"/>
    <w:rsid w:val="002C56DF"/>
    <w:rsid w:val="002C780C"/>
    <w:rsid w:val="002C7AC7"/>
    <w:rsid w:val="002C7B0B"/>
    <w:rsid w:val="002D00F4"/>
    <w:rsid w:val="002D2DA9"/>
    <w:rsid w:val="002D3DF8"/>
    <w:rsid w:val="002D4A52"/>
    <w:rsid w:val="002D5DE5"/>
    <w:rsid w:val="002D62EF"/>
    <w:rsid w:val="002F08EF"/>
    <w:rsid w:val="002F35A7"/>
    <w:rsid w:val="002F35E8"/>
    <w:rsid w:val="002F53DA"/>
    <w:rsid w:val="00300370"/>
    <w:rsid w:val="00300D9F"/>
    <w:rsid w:val="00303DB5"/>
    <w:rsid w:val="003049F7"/>
    <w:rsid w:val="00306759"/>
    <w:rsid w:val="003076CB"/>
    <w:rsid w:val="003135C6"/>
    <w:rsid w:val="00313CFC"/>
    <w:rsid w:val="00315361"/>
    <w:rsid w:val="00315A7B"/>
    <w:rsid w:val="00316900"/>
    <w:rsid w:val="00316BC8"/>
    <w:rsid w:val="00321D64"/>
    <w:rsid w:val="003225BD"/>
    <w:rsid w:val="00322C3A"/>
    <w:rsid w:val="0032353D"/>
    <w:rsid w:val="003239AE"/>
    <w:rsid w:val="00324C3F"/>
    <w:rsid w:val="0032630F"/>
    <w:rsid w:val="003266B7"/>
    <w:rsid w:val="00327353"/>
    <w:rsid w:val="00332C6D"/>
    <w:rsid w:val="00333D04"/>
    <w:rsid w:val="00334FE1"/>
    <w:rsid w:val="003357A7"/>
    <w:rsid w:val="00335C9D"/>
    <w:rsid w:val="00335E63"/>
    <w:rsid w:val="00336055"/>
    <w:rsid w:val="00336539"/>
    <w:rsid w:val="00337C42"/>
    <w:rsid w:val="003416C3"/>
    <w:rsid w:val="0034256C"/>
    <w:rsid w:val="003460EC"/>
    <w:rsid w:val="003461BF"/>
    <w:rsid w:val="00346916"/>
    <w:rsid w:val="00347F6C"/>
    <w:rsid w:val="0035084D"/>
    <w:rsid w:val="0035095A"/>
    <w:rsid w:val="00350B7D"/>
    <w:rsid w:val="00350D24"/>
    <w:rsid w:val="00351CFC"/>
    <w:rsid w:val="0035297D"/>
    <w:rsid w:val="00352E52"/>
    <w:rsid w:val="00353721"/>
    <w:rsid w:val="00353DFA"/>
    <w:rsid w:val="0035694A"/>
    <w:rsid w:val="00360187"/>
    <w:rsid w:val="00362981"/>
    <w:rsid w:val="00363ECC"/>
    <w:rsid w:val="00364F12"/>
    <w:rsid w:val="00370BC4"/>
    <w:rsid w:val="00373BE8"/>
    <w:rsid w:val="00376ACA"/>
    <w:rsid w:val="00377E6D"/>
    <w:rsid w:val="003802E2"/>
    <w:rsid w:val="0038046D"/>
    <w:rsid w:val="00380796"/>
    <w:rsid w:val="00381141"/>
    <w:rsid w:val="003826B2"/>
    <w:rsid w:val="0038351C"/>
    <w:rsid w:val="00385211"/>
    <w:rsid w:val="003856F7"/>
    <w:rsid w:val="003863BE"/>
    <w:rsid w:val="003867DA"/>
    <w:rsid w:val="00390AEC"/>
    <w:rsid w:val="00393076"/>
    <w:rsid w:val="00393CBA"/>
    <w:rsid w:val="003957D9"/>
    <w:rsid w:val="00395823"/>
    <w:rsid w:val="00397AC5"/>
    <w:rsid w:val="003A0FFA"/>
    <w:rsid w:val="003A15E9"/>
    <w:rsid w:val="003A1B5E"/>
    <w:rsid w:val="003A1BD9"/>
    <w:rsid w:val="003A367F"/>
    <w:rsid w:val="003A4F6B"/>
    <w:rsid w:val="003A65B7"/>
    <w:rsid w:val="003A7424"/>
    <w:rsid w:val="003B2352"/>
    <w:rsid w:val="003B2EA2"/>
    <w:rsid w:val="003B43D5"/>
    <w:rsid w:val="003B445E"/>
    <w:rsid w:val="003B6F91"/>
    <w:rsid w:val="003C2A9E"/>
    <w:rsid w:val="003C3D5C"/>
    <w:rsid w:val="003C5A0D"/>
    <w:rsid w:val="003C7327"/>
    <w:rsid w:val="003D0452"/>
    <w:rsid w:val="003D2AE7"/>
    <w:rsid w:val="003D2D22"/>
    <w:rsid w:val="003D377A"/>
    <w:rsid w:val="003D4F4B"/>
    <w:rsid w:val="003D6B1F"/>
    <w:rsid w:val="003D6BE2"/>
    <w:rsid w:val="003D72D1"/>
    <w:rsid w:val="003E03D8"/>
    <w:rsid w:val="003E0E69"/>
    <w:rsid w:val="003E1601"/>
    <w:rsid w:val="003E2D62"/>
    <w:rsid w:val="003E768E"/>
    <w:rsid w:val="003F013C"/>
    <w:rsid w:val="003F1A51"/>
    <w:rsid w:val="003F375F"/>
    <w:rsid w:val="003F3DEA"/>
    <w:rsid w:val="003F3F9F"/>
    <w:rsid w:val="003F5180"/>
    <w:rsid w:val="003F524C"/>
    <w:rsid w:val="003F5C52"/>
    <w:rsid w:val="0040129B"/>
    <w:rsid w:val="00402018"/>
    <w:rsid w:val="00403271"/>
    <w:rsid w:val="00404B30"/>
    <w:rsid w:val="0040608C"/>
    <w:rsid w:val="004062DB"/>
    <w:rsid w:val="0040638C"/>
    <w:rsid w:val="004169A1"/>
    <w:rsid w:val="00417117"/>
    <w:rsid w:val="00417F9F"/>
    <w:rsid w:val="00420817"/>
    <w:rsid w:val="0042311F"/>
    <w:rsid w:val="004254BC"/>
    <w:rsid w:val="00425940"/>
    <w:rsid w:val="00426758"/>
    <w:rsid w:val="004273EC"/>
    <w:rsid w:val="004312E5"/>
    <w:rsid w:val="004350B6"/>
    <w:rsid w:val="00435D59"/>
    <w:rsid w:val="00436403"/>
    <w:rsid w:val="00436AB3"/>
    <w:rsid w:val="00440683"/>
    <w:rsid w:val="004408CB"/>
    <w:rsid w:val="0044125F"/>
    <w:rsid w:val="004413FD"/>
    <w:rsid w:val="00442FF3"/>
    <w:rsid w:val="004433D1"/>
    <w:rsid w:val="0044511C"/>
    <w:rsid w:val="00450DF1"/>
    <w:rsid w:val="004517C1"/>
    <w:rsid w:val="00452CA3"/>
    <w:rsid w:val="00452DC5"/>
    <w:rsid w:val="004549AE"/>
    <w:rsid w:val="00455071"/>
    <w:rsid w:val="00455410"/>
    <w:rsid w:val="004573D4"/>
    <w:rsid w:val="00461A7F"/>
    <w:rsid w:val="004621C3"/>
    <w:rsid w:val="00462454"/>
    <w:rsid w:val="00463086"/>
    <w:rsid w:val="0046477A"/>
    <w:rsid w:val="00465BC2"/>
    <w:rsid w:val="0046724F"/>
    <w:rsid w:val="004711E3"/>
    <w:rsid w:val="004713EC"/>
    <w:rsid w:val="00474C69"/>
    <w:rsid w:val="00476901"/>
    <w:rsid w:val="00480F68"/>
    <w:rsid w:val="00481777"/>
    <w:rsid w:val="00482DFF"/>
    <w:rsid w:val="00482F31"/>
    <w:rsid w:val="0048530E"/>
    <w:rsid w:val="004876CA"/>
    <w:rsid w:val="00492E10"/>
    <w:rsid w:val="004966C3"/>
    <w:rsid w:val="0049753F"/>
    <w:rsid w:val="00497EFD"/>
    <w:rsid w:val="004A21E1"/>
    <w:rsid w:val="004A58D2"/>
    <w:rsid w:val="004A5EA9"/>
    <w:rsid w:val="004A6F76"/>
    <w:rsid w:val="004B05D6"/>
    <w:rsid w:val="004B0ED9"/>
    <w:rsid w:val="004B424C"/>
    <w:rsid w:val="004B570D"/>
    <w:rsid w:val="004B6704"/>
    <w:rsid w:val="004B7703"/>
    <w:rsid w:val="004C3596"/>
    <w:rsid w:val="004C3BD5"/>
    <w:rsid w:val="004C5859"/>
    <w:rsid w:val="004C59EC"/>
    <w:rsid w:val="004C7533"/>
    <w:rsid w:val="004C7574"/>
    <w:rsid w:val="004C768F"/>
    <w:rsid w:val="004E06A2"/>
    <w:rsid w:val="004E3EED"/>
    <w:rsid w:val="004E656C"/>
    <w:rsid w:val="004E7BEA"/>
    <w:rsid w:val="004F066D"/>
    <w:rsid w:val="004F0A3D"/>
    <w:rsid w:val="004F5950"/>
    <w:rsid w:val="00500258"/>
    <w:rsid w:val="005017FE"/>
    <w:rsid w:val="00502C69"/>
    <w:rsid w:val="00503A36"/>
    <w:rsid w:val="005041A1"/>
    <w:rsid w:val="00505C89"/>
    <w:rsid w:val="00506341"/>
    <w:rsid w:val="00510A9E"/>
    <w:rsid w:val="00510E3C"/>
    <w:rsid w:val="005117F2"/>
    <w:rsid w:val="00512C39"/>
    <w:rsid w:val="00513822"/>
    <w:rsid w:val="005156A9"/>
    <w:rsid w:val="005156E2"/>
    <w:rsid w:val="005160FA"/>
    <w:rsid w:val="00517B12"/>
    <w:rsid w:val="00523BF7"/>
    <w:rsid w:val="00523FA8"/>
    <w:rsid w:val="005242B9"/>
    <w:rsid w:val="005254CB"/>
    <w:rsid w:val="00525FB8"/>
    <w:rsid w:val="00526045"/>
    <w:rsid w:val="0052678F"/>
    <w:rsid w:val="00526BDB"/>
    <w:rsid w:val="00527604"/>
    <w:rsid w:val="0053091E"/>
    <w:rsid w:val="00531BC8"/>
    <w:rsid w:val="00533C61"/>
    <w:rsid w:val="00534127"/>
    <w:rsid w:val="005345E1"/>
    <w:rsid w:val="005364A9"/>
    <w:rsid w:val="00536ED7"/>
    <w:rsid w:val="0054440C"/>
    <w:rsid w:val="00544A96"/>
    <w:rsid w:val="00551638"/>
    <w:rsid w:val="00554E37"/>
    <w:rsid w:val="00555E11"/>
    <w:rsid w:val="00557198"/>
    <w:rsid w:val="00557E53"/>
    <w:rsid w:val="00562A7B"/>
    <w:rsid w:val="00564A8D"/>
    <w:rsid w:val="00565377"/>
    <w:rsid w:val="00565F0F"/>
    <w:rsid w:val="00573083"/>
    <w:rsid w:val="00574A04"/>
    <w:rsid w:val="005759D5"/>
    <w:rsid w:val="00576404"/>
    <w:rsid w:val="00576C68"/>
    <w:rsid w:val="00576E16"/>
    <w:rsid w:val="00576E48"/>
    <w:rsid w:val="005808C2"/>
    <w:rsid w:val="00580B03"/>
    <w:rsid w:val="005822B6"/>
    <w:rsid w:val="00583352"/>
    <w:rsid w:val="00583A82"/>
    <w:rsid w:val="005841A7"/>
    <w:rsid w:val="00587C55"/>
    <w:rsid w:val="00587D30"/>
    <w:rsid w:val="0059148A"/>
    <w:rsid w:val="005915AB"/>
    <w:rsid w:val="00591FD7"/>
    <w:rsid w:val="00592E7B"/>
    <w:rsid w:val="00594A38"/>
    <w:rsid w:val="00594CD2"/>
    <w:rsid w:val="00594F80"/>
    <w:rsid w:val="00596084"/>
    <w:rsid w:val="005A1C39"/>
    <w:rsid w:val="005A5DB0"/>
    <w:rsid w:val="005B15F6"/>
    <w:rsid w:val="005B2036"/>
    <w:rsid w:val="005B2504"/>
    <w:rsid w:val="005B28F8"/>
    <w:rsid w:val="005B3302"/>
    <w:rsid w:val="005B4C72"/>
    <w:rsid w:val="005B51BB"/>
    <w:rsid w:val="005B73D9"/>
    <w:rsid w:val="005C1086"/>
    <w:rsid w:val="005C1090"/>
    <w:rsid w:val="005C1A42"/>
    <w:rsid w:val="005C207F"/>
    <w:rsid w:val="005C3364"/>
    <w:rsid w:val="005C482A"/>
    <w:rsid w:val="005C696A"/>
    <w:rsid w:val="005C7A08"/>
    <w:rsid w:val="005D0690"/>
    <w:rsid w:val="005D2723"/>
    <w:rsid w:val="005D2FF0"/>
    <w:rsid w:val="005D3A8C"/>
    <w:rsid w:val="005D3B08"/>
    <w:rsid w:val="005D4E73"/>
    <w:rsid w:val="005E0416"/>
    <w:rsid w:val="005E09C1"/>
    <w:rsid w:val="005E0BA7"/>
    <w:rsid w:val="005E0F8C"/>
    <w:rsid w:val="005E260F"/>
    <w:rsid w:val="005E3712"/>
    <w:rsid w:val="005E499F"/>
    <w:rsid w:val="005E51A7"/>
    <w:rsid w:val="005E62EE"/>
    <w:rsid w:val="005E7147"/>
    <w:rsid w:val="005F1248"/>
    <w:rsid w:val="005F30DD"/>
    <w:rsid w:val="005F35DE"/>
    <w:rsid w:val="005F36A9"/>
    <w:rsid w:val="005F3A5C"/>
    <w:rsid w:val="005F5081"/>
    <w:rsid w:val="005F530B"/>
    <w:rsid w:val="005F5926"/>
    <w:rsid w:val="005F75A8"/>
    <w:rsid w:val="005F7AB1"/>
    <w:rsid w:val="006003BD"/>
    <w:rsid w:val="00600B7A"/>
    <w:rsid w:val="00604785"/>
    <w:rsid w:val="0060501D"/>
    <w:rsid w:val="006057D4"/>
    <w:rsid w:val="006079BB"/>
    <w:rsid w:val="006103DF"/>
    <w:rsid w:val="00611A1A"/>
    <w:rsid w:val="00612C8C"/>
    <w:rsid w:val="0061402E"/>
    <w:rsid w:val="00615E4B"/>
    <w:rsid w:val="00617CA1"/>
    <w:rsid w:val="006201B4"/>
    <w:rsid w:val="006204EA"/>
    <w:rsid w:val="00621525"/>
    <w:rsid w:val="006223D7"/>
    <w:rsid w:val="00622CFB"/>
    <w:rsid w:val="006240BE"/>
    <w:rsid w:val="006245F3"/>
    <w:rsid w:val="00624E5E"/>
    <w:rsid w:val="00624FD6"/>
    <w:rsid w:val="00626554"/>
    <w:rsid w:val="0063494E"/>
    <w:rsid w:val="00635A1A"/>
    <w:rsid w:val="00636B5F"/>
    <w:rsid w:val="0063724F"/>
    <w:rsid w:val="00637BF7"/>
    <w:rsid w:val="0064210D"/>
    <w:rsid w:val="00642EAF"/>
    <w:rsid w:val="00646553"/>
    <w:rsid w:val="00647962"/>
    <w:rsid w:val="00647E45"/>
    <w:rsid w:val="0065108C"/>
    <w:rsid w:val="0065229C"/>
    <w:rsid w:val="00652FC6"/>
    <w:rsid w:val="00653B35"/>
    <w:rsid w:val="00656F4D"/>
    <w:rsid w:val="006572B6"/>
    <w:rsid w:val="00664A82"/>
    <w:rsid w:val="00664AB9"/>
    <w:rsid w:val="006654F1"/>
    <w:rsid w:val="00666F1C"/>
    <w:rsid w:val="006673CC"/>
    <w:rsid w:val="00670377"/>
    <w:rsid w:val="00672FE3"/>
    <w:rsid w:val="0067388C"/>
    <w:rsid w:val="00674252"/>
    <w:rsid w:val="00675D32"/>
    <w:rsid w:val="0067685B"/>
    <w:rsid w:val="00676E1A"/>
    <w:rsid w:val="00677604"/>
    <w:rsid w:val="00677C2E"/>
    <w:rsid w:val="00680D18"/>
    <w:rsid w:val="00681247"/>
    <w:rsid w:val="00682752"/>
    <w:rsid w:val="00682A4D"/>
    <w:rsid w:val="00682BF9"/>
    <w:rsid w:val="006838F6"/>
    <w:rsid w:val="0068588C"/>
    <w:rsid w:val="00686A47"/>
    <w:rsid w:val="00686B81"/>
    <w:rsid w:val="00687871"/>
    <w:rsid w:val="00691DC9"/>
    <w:rsid w:val="00693ACD"/>
    <w:rsid w:val="00693AF6"/>
    <w:rsid w:val="00694A6D"/>
    <w:rsid w:val="00694CE8"/>
    <w:rsid w:val="006950DE"/>
    <w:rsid w:val="00695D9B"/>
    <w:rsid w:val="006A23C7"/>
    <w:rsid w:val="006A4639"/>
    <w:rsid w:val="006A4A21"/>
    <w:rsid w:val="006A7327"/>
    <w:rsid w:val="006A7384"/>
    <w:rsid w:val="006A7C5F"/>
    <w:rsid w:val="006B45A0"/>
    <w:rsid w:val="006B4865"/>
    <w:rsid w:val="006B4CC3"/>
    <w:rsid w:val="006B6C62"/>
    <w:rsid w:val="006B75D4"/>
    <w:rsid w:val="006C078B"/>
    <w:rsid w:val="006C1495"/>
    <w:rsid w:val="006C39C0"/>
    <w:rsid w:val="006C4971"/>
    <w:rsid w:val="006C7719"/>
    <w:rsid w:val="006C7B5F"/>
    <w:rsid w:val="006D0984"/>
    <w:rsid w:val="006D1C54"/>
    <w:rsid w:val="006D1E85"/>
    <w:rsid w:val="006D52FD"/>
    <w:rsid w:val="006D6FFF"/>
    <w:rsid w:val="006D7D1D"/>
    <w:rsid w:val="006D7E4F"/>
    <w:rsid w:val="006E0510"/>
    <w:rsid w:val="006E0CEB"/>
    <w:rsid w:val="006E2944"/>
    <w:rsid w:val="006E3013"/>
    <w:rsid w:val="006E3E74"/>
    <w:rsid w:val="006E4A36"/>
    <w:rsid w:val="006E583B"/>
    <w:rsid w:val="006E5F9F"/>
    <w:rsid w:val="006E63FE"/>
    <w:rsid w:val="006E7919"/>
    <w:rsid w:val="006F216B"/>
    <w:rsid w:val="006F4C10"/>
    <w:rsid w:val="006F4DF1"/>
    <w:rsid w:val="006F7008"/>
    <w:rsid w:val="007017CE"/>
    <w:rsid w:val="00701AE1"/>
    <w:rsid w:val="00702895"/>
    <w:rsid w:val="007031B8"/>
    <w:rsid w:val="00703353"/>
    <w:rsid w:val="007044AF"/>
    <w:rsid w:val="00707C05"/>
    <w:rsid w:val="00707CE3"/>
    <w:rsid w:val="00710487"/>
    <w:rsid w:val="007105C1"/>
    <w:rsid w:val="00711137"/>
    <w:rsid w:val="00712B38"/>
    <w:rsid w:val="00715098"/>
    <w:rsid w:val="00720C30"/>
    <w:rsid w:val="007218CC"/>
    <w:rsid w:val="007230C1"/>
    <w:rsid w:val="007244B5"/>
    <w:rsid w:val="00725F3E"/>
    <w:rsid w:val="00726025"/>
    <w:rsid w:val="00726AC1"/>
    <w:rsid w:val="00726E58"/>
    <w:rsid w:val="00730804"/>
    <w:rsid w:val="00731B73"/>
    <w:rsid w:val="00732518"/>
    <w:rsid w:val="00732921"/>
    <w:rsid w:val="00733517"/>
    <w:rsid w:val="007336D5"/>
    <w:rsid w:val="007340C7"/>
    <w:rsid w:val="00734BDD"/>
    <w:rsid w:val="00735B61"/>
    <w:rsid w:val="007368A2"/>
    <w:rsid w:val="00742836"/>
    <w:rsid w:val="00742BF5"/>
    <w:rsid w:val="00746AA4"/>
    <w:rsid w:val="0075040B"/>
    <w:rsid w:val="00751AE8"/>
    <w:rsid w:val="00752274"/>
    <w:rsid w:val="00754D3F"/>
    <w:rsid w:val="00754D88"/>
    <w:rsid w:val="0075644A"/>
    <w:rsid w:val="00756933"/>
    <w:rsid w:val="0075702B"/>
    <w:rsid w:val="00761B93"/>
    <w:rsid w:val="00763EA5"/>
    <w:rsid w:val="00766612"/>
    <w:rsid w:val="0077281C"/>
    <w:rsid w:val="00772C37"/>
    <w:rsid w:val="00772E0A"/>
    <w:rsid w:val="00773F90"/>
    <w:rsid w:val="00774487"/>
    <w:rsid w:val="00775C31"/>
    <w:rsid w:val="007763AF"/>
    <w:rsid w:val="00777D96"/>
    <w:rsid w:val="00780239"/>
    <w:rsid w:val="00782029"/>
    <w:rsid w:val="00783B70"/>
    <w:rsid w:val="00784EB6"/>
    <w:rsid w:val="00784EB9"/>
    <w:rsid w:val="00785207"/>
    <w:rsid w:val="0078760D"/>
    <w:rsid w:val="007903CE"/>
    <w:rsid w:val="00792DF7"/>
    <w:rsid w:val="00793EEA"/>
    <w:rsid w:val="00793EFF"/>
    <w:rsid w:val="0079421C"/>
    <w:rsid w:val="00794460"/>
    <w:rsid w:val="007953F2"/>
    <w:rsid w:val="007A194A"/>
    <w:rsid w:val="007A399C"/>
    <w:rsid w:val="007A3C19"/>
    <w:rsid w:val="007A3DE0"/>
    <w:rsid w:val="007A4ADE"/>
    <w:rsid w:val="007A5197"/>
    <w:rsid w:val="007A57B5"/>
    <w:rsid w:val="007A5E4B"/>
    <w:rsid w:val="007A7952"/>
    <w:rsid w:val="007A796A"/>
    <w:rsid w:val="007B0464"/>
    <w:rsid w:val="007B0513"/>
    <w:rsid w:val="007B1BEE"/>
    <w:rsid w:val="007B27DC"/>
    <w:rsid w:val="007B3BD0"/>
    <w:rsid w:val="007B4337"/>
    <w:rsid w:val="007B495D"/>
    <w:rsid w:val="007B7155"/>
    <w:rsid w:val="007C0806"/>
    <w:rsid w:val="007C1962"/>
    <w:rsid w:val="007C459C"/>
    <w:rsid w:val="007C464D"/>
    <w:rsid w:val="007C5465"/>
    <w:rsid w:val="007C54F5"/>
    <w:rsid w:val="007C5FEC"/>
    <w:rsid w:val="007C635D"/>
    <w:rsid w:val="007D2EA8"/>
    <w:rsid w:val="007D33A1"/>
    <w:rsid w:val="007D3FB6"/>
    <w:rsid w:val="007D410E"/>
    <w:rsid w:val="007E16F2"/>
    <w:rsid w:val="007E3B13"/>
    <w:rsid w:val="007E4040"/>
    <w:rsid w:val="007E40A0"/>
    <w:rsid w:val="007E493B"/>
    <w:rsid w:val="007E5CCA"/>
    <w:rsid w:val="007E5DCB"/>
    <w:rsid w:val="007E6CF5"/>
    <w:rsid w:val="007E6EF0"/>
    <w:rsid w:val="007E75F0"/>
    <w:rsid w:val="007F01F0"/>
    <w:rsid w:val="007F0603"/>
    <w:rsid w:val="007F1DE9"/>
    <w:rsid w:val="007F2044"/>
    <w:rsid w:val="007F361F"/>
    <w:rsid w:val="007F37D1"/>
    <w:rsid w:val="007F4C8C"/>
    <w:rsid w:val="007F765A"/>
    <w:rsid w:val="0080284A"/>
    <w:rsid w:val="008048E5"/>
    <w:rsid w:val="00804A62"/>
    <w:rsid w:val="00804CF4"/>
    <w:rsid w:val="0080553F"/>
    <w:rsid w:val="00805592"/>
    <w:rsid w:val="008067E3"/>
    <w:rsid w:val="00807641"/>
    <w:rsid w:val="008078A0"/>
    <w:rsid w:val="00811A7A"/>
    <w:rsid w:val="00813831"/>
    <w:rsid w:val="0081534A"/>
    <w:rsid w:val="00815FEB"/>
    <w:rsid w:val="0081656B"/>
    <w:rsid w:val="008166A1"/>
    <w:rsid w:val="00816F3A"/>
    <w:rsid w:val="008175B2"/>
    <w:rsid w:val="00820419"/>
    <w:rsid w:val="0082078F"/>
    <w:rsid w:val="00821038"/>
    <w:rsid w:val="00821131"/>
    <w:rsid w:val="00822D91"/>
    <w:rsid w:val="00823248"/>
    <w:rsid w:val="00825D4B"/>
    <w:rsid w:val="008300CF"/>
    <w:rsid w:val="0083080C"/>
    <w:rsid w:val="00831BAE"/>
    <w:rsid w:val="00832212"/>
    <w:rsid w:val="008350DB"/>
    <w:rsid w:val="008353E0"/>
    <w:rsid w:val="00835E11"/>
    <w:rsid w:val="00845390"/>
    <w:rsid w:val="0084638D"/>
    <w:rsid w:val="00851764"/>
    <w:rsid w:val="00853401"/>
    <w:rsid w:val="008538A7"/>
    <w:rsid w:val="00853D2B"/>
    <w:rsid w:val="00854183"/>
    <w:rsid w:val="008616F4"/>
    <w:rsid w:val="008640BC"/>
    <w:rsid w:val="00871478"/>
    <w:rsid w:val="008727A8"/>
    <w:rsid w:val="00874B2F"/>
    <w:rsid w:val="0087572F"/>
    <w:rsid w:val="00875B97"/>
    <w:rsid w:val="0087636B"/>
    <w:rsid w:val="008778A2"/>
    <w:rsid w:val="00877E2B"/>
    <w:rsid w:val="00882A82"/>
    <w:rsid w:val="00882FC3"/>
    <w:rsid w:val="0088441F"/>
    <w:rsid w:val="00884EBC"/>
    <w:rsid w:val="008855E0"/>
    <w:rsid w:val="00892F09"/>
    <w:rsid w:val="00892FE6"/>
    <w:rsid w:val="008941CA"/>
    <w:rsid w:val="00895716"/>
    <w:rsid w:val="00896706"/>
    <w:rsid w:val="00896A72"/>
    <w:rsid w:val="00896D6A"/>
    <w:rsid w:val="008974A5"/>
    <w:rsid w:val="008A12C8"/>
    <w:rsid w:val="008A16DD"/>
    <w:rsid w:val="008A17C6"/>
    <w:rsid w:val="008A2B31"/>
    <w:rsid w:val="008A3370"/>
    <w:rsid w:val="008A3CF7"/>
    <w:rsid w:val="008A5699"/>
    <w:rsid w:val="008B1812"/>
    <w:rsid w:val="008B6A27"/>
    <w:rsid w:val="008C09EF"/>
    <w:rsid w:val="008C0B0A"/>
    <w:rsid w:val="008C0D3E"/>
    <w:rsid w:val="008C4FDB"/>
    <w:rsid w:val="008C5696"/>
    <w:rsid w:val="008C61D3"/>
    <w:rsid w:val="008D005B"/>
    <w:rsid w:val="008D0C94"/>
    <w:rsid w:val="008D2BC3"/>
    <w:rsid w:val="008D39C8"/>
    <w:rsid w:val="008D4080"/>
    <w:rsid w:val="008D4F2D"/>
    <w:rsid w:val="008D7258"/>
    <w:rsid w:val="008E0B4E"/>
    <w:rsid w:val="008E0F26"/>
    <w:rsid w:val="008E11F9"/>
    <w:rsid w:val="008E4DF2"/>
    <w:rsid w:val="008E5D34"/>
    <w:rsid w:val="008E7206"/>
    <w:rsid w:val="008F2D64"/>
    <w:rsid w:val="008F4DE8"/>
    <w:rsid w:val="008F4F75"/>
    <w:rsid w:val="008F51C0"/>
    <w:rsid w:val="008F5E9F"/>
    <w:rsid w:val="008F6022"/>
    <w:rsid w:val="00900973"/>
    <w:rsid w:val="00902B34"/>
    <w:rsid w:val="00904613"/>
    <w:rsid w:val="00905D8A"/>
    <w:rsid w:val="00905F4A"/>
    <w:rsid w:val="00905F4F"/>
    <w:rsid w:val="00907921"/>
    <w:rsid w:val="00911F13"/>
    <w:rsid w:val="00912023"/>
    <w:rsid w:val="00913C72"/>
    <w:rsid w:val="00914F5C"/>
    <w:rsid w:val="009158E7"/>
    <w:rsid w:val="00916C03"/>
    <w:rsid w:val="00920640"/>
    <w:rsid w:val="00921304"/>
    <w:rsid w:val="0092244A"/>
    <w:rsid w:val="00926A91"/>
    <w:rsid w:val="009313D0"/>
    <w:rsid w:val="0093147E"/>
    <w:rsid w:val="00931BC0"/>
    <w:rsid w:val="00932091"/>
    <w:rsid w:val="00933B5A"/>
    <w:rsid w:val="00933DBB"/>
    <w:rsid w:val="009348AF"/>
    <w:rsid w:val="00937CAD"/>
    <w:rsid w:val="009401F0"/>
    <w:rsid w:val="00943729"/>
    <w:rsid w:val="009442E2"/>
    <w:rsid w:val="00944582"/>
    <w:rsid w:val="009476BD"/>
    <w:rsid w:val="00950DAA"/>
    <w:rsid w:val="00951575"/>
    <w:rsid w:val="009518DB"/>
    <w:rsid w:val="00954706"/>
    <w:rsid w:val="00955A93"/>
    <w:rsid w:val="00956320"/>
    <w:rsid w:val="00956785"/>
    <w:rsid w:val="00957C85"/>
    <w:rsid w:val="00961BF1"/>
    <w:rsid w:val="009634DA"/>
    <w:rsid w:val="00963CF8"/>
    <w:rsid w:val="00963DE2"/>
    <w:rsid w:val="00963ED9"/>
    <w:rsid w:val="00965495"/>
    <w:rsid w:val="00971A3E"/>
    <w:rsid w:val="00971BCF"/>
    <w:rsid w:val="00971C26"/>
    <w:rsid w:val="0097218E"/>
    <w:rsid w:val="00972DE7"/>
    <w:rsid w:val="00976025"/>
    <w:rsid w:val="00986E79"/>
    <w:rsid w:val="009878E1"/>
    <w:rsid w:val="009879E9"/>
    <w:rsid w:val="00987F48"/>
    <w:rsid w:val="0099137F"/>
    <w:rsid w:val="00991CB2"/>
    <w:rsid w:val="00992C9F"/>
    <w:rsid w:val="00992EF8"/>
    <w:rsid w:val="009935FF"/>
    <w:rsid w:val="0099659A"/>
    <w:rsid w:val="00996BC3"/>
    <w:rsid w:val="009A0E8F"/>
    <w:rsid w:val="009A0FE9"/>
    <w:rsid w:val="009A101A"/>
    <w:rsid w:val="009A1E69"/>
    <w:rsid w:val="009A4418"/>
    <w:rsid w:val="009A4CDD"/>
    <w:rsid w:val="009A5A1B"/>
    <w:rsid w:val="009A63D5"/>
    <w:rsid w:val="009A6BA4"/>
    <w:rsid w:val="009B0F12"/>
    <w:rsid w:val="009B14B2"/>
    <w:rsid w:val="009B41B4"/>
    <w:rsid w:val="009B635B"/>
    <w:rsid w:val="009B7946"/>
    <w:rsid w:val="009C1A53"/>
    <w:rsid w:val="009C3F52"/>
    <w:rsid w:val="009C5D50"/>
    <w:rsid w:val="009C6183"/>
    <w:rsid w:val="009D2607"/>
    <w:rsid w:val="009D2E06"/>
    <w:rsid w:val="009D4AE5"/>
    <w:rsid w:val="009D4F15"/>
    <w:rsid w:val="009D537A"/>
    <w:rsid w:val="009D6279"/>
    <w:rsid w:val="009D7198"/>
    <w:rsid w:val="009E0574"/>
    <w:rsid w:val="009E263B"/>
    <w:rsid w:val="009E3B8E"/>
    <w:rsid w:val="009E3C5F"/>
    <w:rsid w:val="009E5582"/>
    <w:rsid w:val="009F773D"/>
    <w:rsid w:val="00A0509A"/>
    <w:rsid w:val="00A066D8"/>
    <w:rsid w:val="00A0758F"/>
    <w:rsid w:val="00A11D69"/>
    <w:rsid w:val="00A1230E"/>
    <w:rsid w:val="00A1304C"/>
    <w:rsid w:val="00A1518B"/>
    <w:rsid w:val="00A15A92"/>
    <w:rsid w:val="00A1617D"/>
    <w:rsid w:val="00A21285"/>
    <w:rsid w:val="00A237C9"/>
    <w:rsid w:val="00A23886"/>
    <w:rsid w:val="00A24DB3"/>
    <w:rsid w:val="00A319C7"/>
    <w:rsid w:val="00A319CB"/>
    <w:rsid w:val="00A3225F"/>
    <w:rsid w:val="00A34B18"/>
    <w:rsid w:val="00A40783"/>
    <w:rsid w:val="00A41468"/>
    <w:rsid w:val="00A42850"/>
    <w:rsid w:val="00A42D59"/>
    <w:rsid w:val="00A44436"/>
    <w:rsid w:val="00A45B2B"/>
    <w:rsid w:val="00A51FE1"/>
    <w:rsid w:val="00A54626"/>
    <w:rsid w:val="00A55382"/>
    <w:rsid w:val="00A56267"/>
    <w:rsid w:val="00A6060E"/>
    <w:rsid w:val="00A61BCB"/>
    <w:rsid w:val="00A62260"/>
    <w:rsid w:val="00A62BE0"/>
    <w:rsid w:val="00A63455"/>
    <w:rsid w:val="00A6589B"/>
    <w:rsid w:val="00A66337"/>
    <w:rsid w:val="00A7252E"/>
    <w:rsid w:val="00A72AB4"/>
    <w:rsid w:val="00A73AC4"/>
    <w:rsid w:val="00A73C89"/>
    <w:rsid w:val="00A77C88"/>
    <w:rsid w:val="00A80A90"/>
    <w:rsid w:val="00A81298"/>
    <w:rsid w:val="00A82CDA"/>
    <w:rsid w:val="00A82D1D"/>
    <w:rsid w:val="00A85769"/>
    <w:rsid w:val="00A85D8C"/>
    <w:rsid w:val="00A85DE3"/>
    <w:rsid w:val="00A87B1B"/>
    <w:rsid w:val="00A90563"/>
    <w:rsid w:val="00A90733"/>
    <w:rsid w:val="00A9205C"/>
    <w:rsid w:val="00A92942"/>
    <w:rsid w:val="00A954BA"/>
    <w:rsid w:val="00A954BE"/>
    <w:rsid w:val="00A954C0"/>
    <w:rsid w:val="00A95B3A"/>
    <w:rsid w:val="00A95F60"/>
    <w:rsid w:val="00A96071"/>
    <w:rsid w:val="00A963E8"/>
    <w:rsid w:val="00A977FE"/>
    <w:rsid w:val="00AA14D1"/>
    <w:rsid w:val="00AA268C"/>
    <w:rsid w:val="00AA28C6"/>
    <w:rsid w:val="00AB02AB"/>
    <w:rsid w:val="00AB098A"/>
    <w:rsid w:val="00AB2BA1"/>
    <w:rsid w:val="00AB3038"/>
    <w:rsid w:val="00AB3ADB"/>
    <w:rsid w:val="00AB43B2"/>
    <w:rsid w:val="00AB4E12"/>
    <w:rsid w:val="00AC346B"/>
    <w:rsid w:val="00AC40BA"/>
    <w:rsid w:val="00AC47FF"/>
    <w:rsid w:val="00AC5D20"/>
    <w:rsid w:val="00AC6E92"/>
    <w:rsid w:val="00AC7E2A"/>
    <w:rsid w:val="00AD22EC"/>
    <w:rsid w:val="00AD2885"/>
    <w:rsid w:val="00AD5417"/>
    <w:rsid w:val="00AD6E79"/>
    <w:rsid w:val="00AE1920"/>
    <w:rsid w:val="00AE26F7"/>
    <w:rsid w:val="00AE29EA"/>
    <w:rsid w:val="00AE2DF2"/>
    <w:rsid w:val="00AE3210"/>
    <w:rsid w:val="00AF00D9"/>
    <w:rsid w:val="00AF098F"/>
    <w:rsid w:val="00AF0992"/>
    <w:rsid w:val="00AF1CE4"/>
    <w:rsid w:val="00AF3523"/>
    <w:rsid w:val="00AF63DA"/>
    <w:rsid w:val="00AF697A"/>
    <w:rsid w:val="00AF7473"/>
    <w:rsid w:val="00B018CA"/>
    <w:rsid w:val="00B02FF3"/>
    <w:rsid w:val="00B03CAE"/>
    <w:rsid w:val="00B0699D"/>
    <w:rsid w:val="00B0784B"/>
    <w:rsid w:val="00B07CD7"/>
    <w:rsid w:val="00B10528"/>
    <w:rsid w:val="00B10BDC"/>
    <w:rsid w:val="00B10F40"/>
    <w:rsid w:val="00B13CB2"/>
    <w:rsid w:val="00B14179"/>
    <w:rsid w:val="00B171EE"/>
    <w:rsid w:val="00B1742B"/>
    <w:rsid w:val="00B17A43"/>
    <w:rsid w:val="00B17BAF"/>
    <w:rsid w:val="00B20EA6"/>
    <w:rsid w:val="00B21C36"/>
    <w:rsid w:val="00B227FC"/>
    <w:rsid w:val="00B22C80"/>
    <w:rsid w:val="00B232DF"/>
    <w:rsid w:val="00B254D5"/>
    <w:rsid w:val="00B27916"/>
    <w:rsid w:val="00B302A0"/>
    <w:rsid w:val="00B30A97"/>
    <w:rsid w:val="00B317BB"/>
    <w:rsid w:val="00B321C2"/>
    <w:rsid w:val="00B32C21"/>
    <w:rsid w:val="00B334E6"/>
    <w:rsid w:val="00B338C5"/>
    <w:rsid w:val="00B33C2D"/>
    <w:rsid w:val="00B361E7"/>
    <w:rsid w:val="00B36CA3"/>
    <w:rsid w:val="00B36F27"/>
    <w:rsid w:val="00B40751"/>
    <w:rsid w:val="00B4170E"/>
    <w:rsid w:val="00B41E10"/>
    <w:rsid w:val="00B43037"/>
    <w:rsid w:val="00B448A3"/>
    <w:rsid w:val="00B47BF4"/>
    <w:rsid w:val="00B5185A"/>
    <w:rsid w:val="00B52412"/>
    <w:rsid w:val="00B52461"/>
    <w:rsid w:val="00B559E0"/>
    <w:rsid w:val="00B60635"/>
    <w:rsid w:val="00B61FD4"/>
    <w:rsid w:val="00B623BE"/>
    <w:rsid w:val="00B63CFF"/>
    <w:rsid w:val="00B655D0"/>
    <w:rsid w:val="00B65E13"/>
    <w:rsid w:val="00B66719"/>
    <w:rsid w:val="00B6690C"/>
    <w:rsid w:val="00B67993"/>
    <w:rsid w:val="00B70DA2"/>
    <w:rsid w:val="00B7123C"/>
    <w:rsid w:val="00B72806"/>
    <w:rsid w:val="00B75A50"/>
    <w:rsid w:val="00B77B4C"/>
    <w:rsid w:val="00B869C6"/>
    <w:rsid w:val="00B872EC"/>
    <w:rsid w:val="00B87D1D"/>
    <w:rsid w:val="00B900EA"/>
    <w:rsid w:val="00B92DFD"/>
    <w:rsid w:val="00B953BF"/>
    <w:rsid w:val="00B95DBD"/>
    <w:rsid w:val="00B97EDF"/>
    <w:rsid w:val="00BA0D4E"/>
    <w:rsid w:val="00BA2471"/>
    <w:rsid w:val="00BA332F"/>
    <w:rsid w:val="00BA50BD"/>
    <w:rsid w:val="00BB0313"/>
    <w:rsid w:val="00BB191C"/>
    <w:rsid w:val="00BB200A"/>
    <w:rsid w:val="00BB24C5"/>
    <w:rsid w:val="00BB311D"/>
    <w:rsid w:val="00BB387B"/>
    <w:rsid w:val="00BB4A6C"/>
    <w:rsid w:val="00BB5B8E"/>
    <w:rsid w:val="00BC1AC6"/>
    <w:rsid w:val="00BC1FA6"/>
    <w:rsid w:val="00BC22E6"/>
    <w:rsid w:val="00BC3AD5"/>
    <w:rsid w:val="00BC4540"/>
    <w:rsid w:val="00BC5060"/>
    <w:rsid w:val="00BC7652"/>
    <w:rsid w:val="00BD16C8"/>
    <w:rsid w:val="00BD2E7C"/>
    <w:rsid w:val="00BD4E84"/>
    <w:rsid w:val="00BD5798"/>
    <w:rsid w:val="00BD69DE"/>
    <w:rsid w:val="00BD72E0"/>
    <w:rsid w:val="00BE0107"/>
    <w:rsid w:val="00BE018F"/>
    <w:rsid w:val="00BE0DB1"/>
    <w:rsid w:val="00BE154D"/>
    <w:rsid w:val="00BE1618"/>
    <w:rsid w:val="00BE451F"/>
    <w:rsid w:val="00BE7434"/>
    <w:rsid w:val="00BF02D5"/>
    <w:rsid w:val="00BF2B1F"/>
    <w:rsid w:val="00BF2FC2"/>
    <w:rsid w:val="00BF3F07"/>
    <w:rsid w:val="00BF4003"/>
    <w:rsid w:val="00BF4998"/>
    <w:rsid w:val="00BF4DC2"/>
    <w:rsid w:val="00BF5061"/>
    <w:rsid w:val="00BF6A88"/>
    <w:rsid w:val="00BF7728"/>
    <w:rsid w:val="00BF7D01"/>
    <w:rsid w:val="00C001B4"/>
    <w:rsid w:val="00C00B31"/>
    <w:rsid w:val="00C011C5"/>
    <w:rsid w:val="00C025F1"/>
    <w:rsid w:val="00C02BFA"/>
    <w:rsid w:val="00C03F6C"/>
    <w:rsid w:val="00C04AFC"/>
    <w:rsid w:val="00C05A30"/>
    <w:rsid w:val="00C068AA"/>
    <w:rsid w:val="00C076A5"/>
    <w:rsid w:val="00C1006D"/>
    <w:rsid w:val="00C1032C"/>
    <w:rsid w:val="00C121DC"/>
    <w:rsid w:val="00C136D9"/>
    <w:rsid w:val="00C1481B"/>
    <w:rsid w:val="00C14D63"/>
    <w:rsid w:val="00C1611D"/>
    <w:rsid w:val="00C16A02"/>
    <w:rsid w:val="00C22176"/>
    <w:rsid w:val="00C22221"/>
    <w:rsid w:val="00C228D4"/>
    <w:rsid w:val="00C23CD0"/>
    <w:rsid w:val="00C30B12"/>
    <w:rsid w:val="00C3183A"/>
    <w:rsid w:val="00C3261A"/>
    <w:rsid w:val="00C34C45"/>
    <w:rsid w:val="00C34ED5"/>
    <w:rsid w:val="00C36FDA"/>
    <w:rsid w:val="00C4005E"/>
    <w:rsid w:val="00C41AF6"/>
    <w:rsid w:val="00C42AE0"/>
    <w:rsid w:val="00C43325"/>
    <w:rsid w:val="00C445CE"/>
    <w:rsid w:val="00C456E4"/>
    <w:rsid w:val="00C47EB1"/>
    <w:rsid w:val="00C5136D"/>
    <w:rsid w:val="00C53AE6"/>
    <w:rsid w:val="00C55EA1"/>
    <w:rsid w:val="00C56421"/>
    <w:rsid w:val="00C574E8"/>
    <w:rsid w:val="00C57992"/>
    <w:rsid w:val="00C61716"/>
    <w:rsid w:val="00C6329E"/>
    <w:rsid w:val="00C632E3"/>
    <w:rsid w:val="00C63F3D"/>
    <w:rsid w:val="00C65D2A"/>
    <w:rsid w:val="00C7155E"/>
    <w:rsid w:val="00C71C39"/>
    <w:rsid w:val="00C73221"/>
    <w:rsid w:val="00C7666D"/>
    <w:rsid w:val="00C76678"/>
    <w:rsid w:val="00C76C0C"/>
    <w:rsid w:val="00C776F9"/>
    <w:rsid w:val="00C80F6F"/>
    <w:rsid w:val="00C81247"/>
    <w:rsid w:val="00C82EAD"/>
    <w:rsid w:val="00C84F36"/>
    <w:rsid w:val="00C851DE"/>
    <w:rsid w:val="00C871AD"/>
    <w:rsid w:val="00C90532"/>
    <w:rsid w:val="00C91749"/>
    <w:rsid w:val="00C918B8"/>
    <w:rsid w:val="00C91F58"/>
    <w:rsid w:val="00C9417B"/>
    <w:rsid w:val="00C95BA1"/>
    <w:rsid w:val="00C96D0F"/>
    <w:rsid w:val="00C978B8"/>
    <w:rsid w:val="00CA06D0"/>
    <w:rsid w:val="00CA1AE4"/>
    <w:rsid w:val="00CA1C56"/>
    <w:rsid w:val="00CA26F7"/>
    <w:rsid w:val="00CA4964"/>
    <w:rsid w:val="00CB1C3E"/>
    <w:rsid w:val="00CB38C6"/>
    <w:rsid w:val="00CB5044"/>
    <w:rsid w:val="00CB5BBF"/>
    <w:rsid w:val="00CB6CF0"/>
    <w:rsid w:val="00CB75D4"/>
    <w:rsid w:val="00CC0D18"/>
    <w:rsid w:val="00CC186B"/>
    <w:rsid w:val="00CC1F1F"/>
    <w:rsid w:val="00CC1F2A"/>
    <w:rsid w:val="00CC3D03"/>
    <w:rsid w:val="00CC4604"/>
    <w:rsid w:val="00CC4B0E"/>
    <w:rsid w:val="00CC500F"/>
    <w:rsid w:val="00CC6775"/>
    <w:rsid w:val="00CC768A"/>
    <w:rsid w:val="00CD03FA"/>
    <w:rsid w:val="00CD0F96"/>
    <w:rsid w:val="00CD23B5"/>
    <w:rsid w:val="00CD28D9"/>
    <w:rsid w:val="00CD2C8F"/>
    <w:rsid w:val="00CD359E"/>
    <w:rsid w:val="00CD38F7"/>
    <w:rsid w:val="00CD54C2"/>
    <w:rsid w:val="00CE0BD1"/>
    <w:rsid w:val="00CE109D"/>
    <w:rsid w:val="00CE13F2"/>
    <w:rsid w:val="00CE77EF"/>
    <w:rsid w:val="00CF143C"/>
    <w:rsid w:val="00CF187F"/>
    <w:rsid w:val="00CF1C66"/>
    <w:rsid w:val="00CF232D"/>
    <w:rsid w:val="00CF3E0A"/>
    <w:rsid w:val="00CF42AE"/>
    <w:rsid w:val="00CF4DA9"/>
    <w:rsid w:val="00D029BC"/>
    <w:rsid w:val="00D055B7"/>
    <w:rsid w:val="00D1021D"/>
    <w:rsid w:val="00D10FA8"/>
    <w:rsid w:val="00D15421"/>
    <w:rsid w:val="00D17904"/>
    <w:rsid w:val="00D20178"/>
    <w:rsid w:val="00D20601"/>
    <w:rsid w:val="00D221B6"/>
    <w:rsid w:val="00D22CDD"/>
    <w:rsid w:val="00D243EB"/>
    <w:rsid w:val="00D24F57"/>
    <w:rsid w:val="00D2575F"/>
    <w:rsid w:val="00D25FA2"/>
    <w:rsid w:val="00D2601F"/>
    <w:rsid w:val="00D2767F"/>
    <w:rsid w:val="00D27B8A"/>
    <w:rsid w:val="00D30D49"/>
    <w:rsid w:val="00D31A75"/>
    <w:rsid w:val="00D32151"/>
    <w:rsid w:val="00D323CD"/>
    <w:rsid w:val="00D32E42"/>
    <w:rsid w:val="00D32FC5"/>
    <w:rsid w:val="00D3363B"/>
    <w:rsid w:val="00D34425"/>
    <w:rsid w:val="00D35D7A"/>
    <w:rsid w:val="00D3656D"/>
    <w:rsid w:val="00D36C1F"/>
    <w:rsid w:val="00D37E43"/>
    <w:rsid w:val="00D42035"/>
    <w:rsid w:val="00D43588"/>
    <w:rsid w:val="00D43DD0"/>
    <w:rsid w:val="00D45036"/>
    <w:rsid w:val="00D47CF5"/>
    <w:rsid w:val="00D54FCA"/>
    <w:rsid w:val="00D5674E"/>
    <w:rsid w:val="00D57003"/>
    <w:rsid w:val="00D602C0"/>
    <w:rsid w:val="00D60AD1"/>
    <w:rsid w:val="00D611F0"/>
    <w:rsid w:val="00D62085"/>
    <w:rsid w:val="00D62AEB"/>
    <w:rsid w:val="00D6319B"/>
    <w:rsid w:val="00D71133"/>
    <w:rsid w:val="00D7136A"/>
    <w:rsid w:val="00D71A00"/>
    <w:rsid w:val="00D73CC9"/>
    <w:rsid w:val="00D73DEC"/>
    <w:rsid w:val="00D74797"/>
    <w:rsid w:val="00D75A2B"/>
    <w:rsid w:val="00D760A2"/>
    <w:rsid w:val="00D81EDE"/>
    <w:rsid w:val="00D8238C"/>
    <w:rsid w:val="00D824A3"/>
    <w:rsid w:val="00D838B4"/>
    <w:rsid w:val="00D83B62"/>
    <w:rsid w:val="00D85679"/>
    <w:rsid w:val="00D9306F"/>
    <w:rsid w:val="00D94A3C"/>
    <w:rsid w:val="00D94F86"/>
    <w:rsid w:val="00D95B2E"/>
    <w:rsid w:val="00D9728D"/>
    <w:rsid w:val="00DA02E4"/>
    <w:rsid w:val="00DA0B23"/>
    <w:rsid w:val="00DA4283"/>
    <w:rsid w:val="00DB10C6"/>
    <w:rsid w:val="00DB3112"/>
    <w:rsid w:val="00DB33C2"/>
    <w:rsid w:val="00DB4212"/>
    <w:rsid w:val="00DB5FA1"/>
    <w:rsid w:val="00DB6584"/>
    <w:rsid w:val="00DB69C8"/>
    <w:rsid w:val="00DC0F9F"/>
    <w:rsid w:val="00DC12D9"/>
    <w:rsid w:val="00DC1A54"/>
    <w:rsid w:val="00DC1D96"/>
    <w:rsid w:val="00DC2786"/>
    <w:rsid w:val="00DC3048"/>
    <w:rsid w:val="00DC30D3"/>
    <w:rsid w:val="00DC6958"/>
    <w:rsid w:val="00DC6FB2"/>
    <w:rsid w:val="00DC7565"/>
    <w:rsid w:val="00DC7C15"/>
    <w:rsid w:val="00DD1C34"/>
    <w:rsid w:val="00DD1E04"/>
    <w:rsid w:val="00DD438C"/>
    <w:rsid w:val="00DD4A15"/>
    <w:rsid w:val="00DE0650"/>
    <w:rsid w:val="00DE07FF"/>
    <w:rsid w:val="00DE0945"/>
    <w:rsid w:val="00DE1FFC"/>
    <w:rsid w:val="00DE257B"/>
    <w:rsid w:val="00DE25D1"/>
    <w:rsid w:val="00DE3552"/>
    <w:rsid w:val="00DE4E92"/>
    <w:rsid w:val="00DE5289"/>
    <w:rsid w:val="00DE5406"/>
    <w:rsid w:val="00DE6F33"/>
    <w:rsid w:val="00DE7512"/>
    <w:rsid w:val="00DF21F0"/>
    <w:rsid w:val="00DF2DD8"/>
    <w:rsid w:val="00DF4AF0"/>
    <w:rsid w:val="00DF5576"/>
    <w:rsid w:val="00DF55BA"/>
    <w:rsid w:val="00DF7453"/>
    <w:rsid w:val="00E019E8"/>
    <w:rsid w:val="00E02D1C"/>
    <w:rsid w:val="00E03E1A"/>
    <w:rsid w:val="00E04038"/>
    <w:rsid w:val="00E047CD"/>
    <w:rsid w:val="00E064EE"/>
    <w:rsid w:val="00E13509"/>
    <w:rsid w:val="00E166E9"/>
    <w:rsid w:val="00E21017"/>
    <w:rsid w:val="00E224A4"/>
    <w:rsid w:val="00E25B78"/>
    <w:rsid w:val="00E26E10"/>
    <w:rsid w:val="00E332BE"/>
    <w:rsid w:val="00E357C5"/>
    <w:rsid w:val="00E3695C"/>
    <w:rsid w:val="00E42431"/>
    <w:rsid w:val="00E44170"/>
    <w:rsid w:val="00E45144"/>
    <w:rsid w:val="00E45ED8"/>
    <w:rsid w:val="00E46061"/>
    <w:rsid w:val="00E514DC"/>
    <w:rsid w:val="00E53D83"/>
    <w:rsid w:val="00E549FC"/>
    <w:rsid w:val="00E55096"/>
    <w:rsid w:val="00E55447"/>
    <w:rsid w:val="00E568C2"/>
    <w:rsid w:val="00E60387"/>
    <w:rsid w:val="00E61CE1"/>
    <w:rsid w:val="00E62720"/>
    <w:rsid w:val="00E637F9"/>
    <w:rsid w:val="00E6409E"/>
    <w:rsid w:val="00E6517C"/>
    <w:rsid w:val="00E651EB"/>
    <w:rsid w:val="00E65771"/>
    <w:rsid w:val="00E6732D"/>
    <w:rsid w:val="00E7058A"/>
    <w:rsid w:val="00E70A62"/>
    <w:rsid w:val="00E7189A"/>
    <w:rsid w:val="00E71F8C"/>
    <w:rsid w:val="00E75340"/>
    <w:rsid w:val="00E760B0"/>
    <w:rsid w:val="00E76D1B"/>
    <w:rsid w:val="00E804B9"/>
    <w:rsid w:val="00E81DE5"/>
    <w:rsid w:val="00E86309"/>
    <w:rsid w:val="00E86AD3"/>
    <w:rsid w:val="00E87499"/>
    <w:rsid w:val="00E96511"/>
    <w:rsid w:val="00E9675A"/>
    <w:rsid w:val="00EA1B22"/>
    <w:rsid w:val="00EA3080"/>
    <w:rsid w:val="00EA3E59"/>
    <w:rsid w:val="00EA750C"/>
    <w:rsid w:val="00EA77C0"/>
    <w:rsid w:val="00EB20D1"/>
    <w:rsid w:val="00EB3F0B"/>
    <w:rsid w:val="00EB56C6"/>
    <w:rsid w:val="00EB5F9A"/>
    <w:rsid w:val="00EB6B04"/>
    <w:rsid w:val="00EC0D75"/>
    <w:rsid w:val="00EC1F45"/>
    <w:rsid w:val="00EC3649"/>
    <w:rsid w:val="00EC3D18"/>
    <w:rsid w:val="00EC6283"/>
    <w:rsid w:val="00ED19D7"/>
    <w:rsid w:val="00ED1C46"/>
    <w:rsid w:val="00ED28D0"/>
    <w:rsid w:val="00ED2DA5"/>
    <w:rsid w:val="00ED3E55"/>
    <w:rsid w:val="00ED40DC"/>
    <w:rsid w:val="00ED4D13"/>
    <w:rsid w:val="00ED52A3"/>
    <w:rsid w:val="00EE11AA"/>
    <w:rsid w:val="00EE11C3"/>
    <w:rsid w:val="00EE3AD7"/>
    <w:rsid w:val="00EE4083"/>
    <w:rsid w:val="00EE55C2"/>
    <w:rsid w:val="00EE6197"/>
    <w:rsid w:val="00EE7DF9"/>
    <w:rsid w:val="00EF04F7"/>
    <w:rsid w:val="00EF13F8"/>
    <w:rsid w:val="00EF253A"/>
    <w:rsid w:val="00EF5167"/>
    <w:rsid w:val="00EF6379"/>
    <w:rsid w:val="00EF6970"/>
    <w:rsid w:val="00F04E01"/>
    <w:rsid w:val="00F059D8"/>
    <w:rsid w:val="00F05AA9"/>
    <w:rsid w:val="00F05B4B"/>
    <w:rsid w:val="00F076F9"/>
    <w:rsid w:val="00F07732"/>
    <w:rsid w:val="00F106EB"/>
    <w:rsid w:val="00F11279"/>
    <w:rsid w:val="00F112FA"/>
    <w:rsid w:val="00F1386E"/>
    <w:rsid w:val="00F147EE"/>
    <w:rsid w:val="00F151F2"/>
    <w:rsid w:val="00F20CD7"/>
    <w:rsid w:val="00F21F1E"/>
    <w:rsid w:val="00F22D6B"/>
    <w:rsid w:val="00F23114"/>
    <w:rsid w:val="00F24B84"/>
    <w:rsid w:val="00F24F65"/>
    <w:rsid w:val="00F25BAE"/>
    <w:rsid w:val="00F26C40"/>
    <w:rsid w:val="00F26F06"/>
    <w:rsid w:val="00F27F89"/>
    <w:rsid w:val="00F3096F"/>
    <w:rsid w:val="00F327E5"/>
    <w:rsid w:val="00F32C3A"/>
    <w:rsid w:val="00F3319B"/>
    <w:rsid w:val="00F3352B"/>
    <w:rsid w:val="00F3353A"/>
    <w:rsid w:val="00F33E1E"/>
    <w:rsid w:val="00F34337"/>
    <w:rsid w:val="00F347E8"/>
    <w:rsid w:val="00F369AB"/>
    <w:rsid w:val="00F37995"/>
    <w:rsid w:val="00F40296"/>
    <w:rsid w:val="00F41014"/>
    <w:rsid w:val="00F41BA5"/>
    <w:rsid w:val="00F4437C"/>
    <w:rsid w:val="00F44A0D"/>
    <w:rsid w:val="00F45058"/>
    <w:rsid w:val="00F50088"/>
    <w:rsid w:val="00F50408"/>
    <w:rsid w:val="00F506C7"/>
    <w:rsid w:val="00F50CA4"/>
    <w:rsid w:val="00F51023"/>
    <w:rsid w:val="00F52B98"/>
    <w:rsid w:val="00F5322B"/>
    <w:rsid w:val="00F534D2"/>
    <w:rsid w:val="00F53762"/>
    <w:rsid w:val="00F540D7"/>
    <w:rsid w:val="00F54443"/>
    <w:rsid w:val="00F56244"/>
    <w:rsid w:val="00F57CE5"/>
    <w:rsid w:val="00F602C8"/>
    <w:rsid w:val="00F61563"/>
    <w:rsid w:val="00F61DCD"/>
    <w:rsid w:val="00F62696"/>
    <w:rsid w:val="00F63A8A"/>
    <w:rsid w:val="00F63D8B"/>
    <w:rsid w:val="00F66594"/>
    <w:rsid w:val="00F67DA3"/>
    <w:rsid w:val="00F74C9C"/>
    <w:rsid w:val="00F759DA"/>
    <w:rsid w:val="00F779B4"/>
    <w:rsid w:val="00F84B02"/>
    <w:rsid w:val="00F865BC"/>
    <w:rsid w:val="00F90420"/>
    <w:rsid w:val="00F90D63"/>
    <w:rsid w:val="00F9131F"/>
    <w:rsid w:val="00F921AE"/>
    <w:rsid w:val="00F926C5"/>
    <w:rsid w:val="00F9545E"/>
    <w:rsid w:val="00F95E36"/>
    <w:rsid w:val="00F96134"/>
    <w:rsid w:val="00FA2D18"/>
    <w:rsid w:val="00FB1AC5"/>
    <w:rsid w:val="00FB1C2B"/>
    <w:rsid w:val="00FB23FF"/>
    <w:rsid w:val="00FB3574"/>
    <w:rsid w:val="00FB580E"/>
    <w:rsid w:val="00FB7ED8"/>
    <w:rsid w:val="00FB7F61"/>
    <w:rsid w:val="00FC11AA"/>
    <w:rsid w:val="00FC19F5"/>
    <w:rsid w:val="00FC3360"/>
    <w:rsid w:val="00FC4504"/>
    <w:rsid w:val="00FC55C7"/>
    <w:rsid w:val="00FC55CA"/>
    <w:rsid w:val="00FC700A"/>
    <w:rsid w:val="00FD3CFD"/>
    <w:rsid w:val="00FD45F6"/>
    <w:rsid w:val="00FD4DAC"/>
    <w:rsid w:val="00FD58C5"/>
    <w:rsid w:val="00FE2C39"/>
    <w:rsid w:val="00FE2C41"/>
    <w:rsid w:val="00FE3080"/>
    <w:rsid w:val="00FE4E99"/>
    <w:rsid w:val="00FE695F"/>
    <w:rsid w:val="00FE6E13"/>
    <w:rsid w:val="00FF0067"/>
    <w:rsid w:val="00FF0B8D"/>
    <w:rsid w:val="00FF0F45"/>
    <w:rsid w:val="00FF277C"/>
    <w:rsid w:val="00FF38EA"/>
    <w:rsid w:val="00FF6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C89B0"/>
  <w15:docId w15:val="{1EB7CA85-2355-494A-AA9F-12D121082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08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8C2"/>
    <w:rPr>
      <w:rFonts w:ascii="Tahoma" w:hAnsi="Tahoma" w:cs="Tahoma"/>
      <w:sz w:val="16"/>
      <w:szCs w:val="16"/>
    </w:rPr>
  </w:style>
  <w:style w:type="paragraph" w:styleId="ListParagraph">
    <w:name w:val="List Paragraph"/>
    <w:basedOn w:val="Normal"/>
    <w:uiPriority w:val="34"/>
    <w:qFormat/>
    <w:rsid w:val="00A51FE1"/>
    <w:pPr>
      <w:ind w:left="720"/>
      <w:contextualSpacing/>
    </w:pPr>
  </w:style>
  <w:style w:type="table" w:styleId="TableGrid">
    <w:name w:val="Table Grid"/>
    <w:basedOn w:val="TableNormal"/>
    <w:uiPriority w:val="59"/>
    <w:rsid w:val="006C0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86A47"/>
    <w:pPr>
      <w:autoSpaceDE w:val="0"/>
      <w:autoSpaceDN w:val="0"/>
      <w:adjustRightInd w:val="0"/>
      <w:spacing w:after="0" w:line="240" w:lineRule="auto"/>
    </w:pPr>
    <w:rPr>
      <w:rFonts w:cs="Arial"/>
      <w:color w:val="000000"/>
    </w:rPr>
  </w:style>
  <w:style w:type="paragraph" w:styleId="Header">
    <w:name w:val="header"/>
    <w:basedOn w:val="Normal"/>
    <w:link w:val="HeaderChar"/>
    <w:uiPriority w:val="99"/>
    <w:unhideWhenUsed/>
    <w:rsid w:val="00DB31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3112"/>
  </w:style>
  <w:style w:type="paragraph" w:styleId="Footer">
    <w:name w:val="footer"/>
    <w:basedOn w:val="Normal"/>
    <w:link w:val="FooterChar"/>
    <w:uiPriority w:val="99"/>
    <w:unhideWhenUsed/>
    <w:rsid w:val="00DB31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3112"/>
  </w:style>
  <w:style w:type="table" w:customStyle="1" w:styleId="TableGrid1">
    <w:name w:val="Table Grid1"/>
    <w:basedOn w:val="TableNormal"/>
    <w:next w:val="TableGrid"/>
    <w:uiPriority w:val="59"/>
    <w:rsid w:val="001828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828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828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B05D6"/>
    <w:rPr>
      <w:sz w:val="16"/>
      <w:szCs w:val="16"/>
    </w:rPr>
  </w:style>
  <w:style w:type="paragraph" w:styleId="CommentText">
    <w:name w:val="annotation text"/>
    <w:basedOn w:val="Normal"/>
    <w:link w:val="CommentTextChar"/>
    <w:uiPriority w:val="99"/>
    <w:semiHidden/>
    <w:unhideWhenUsed/>
    <w:rsid w:val="004B05D6"/>
    <w:pPr>
      <w:spacing w:line="240" w:lineRule="auto"/>
    </w:pPr>
    <w:rPr>
      <w:sz w:val="20"/>
      <w:szCs w:val="20"/>
    </w:rPr>
  </w:style>
  <w:style w:type="character" w:customStyle="1" w:styleId="CommentTextChar">
    <w:name w:val="Comment Text Char"/>
    <w:basedOn w:val="DefaultParagraphFont"/>
    <w:link w:val="CommentText"/>
    <w:uiPriority w:val="99"/>
    <w:semiHidden/>
    <w:rsid w:val="004B05D6"/>
    <w:rPr>
      <w:sz w:val="20"/>
      <w:szCs w:val="20"/>
    </w:rPr>
  </w:style>
  <w:style w:type="character" w:styleId="Hyperlink">
    <w:name w:val="Hyperlink"/>
    <w:basedOn w:val="DefaultParagraphFont"/>
    <w:uiPriority w:val="99"/>
    <w:unhideWhenUsed/>
    <w:rsid w:val="00896A72"/>
    <w:rPr>
      <w:color w:val="0000FF"/>
      <w:u w:val="single"/>
    </w:rPr>
  </w:style>
  <w:style w:type="numbering" w:customStyle="1" w:styleId="NoList1">
    <w:name w:val="No List1"/>
    <w:next w:val="NoList"/>
    <w:uiPriority w:val="99"/>
    <w:semiHidden/>
    <w:unhideWhenUsed/>
    <w:rsid w:val="00C91749"/>
  </w:style>
  <w:style w:type="character" w:styleId="Strong">
    <w:name w:val="Strong"/>
    <w:basedOn w:val="DefaultParagraphFont"/>
    <w:uiPriority w:val="22"/>
    <w:qFormat/>
    <w:rsid w:val="00C91749"/>
    <w:rPr>
      <w:b/>
      <w:bCs/>
    </w:rPr>
  </w:style>
  <w:style w:type="paragraph" w:styleId="NormalWeb">
    <w:name w:val="Normal (Web)"/>
    <w:basedOn w:val="Normal"/>
    <w:uiPriority w:val="99"/>
    <w:semiHidden/>
    <w:unhideWhenUsed/>
    <w:rsid w:val="00C91749"/>
    <w:pPr>
      <w:spacing w:before="100" w:beforeAutospacing="1" w:after="100" w:afterAutospacing="1" w:line="240" w:lineRule="auto"/>
    </w:pPr>
    <w:rPr>
      <w:rFonts w:eastAsia="Times New Roman"/>
    </w:rPr>
  </w:style>
  <w:style w:type="character" w:styleId="Emphasis">
    <w:name w:val="Emphasis"/>
    <w:basedOn w:val="DefaultParagraphFont"/>
    <w:uiPriority w:val="20"/>
    <w:qFormat/>
    <w:rsid w:val="00C91749"/>
    <w:rPr>
      <w:i/>
      <w:iCs/>
    </w:rPr>
  </w:style>
  <w:style w:type="character" w:styleId="FollowedHyperlink">
    <w:name w:val="FollowedHyperlink"/>
    <w:basedOn w:val="DefaultParagraphFont"/>
    <w:uiPriority w:val="99"/>
    <w:semiHidden/>
    <w:unhideWhenUsed/>
    <w:rsid w:val="00C91749"/>
    <w:rPr>
      <w:color w:val="800080" w:themeColor="followedHyperlink"/>
      <w:u w:val="single"/>
    </w:rPr>
  </w:style>
  <w:style w:type="character" w:styleId="LineNumber">
    <w:name w:val="line number"/>
    <w:basedOn w:val="DefaultParagraphFont"/>
    <w:uiPriority w:val="99"/>
    <w:semiHidden/>
    <w:unhideWhenUsed/>
    <w:rsid w:val="00D5674E"/>
  </w:style>
  <w:style w:type="paragraph" w:styleId="CommentSubject">
    <w:name w:val="annotation subject"/>
    <w:basedOn w:val="CommentText"/>
    <w:next w:val="CommentText"/>
    <w:link w:val="CommentSubjectChar"/>
    <w:uiPriority w:val="99"/>
    <w:semiHidden/>
    <w:unhideWhenUsed/>
    <w:rsid w:val="007105C1"/>
    <w:rPr>
      <w:b/>
      <w:bCs/>
    </w:rPr>
  </w:style>
  <w:style w:type="character" w:customStyle="1" w:styleId="CommentSubjectChar">
    <w:name w:val="Comment Subject Char"/>
    <w:basedOn w:val="CommentTextChar"/>
    <w:link w:val="CommentSubject"/>
    <w:uiPriority w:val="99"/>
    <w:semiHidden/>
    <w:rsid w:val="007105C1"/>
    <w:rPr>
      <w:b/>
      <w:bCs/>
      <w:sz w:val="20"/>
      <w:szCs w:val="20"/>
    </w:rPr>
  </w:style>
  <w:style w:type="paragraph" w:customStyle="1" w:styleId="EndNoteBibliographyTitle">
    <w:name w:val="EndNote Bibliography Title"/>
    <w:basedOn w:val="Normal"/>
    <w:link w:val="EndNoteBibliographyTitleChar"/>
    <w:rsid w:val="00D24F57"/>
    <w:pPr>
      <w:spacing w:after="0"/>
      <w:jc w:val="center"/>
    </w:pPr>
  </w:style>
  <w:style w:type="character" w:customStyle="1" w:styleId="EndNoteBibliographyTitleChar">
    <w:name w:val="EndNote Bibliography Title Char"/>
    <w:basedOn w:val="DefaultParagraphFont"/>
    <w:link w:val="EndNoteBibliographyTitle"/>
    <w:rsid w:val="00D24F57"/>
  </w:style>
  <w:style w:type="paragraph" w:customStyle="1" w:styleId="EndNoteBibliography">
    <w:name w:val="EndNote Bibliography"/>
    <w:basedOn w:val="Normal"/>
    <w:link w:val="EndNoteBibliographyChar"/>
    <w:rsid w:val="00D24F57"/>
    <w:pPr>
      <w:spacing w:line="240" w:lineRule="auto"/>
    </w:pPr>
  </w:style>
  <w:style w:type="character" w:customStyle="1" w:styleId="EndNoteBibliographyChar">
    <w:name w:val="EndNote Bibliography Char"/>
    <w:basedOn w:val="DefaultParagraphFont"/>
    <w:link w:val="EndNoteBibliography"/>
    <w:rsid w:val="00D24F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2747">
      <w:bodyDiv w:val="1"/>
      <w:marLeft w:val="0"/>
      <w:marRight w:val="0"/>
      <w:marTop w:val="0"/>
      <w:marBottom w:val="0"/>
      <w:divBdr>
        <w:top w:val="none" w:sz="0" w:space="0" w:color="auto"/>
        <w:left w:val="none" w:sz="0" w:space="0" w:color="auto"/>
        <w:bottom w:val="none" w:sz="0" w:space="0" w:color="auto"/>
        <w:right w:val="none" w:sz="0" w:space="0" w:color="auto"/>
      </w:divBdr>
    </w:div>
    <w:div w:id="117988605">
      <w:bodyDiv w:val="1"/>
      <w:marLeft w:val="0"/>
      <w:marRight w:val="0"/>
      <w:marTop w:val="0"/>
      <w:marBottom w:val="0"/>
      <w:divBdr>
        <w:top w:val="none" w:sz="0" w:space="0" w:color="auto"/>
        <w:left w:val="none" w:sz="0" w:space="0" w:color="auto"/>
        <w:bottom w:val="none" w:sz="0" w:space="0" w:color="auto"/>
        <w:right w:val="none" w:sz="0" w:space="0" w:color="auto"/>
      </w:divBdr>
    </w:div>
    <w:div w:id="243489362">
      <w:bodyDiv w:val="1"/>
      <w:marLeft w:val="0"/>
      <w:marRight w:val="0"/>
      <w:marTop w:val="0"/>
      <w:marBottom w:val="0"/>
      <w:divBdr>
        <w:top w:val="none" w:sz="0" w:space="0" w:color="auto"/>
        <w:left w:val="none" w:sz="0" w:space="0" w:color="auto"/>
        <w:bottom w:val="none" w:sz="0" w:space="0" w:color="auto"/>
        <w:right w:val="none" w:sz="0" w:space="0" w:color="auto"/>
      </w:divBdr>
    </w:div>
    <w:div w:id="408626108">
      <w:bodyDiv w:val="1"/>
      <w:marLeft w:val="0"/>
      <w:marRight w:val="0"/>
      <w:marTop w:val="0"/>
      <w:marBottom w:val="0"/>
      <w:divBdr>
        <w:top w:val="none" w:sz="0" w:space="0" w:color="auto"/>
        <w:left w:val="none" w:sz="0" w:space="0" w:color="auto"/>
        <w:bottom w:val="none" w:sz="0" w:space="0" w:color="auto"/>
        <w:right w:val="none" w:sz="0" w:space="0" w:color="auto"/>
      </w:divBdr>
    </w:div>
    <w:div w:id="480538300">
      <w:bodyDiv w:val="1"/>
      <w:marLeft w:val="0"/>
      <w:marRight w:val="0"/>
      <w:marTop w:val="0"/>
      <w:marBottom w:val="0"/>
      <w:divBdr>
        <w:top w:val="none" w:sz="0" w:space="0" w:color="auto"/>
        <w:left w:val="none" w:sz="0" w:space="0" w:color="auto"/>
        <w:bottom w:val="none" w:sz="0" w:space="0" w:color="auto"/>
        <w:right w:val="none" w:sz="0" w:space="0" w:color="auto"/>
      </w:divBdr>
    </w:div>
    <w:div w:id="614365562">
      <w:bodyDiv w:val="1"/>
      <w:marLeft w:val="0"/>
      <w:marRight w:val="0"/>
      <w:marTop w:val="0"/>
      <w:marBottom w:val="0"/>
      <w:divBdr>
        <w:top w:val="none" w:sz="0" w:space="0" w:color="auto"/>
        <w:left w:val="none" w:sz="0" w:space="0" w:color="auto"/>
        <w:bottom w:val="none" w:sz="0" w:space="0" w:color="auto"/>
        <w:right w:val="none" w:sz="0" w:space="0" w:color="auto"/>
      </w:divBdr>
    </w:div>
    <w:div w:id="829560671">
      <w:bodyDiv w:val="1"/>
      <w:marLeft w:val="0"/>
      <w:marRight w:val="0"/>
      <w:marTop w:val="0"/>
      <w:marBottom w:val="0"/>
      <w:divBdr>
        <w:top w:val="none" w:sz="0" w:space="0" w:color="auto"/>
        <w:left w:val="none" w:sz="0" w:space="0" w:color="auto"/>
        <w:bottom w:val="none" w:sz="0" w:space="0" w:color="auto"/>
        <w:right w:val="none" w:sz="0" w:space="0" w:color="auto"/>
      </w:divBdr>
    </w:div>
    <w:div w:id="857891438">
      <w:bodyDiv w:val="1"/>
      <w:marLeft w:val="0"/>
      <w:marRight w:val="0"/>
      <w:marTop w:val="0"/>
      <w:marBottom w:val="0"/>
      <w:divBdr>
        <w:top w:val="none" w:sz="0" w:space="0" w:color="auto"/>
        <w:left w:val="none" w:sz="0" w:space="0" w:color="auto"/>
        <w:bottom w:val="none" w:sz="0" w:space="0" w:color="auto"/>
        <w:right w:val="none" w:sz="0" w:space="0" w:color="auto"/>
      </w:divBdr>
    </w:div>
    <w:div w:id="883098315">
      <w:bodyDiv w:val="1"/>
      <w:marLeft w:val="0"/>
      <w:marRight w:val="0"/>
      <w:marTop w:val="0"/>
      <w:marBottom w:val="0"/>
      <w:divBdr>
        <w:top w:val="none" w:sz="0" w:space="0" w:color="auto"/>
        <w:left w:val="none" w:sz="0" w:space="0" w:color="auto"/>
        <w:bottom w:val="none" w:sz="0" w:space="0" w:color="auto"/>
        <w:right w:val="none" w:sz="0" w:space="0" w:color="auto"/>
      </w:divBdr>
    </w:div>
    <w:div w:id="1033730523">
      <w:bodyDiv w:val="1"/>
      <w:marLeft w:val="0"/>
      <w:marRight w:val="0"/>
      <w:marTop w:val="0"/>
      <w:marBottom w:val="0"/>
      <w:divBdr>
        <w:top w:val="none" w:sz="0" w:space="0" w:color="auto"/>
        <w:left w:val="none" w:sz="0" w:space="0" w:color="auto"/>
        <w:bottom w:val="none" w:sz="0" w:space="0" w:color="auto"/>
        <w:right w:val="none" w:sz="0" w:space="0" w:color="auto"/>
      </w:divBdr>
    </w:div>
    <w:div w:id="1131172247">
      <w:bodyDiv w:val="1"/>
      <w:marLeft w:val="0"/>
      <w:marRight w:val="0"/>
      <w:marTop w:val="0"/>
      <w:marBottom w:val="0"/>
      <w:divBdr>
        <w:top w:val="none" w:sz="0" w:space="0" w:color="auto"/>
        <w:left w:val="none" w:sz="0" w:space="0" w:color="auto"/>
        <w:bottom w:val="none" w:sz="0" w:space="0" w:color="auto"/>
        <w:right w:val="none" w:sz="0" w:space="0" w:color="auto"/>
      </w:divBdr>
    </w:div>
    <w:div w:id="1277255429">
      <w:bodyDiv w:val="1"/>
      <w:marLeft w:val="0"/>
      <w:marRight w:val="0"/>
      <w:marTop w:val="0"/>
      <w:marBottom w:val="0"/>
      <w:divBdr>
        <w:top w:val="none" w:sz="0" w:space="0" w:color="auto"/>
        <w:left w:val="none" w:sz="0" w:space="0" w:color="auto"/>
        <w:bottom w:val="none" w:sz="0" w:space="0" w:color="auto"/>
        <w:right w:val="none" w:sz="0" w:space="0" w:color="auto"/>
      </w:divBdr>
    </w:div>
    <w:div w:id="1281648147">
      <w:bodyDiv w:val="1"/>
      <w:marLeft w:val="0"/>
      <w:marRight w:val="0"/>
      <w:marTop w:val="0"/>
      <w:marBottom w:val="0"/>
      <w:divBdr>
        <w:top w:val="none" w:sz="0" w:space="0" w:color="auto"/>
        <w:left w:val="none" w:sz="0" w:space="0" w:color="auto"/>
        <w:bottom w:val="none" w:sz="0" w:space="0" w:color="auto"/>
        <w:right w:val="none" w:sz="0" w:space="0" w:color="auto"/>
      </w:divBdr>
    </w:div>
    <w:div w:id="1521123169">
      <w:bodyDiv w:val="1"/>
      <w:marLeft w:val="0"/>
      <w:marRight w:val="0"/>
      <w:marTop w:val="0"/>
      <w:marBottom w:val="0"/>
      <w:divBdr>
        <w:top w:val="none" w:sz="0" w:space="0" w:color="auto"/>
        <w:left w:val="none" w:sz="0" w:space="0" w:color="auto"/>
        <w:bottom w:val="none" w:sz="0" w:space="0" w:color="auto"/>
        <w:right w:val="none" w:sz="0" w:space="0" w:color="auto"/>
      </w:divBdr>
    </w:div>
    <w:div w:id="1729718100">
      <w:bodyDiv w:val="1"/>
      <w:marLeft w:val="0"/>
      <w:marRight w:val="0"/>
      <w:marTop w:val="0"/>
      <w:marBottom w:val="0"/>
      <w:divBdr>
        <w:top w:val="none" w:sz="0" w:space="0" w:color="auto"/>
        <w:left w:val="none" w:sz="0" w:space="0" w:color="auto"/>
        <w:bottom w:val="none" w:sz="0" w:space="0" w:color="auto"/>
        <w:right w:val="none" w:sz="0" w:space="0" w:color="auto"/>
      </w:divBdr>
    </w:div>
    <w:div w:id="20316854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05583-6724-4175-9E88-A4C459BE1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2319</Words>
  <Characters>13223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dc:creator>
  <cp:keywords/>
  <dc:description/>
  <cp:lastModifiedBy>Lawrence Armstrong</cp:lastModifiedBy>
  <cp:revision>2</cp:revision>
  <cp:lastPrinted>2021-12-23T18:05:00Z</cp:lastPrinted>
  <dcterms:created xsi:type="dcterms:W3CDTF">2021-12-23T18:46:00Z</dcterms:created>
  <dcterms:modified xsi:type="dcterms:W3CDTF">2021-12-23T18:46:00Z</dcterms:modified>
</cp:coreProperties>
</file>