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Table S3.</w:t>
      </w:r>
      <w:r>
        <w:rPr>
          <w:rFonts w:hint="default" w:ascii="Times New Roman" w:hAnsi="Times New Roman" w:cs="Times New Roman"/>
        </w:rPr>
        <w:t xml:space="preserve"> List of primers used for qRT-PCR experiments</w:t>
      </w:r>
      <w:r>
        <w:rPr>
          <w:rFonts w:hint="default" w:ascii="Times New Roman" w:hAnsi="Times New Roman" w:cs="Times New Roman"/>
          <w:lang w:val="en-US" w:eastAsia="zh-CN"/>
        </w:rPr>
        <w:t>.</w:t>
      </w:r>
    </w:p>
    <w:p>
      <w:pPr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tbl>
      <w:tblPr>
        <w:tblStyle w:val="3"/>
        <w:tblW w:w="8356" w:type="dxa"/>
        <w:tblCellSpacing w:w="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9"/>
        <w:gridCol w:w="1370"/>
        <w:gridCol w:w="32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tblCellSpacing w:w="0" w:type="dxa"/>
        </w:trPr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  <w:lang w:bidi="ar"/>
              </w:rPr>
              <w:t>Gene name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  <w:lang w:bidi="ar"/>
              </w:rPr>
              <w:t>Abbreviation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  <w:lang w:bidi="ar"/>
              </w:rPr>
              <w:t>Primer（5’to 3’）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</w:trPr>
        <w:tc>
          <w:tcPr>
            <w:tcW w:w="3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  <w:lang w:bidi="ar"/>
              </w:rPr>
              <w:t>actin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i/>
                <w:iCs/>
                <w:color w:val="000000"/>
                <w:sz w:val="20"/>
                <w:szCs w:val="20"/>
                <w:lang w:bidi="ar"/>
              </w:rPr>
              <w:t>act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  <w:lang w:bidi="ar"/>
              </w:rPr>
              <w:t>GGAGCTGAGAGATTCCGTTG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</w:trPr>
        <w:tc>
          <w:tcPr>
            <w:tcW w:w="3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  <w:lang w:bidi="ar"/>
              </w:rPr>
              <w:t>GAATTCCTGCAGCTTCCATC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</w:trPr>
        <w:tc>
          <w:tcPr>
            <w:tcW w:w="3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  <w:lang w:bidi="ar"/>
              </w:rPr>
              <w:t>citrate synthase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i/>
                <w:iCs/>
                <w:color w:val="000000"/>
                <w:sz w:val="20"/>
                <w:szCs w:val="20"/>
                <w:lang w:bidi="ar"/>
              </w:rPr>
              <w:t>acla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  <w:lang w:bidi="ar"/>
              </w:rPr>
              <w:t>AAGCGTGGCAAGAGTGGT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</w:trPr>
        <w:tc>
          <w:tcPr>
            <w:tcW w:w="3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  <w:lang w:bidi="ar"/>
              </w:rPr>
              <w:t>AAGCCGATCCGAGACAAC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</w:trPr>
        <w:tc>
          <w:tcPr>
            <w:tcW w:w="3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  <w:lang w:bidi="ar"/>
              </w:rPr>
              <w:t>Cytosolic isocitrate dehydrogenase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i/>
                <w:iCs/>
                <w:color w:val="000000"/>
                <w:sz w:val="20"/>
                <w:szCs w:val="20"/>
                <w:lang w:bidi="ar"/>
              </w:rPr>
              <w:t>cicdh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  <w:lang w:bidi="ar"/>
              </w:rPr>
              <w:t>GCACAAGGATTCGGGTCA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</w:trPr>
        <w:tc>
          <w:tcPr>
            <w:tcW w:w="3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  <w:lang w:bidi="ar"/>
              </w:rPr>
              <w:t>GTCCACGAGTCCAAGCAA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</w:trPr>
        <w:tc>
          <w:tcPr>
            <w:tcW w:w="3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  <w:lang w:bidi="ar"/>
              </w:rPr>
              <w:t>Early light-induced protein 2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i/>
                <w:iCs/>
                <w:color w:val="000000"/>
                <w:sz w:val="20"/>
                <w:szCs w:val="20"/>
                <w:lang w:bidi="ar"/>
              </w:rPr>
              <w:t>elip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  <w:lang w:bidi="ar"/>
              </w:rPr>
              <w:t>GGTGTCGGGTGGTTTCTA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</w:trPr>
        <w:tc>
          <w:tcPr>
            <w:tcW w:w="3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  <w:lang w:bidi="ar"/>
              </w:rPr>
              <w:t>CCTCTGCCCTTATTCCCT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</w:trPr>
        <w:tc>
          <w:tcPr>
            <w:tcW w:w="3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  <w:lang w:bidi="ar"/>
              </w:rPr>
              <w:t>Chlorophyll a-b binding protein 4.1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i/>
                <w:iCs/>
                <w:color w:val="000000"/>
                <w:sz w:val="20"/>
                <w:szCs w:val="20"/>
                <w:lang w:bidi="ar"/>
              </w:rPr>
              <w:t>lhcb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  <w:lang w:bidi="ar"/>
              </w:rPr>
              <w:t>TTCAGGTCGGTTCACAGC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</w:trPr>
        <w:tc>
          <w:tcPr>
            <w:tcW w:w="3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  <w:lang w:bidi="ar"/>
              </w:rPr>
              <w:t>CCATCAAGCCAGTCAGGAG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</w:trPr>
        <w:tc>
          <w:tcPr>
            <w:tcW w:w="3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  <w:lang w:bidi="ar"/>
              </w:rPr>
              <w:t>2-oxoglutarate dehydrogenase E1/E2 component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i/>
                <w:iCs/>
                <w:color w:val="000000"/>
                <w:sz w:val="20"/>
                <w:szCs w:val="20"/>
                <w:lang w:bidi="ar"/>
              </w:rPr>
              <w:t>odh</w:t>
            </w:r>
            <w:r>
              <w:rPr>
                <w:rFonts w:hint="eastAsia" w:ascii="Times New Roman" w:hAnsi="Times New Roman" w:eastAsia="宋体"/>
                <w:i/>
                <w:iCs/>
                <w:color w:val="000000"/>
                <w:sz w:val="20"/>
                <w:szCs w:val="20"/>
                <w:lang w:bidi="ar"/>
              </w:rPr>
              <w:t>a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  <w:lang w:bidi="ar"/>
              </w:rPr>
              <w:t>CTCCCTGACTGCTAACCCG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</w:trPr>
        <w:tc>
          <w:tcPr>
            <w:tcW w:w="3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  <w:lang w:bidi="ar"/>
              </w:rPr>
              <w:t>TGCCGTCTACGCCCTTGT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</w:trPr>
        <w:tc>
          <w:tcPr>
            <w:tcW w:w="3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  <w:lang w:bidi="ar"/>
              </w:rPr>
              <w:t>Pyruvate dehydrogenase E1 component subunit alpha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i/>
                <w:iCs/>
                <w:color w:val="000000"/>
                <w:sz w:val="20"/>
                <w:szCs w:val="20"/>
                <w:lang w:bidi="ar"/>
              </w:rPr>
              <w:t>osj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  <w:lang w:bidi="ar"/>
              </w:rPr>
              <w:t>GGCGACTATGTGCCAGGAT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</w:trPr>
        <w:tc>
          <w:tcPr>
            <w:tcW w:w="3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  <w:lang w:bidi="ar"/>
              </w:rPr>
              <w:t>GGTGCGGTAAGTGCTCCCT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3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  <w:lang w:bidi="ar"/>
              </w:rPr>
              <w:t>2,3-bisphosphoglycerate-independent phosphoglycerate mutase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i/>
                <w:iCs/>
                <w:color w:val="000000"/>
                <w:sz w:val="20"/>
                <w:szCs w:val="20"/>
                <w:lang w:bidi="ar"/>
              </w:rPr>
              <w:t>pgm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  <w:lang w:bidi="ar"/>
              </w:rPr>
              <w:t>ATAGTTGACGGTGATGCT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3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  <w:lang w:bidi="ar"/>
              </w:rPr>
              <w:t>CAAGGTAACGGTTAGGAA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3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  <w:lang w:bidi="ar"/>
              </w:rPr>
              <w:t>(S)-tetrahydroprotoberberine oxidase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i/>
                <w:iCs/>
                <w:color w:val="000000"/>
                <w:sz w:val="20"/>
                <w:szCs w:val="20"/>
                <w:lang w:bidi="ar"/>
              </w:rPr>
              <w:t>stox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  <w:lang w:bidi="ar"/>
              </w:rPr>
              <w:t>AGAAGGTGCCACTGCTCT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3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  <w:lang w:bidi="ar"/>
              </w:rPr>
              <w:t>TTGGACTGATGATTACGG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</w:trPr>
        <w:tc>
          <w:tcPr>
            <w:tcW w:w="3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  <w:lang w:bidi="ar"/>
              </w:rPr>
              <w:t>S-adenosylmethionine synthase 1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i/>
                <w:iCs/>
                <w:color w:val="000000"/>
                <w:sz w:val="20"/>
                <w:szCs w:val="20"/>
                <w:lang w:bidi="ar"/>
              </w:rPr>
              <w:t>sam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  <w:lang w:bidi="ar"/>
              </w:rPr>
              <w:t>ATACCTACGGTGGATGGG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</w:trPr>
        <w:tc>
          <w:tcPr>
            <w:tcW w:w="3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</w:tcPr>
          <w:p>
            <w:pPr>
              <w:pStyle w:val="2"/>
              <w:widowControl/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  <w:lang w:bidi="ar"/>
              </w:rPr>
              <w:t>AAAGACAGACAATGGCTCA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808EB"/>
    <w:rsid w:val="04F86578"/>
    <w:rsid w:val="7728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2021-09-26T08:49:00Z</dcterms:created>
  <dc:creator>默若客</dc:creator>
  <cp:lastModifiedBy>默若客</cp:lastModifiedBy>
  <dcterms:modified xsi:type="dcterms:W3CDTF">2021-11-26T06:16:17Z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C52449DECD444C0BBFE14D21F296C696</vt:lpwstr>
  </property>
</Properties>
</file>