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CEB" w:rsidRPr="0037405F" w:rsidRDefault="00B61CEB" w:rsidP="00B8212E">
      <w:pPr>
        <w:pStyle w:val="Pa13"/>
        <w:spacing w:line="480" w:lineRule="auto"/>
        <w:jc w:val="both"/>
        <w:rPr>
          <w:rFonts w:ascii="Times New Roman" w:hAnsi="Times New Roman" w:cs="Times New Roman"/>
        </w:rPr>
      </w:pPr>
      <w:r w:rsidRPr="0037405F">
        <w:rPr>
          <w:rFonts w:ascii="Times New Roman" w:hAnsi="Times New Roman" w:cs="Times New Roman"/>
          <w:b/>
          <w:bCs/>
        </w:rPr>
        <w:t>Supplementary materials</w:t>
      </w:r>
    </w:p>
    <w:p w:rsidR="00362797" w:rsidRPr="00FC0390" w:rsidRDefault="00362797" w:rsidP="00B8212E">
      <w:pPr>
        <w:pStyle w:val="Pa19"/>
        <w:spacing w:line="480" w:lineRule="auto"/>
        <w:jc w:val="both"/>
        <w:rPr>
          <w:rFonts w:ascii="Times New Roman" w:hAnsi="Times New Roman" w:cs="Times New Roman"/>
          <w:b/>
          <w:strike/>
          <w:color w:val="FF0000"/>
        </w:rPr>
      </w:pPr>
      <w:r w:rsidRPr="0037405F">
        <w:rPr>
          <w:rFonts w:ascii="Times New Roman" w:hAnsi="Times New Roman" w:cs="Times New Roman"/>
        </w:rPr>
        <w:t xml:space="preserve">Plasma concentrations of itraconazole and hydroxy itraconazole were determined using a </w:t>
      </w:r>
      <w:r w:rsidR="00472BC7" w:rsidRPr="0037405F">
        <w:rPr>
          <w:rFonts w:ascii="Times New Roman" w:hAnsi="Times New Roman" w:cs="Times New Roman"/>
        </w:rPr>
        <w:t xml:space="preserve">validated </w:t>
      </w:r>
      <w:r w:rsidRPr="0037405F">
        <w:rPr>
          <w:rFonts w:ascii="Times New Roman" w:hAnsi="Times New Roman" w:cs="Times New Roman"/>
        </w:rPr>
        <w:t>liquid chromatography with mass spectrometry detection (LC-MS)</w:t>
      </w:r>
      <w:r w:rsidR="00472BC7" w:rsidRPr="0037405F">
        <w:rPr>
          <w:rFonts w:ascii="Times New Roman" w:hAnsi="Times New Roman" w:cs="Times New Roman"/>
        </w:rPr>
        <w:t xml:space="preserve"> assay modified based on the method of Patni et al. </w:t>
      </w:r>
      <w:r w:rsidR="00FC0390">
        <w:rPr>
          <w:rFonts w:ascii="Times New Roman" w:hAnsi="Times New Roman" w:cs="Times New Roman"/>
        </w:rPr>
        <w:t>(Patni et al., 2010; Patni et al., 2012)</w:t>
      </w:r>
      <w:r w:rsidR="00E21558" w:rsidRPr="0037405F">
        <w:rPr>
          <w:rFonts w:ascii="Times New Roman" w:hAnsi="Times New Roman" w:cs="Times New Roman"/>
        </w:rPr>
        <w:t>.</w:t>
      </w:r>
      <w:r w:rsidRPr="0037405F">
        <w:rPr>
          <w:rFonts w:ascii="Times New Roman" w:hAnsi="Times New Roman" w:cs="Times New Roman"/>
        </w:rPr>
        <w:t xml:space="preserve"> </w:t>
      </w:r>
    </w:p>
    <w:p w:rsidR="00B61CEB" w:rsidRPr="0037405F" w:rsidRDefault="00B61CEB" w:rsidP="00B8212E">
      <w:pPr>
        <w:pStyle w:val="Pa19"/>
        <w:spacing w:line="480" w:lineRule="auto"/>
        <w:jc w:val="both"/>
        <w:rPr>
          <w:rFonts w:ascii="Times New Roman" w:hAnsi="Times New Roman" w:cs="Times New Roman"/>
          <w:b/>
        </w:rPr>
      </w:pPr>
      <w:r w:rsidRPr="0037405F">
        <w:rPr>
          <w:rFonts w:ascii="Times New Roman" w:hAnsi="Times New Roman" w:cs="Times New Roman"/>
          <w:b/>
        </w:rPr>
        <w:t>Instrumentation and LC–MS</w:t>
      </w:r>
      <w:r w:rsidR="00B6381B" w:rsidRPr="0037405F">
        <w:rPr>
          <w:rFonts w:ascii="Times New Roman" w:hAnsi="Times New Roman" w:cs="Times New Roman"/>
          <w:b/>
        </w:rPr>
        <w:t xml:space="preserve"> </w:t>
      </w:r>
      <w:r w:rsidRPr="0037405F">
        <w:rPr>
          <w:rFonts w:ascii="Times New Roman" w:hAnsi="Times New Roman" w:cs="Times New Roman"/>
          <w:b/>
        </w:rPr>
        <w:t>analytical conditions</w:t>
      </w:r>
    </w:p>
    <w:p w:rsidR="00B206B7" w:rsidRPr="00FC0390" w:rsidRDefault="000243B0" w:rsidP="00B8212E">
      <w:pPr>
        <w:spacing w:after="0" w:line="480" w:lineRule="auto"/>
        <w:jc w:val="both"/>
        <w:rPr>
          <w:rFonts w:ascii="Times New Roman" w:hAnsi="Times New Roman" w:cs="Times New Roman"/>
          <w:sz w:val="24"/>
          <w:szCs w:val="24"/>
        </w:rPr>
      </w:pPr>
      <w:r w:rsidRPr="0037405F">
        <w:rPr>
          <w:rFonts w:ascii="Times New Roman" w:hAnsi="Times New Roman" w:cs="Times New Roman"/>
          <w:sz w:val="24"/>
          <w:szCs w:val="24"/>
        </w:rPr>
        <w:t>The LC-MS method w</w:t>
      </w:r>
      <w:r w:rsidR="00A75F1A" w:rsidRPr="0037405F">
        <w:rPr>
          <w:rFonts w:ascii="Times New Roman" w:hAnsi="Times New Roman" w:cs="Times New Roman"/>
          <w:sz w:val="24"/>
          <w:szCs w:val="24"/>
        </w:rPr>
        <w:t xml:space="preserve">as </w:t>
      </w:r>
      <w:r w:rsidRPr="0037405F">
        <w:rPr>
          <w:rFonts w:ascii="Times New Roman" w:hAnsi="Times New Roman" w:cs="Times New Roman"/>
          <w:sz w:val="24"/>
          <w:szCs w:val="24"/>
        </w:rPr>
        <w:t>developed using a liquid chromatograph Waters Aquity 2695 System separation module (HPLC binary pump equipped with autosamples/variable injector</w:t>
      </w:r>
      <w:r w:rsidR="00B84109" w:rsidRPr="0037405F">
        <w:rPr>
          <w:rFonts w:ascii="Times New Roman" w:hAnsi="Times New Roman" w:cs="Times New Roman"/>
          <w:sz w:val="24"/>
          <w:szCs w:val="24"/>
        </w:rPr>
        <w:t>, degasser, Hypersil GOLD 100.0</w:t>
      </w:r>
      <w:r w:rsidRPr="0037405F">
        <w:rPr>
          <w:rFonts w:ascii="Times New Roman" w:hAnsi="Times New Roman" w:cs="Times New Roman"/>
          <w:sz w:val="24"/>
          <w:szCs w:val="24"/>
        </w:rPr>
        <w:t xml:space="preserve"> x 2.1 mm, 3.0 μm Therrmo Scientific column with Hypersil GOLD 3.0 μm 10.0 x 2.1 mm guard column, maintained on 30</w:t>
      </w:r>
      <w:r w:rsidRPr="0037405F">
        <w:rPr>
          <w:rFonts w:ascii="Times New Roman" w:hAnsi="Times New Roman" w:cs="Times New Roman"/>
          <w:sz w:val="24"/>
          <w:szCs w:val="24"/>
          <w:vertAlign w:val="superscript"/>
        </w:rPr>
        <w:t>0</w:t>
      </w:r>
      <w:r w:rsidRPr="0037405F">
        <w:rPr>
          <w:rFonts w:ascii="Times New Roman" w:hAnsi="Times New Roman" w:cs="Times New Roman"/>
          <w:sz w:val="24"/>
          <w:szCs w:val="24"/>
        </w:rPr>
        <w:t>C) (HPLC, Alliance 2695, Waters</w:t>
      </w:r>
      <w:r w:rsidR="00A75F1A" w:rsidRPr="0037405F">
        <w:rPr>
          <w:rFonts w:ascii="Times New Roman" w:hAnsi="Times New Roman" w:cs="Times New Roman"/>
          <w:sz w:val="24"/>
          <w:szCs w:val="24"/>
        </w:rPr>
        <w:t>,</w:t>
      </w:r>
      <w:r w:rsidR="00B6381B" w:rsidRPr="0037405F">
        <w:rPr>
          <w:rFonts w:ascii="Times New Roman" w:hAnsi="Times New Roman" w:cs="Times New Roman"/>
          <w:sz w:val="24"/>
          <w:szCs w:val="24"/>
        </w:rPr>
        <w:t xml:space="preserve"> </w:t>
      </w:r>
      <w:hyperlink r:id="rId8" w:tooltip="Massachusetts" w:history="1">
        <w:r w:rsidR="00B6381B" w:rsidRPr="0037405F">
          <w:rPr>
            <w:rFonts w:ascii="Times New Roman" w:eastAsia="Times New Roman" w:hAnsi="Times New Roman" w:cs="Times New Roman"/>
            <w:sz w:val="24"/>
            <w:szCs w:val="24"/>
          </w:rPr>
          <w:t>Massachusetts</w:t>
        </w:r>
      </w:hyperlink>
      <w:r w:rsidR="00B6381B" w:rsidRPr="0037405F">
        <w:rPr>
          <w:rFonts w:ascii="Times New Roman" w:eastAsia="Times New Roman" w:hAnsi="Times New Roman" w:cs="Times New Roman"/>
          <w:sz w:val="24"/>
          <w:szCs w:val="24"/>
        </w:rPr>
        <w:t>, USA)</w:t>
      </w:r>
      <w:r w:rsidRPr="0037405F">
        <w:rPr>
          <w:rFonts w:ascii="Times New Roman" w:hAnsi="Times New Roman" w:cs="Times New Roman"/>
          <w:sz w:val="24"/>
          <w:szCs w:val="24"/>
        </w:rPr>
        <w:t xml:space="preserve"> and mass spectrometer (ZQ, Quattro Micro, Waters</w:t>
      </w:r>
      <w:r w:rsidR="00A75F1A" w:rsidRPr="0037405F">
        <w:rPr>
          <w:rFonts w:ascii="Times New Roman" w:hAnsi="Times New Roman" w:cs="Times New Roman"/>
          <w:sz w:val="24"/>
          <w:szCs w:val="24"/>
        </w:rPr>
        <w:t xml:space="preserve">, </w:t>
      </w:r>
      <w:hyperlink r:id="rId9" w:tooltip="Massachusetts" w:history="1">
        <w:r w:rsidR="00B6381B" w:rsidRPr="0037405F">
          <w:rPr>
            <w:rFonts w:ascii="Times New Roman" w:eastAsia="Times New Roman" w:hAnsi="Times New Roman" w:cs="Times New Roman"/>
            <w:sz w:val="24"/>
            <w:szCs w:val="24"/>
          </w:rPr>
          <w:t>Massachusetts</w:t>
        </w:r>
      </w:hyperlink>
      <w:r w:rsidR="00B6381B" w:rsidRPr="0037405F">
        <w:rPr>
          <w:rFonts w:ascii="Times New Roman" w:eastAsia="Times New Roman" w:hAnsi="Times New Roman" w:cs="Times New Roman"/>
          <w:sz w:val="24"/>
          <w:szCs w:val="24"/>
        </w:rPr>
        <w:t>, USA</w:t>
      </w:r>
      <w:r w:rsidRPr="0037405F">
        <w:rPr>
          <w:rFonts w:ascii="Times New Roman" w:hAnsi="Times New Roman" w:cs="Times New Roman"/>
          <w:sz w:val="24"/>
          <w:szCs w:val="24"/>
        </w:rPr>
        <w:t xml:space="preserve">). The mobile phase </w:t>
      </w:r>
      <w:r w:rsidR="00A75F1A" w:rsidRPr="0037405F">
        <w:rPr>
          <w:rFonts w:ascii="Times New Roman" w:hAnsi="Times New Roman" w:cs="Times New Roman"/>
          <w:sz w:val="24"/>
          <w:szCs w:val="24"/>
        </w:rPr>
        <w:t xml:space="preserve">was </w:t>
      </w:r>
      <w:r w:rsidRPr="0037405F">
        <w:rPr>
          <w:rFonts w:ascii="Times New Roman" w:hAnsi="Times New Roman" w:cs="Times New Roman"/>
          <w:sz w:val="24"/>
          <w:szCs w:val="24"/>
        </w:rPr>
        <w:t xml:space="preserve">consisted of </w:t>
      </w:r>
      <w:r w:rsidR="00B84109" w:rsidRPr="0037405F">
        <w:rPr>
          <w:rFonts w:ascii="Times New Roman" w:hAnsi="Times New Roman" w:cs="Times New Roman"/>
          <w:sz w:val="24"/>
          <w:szCs w:val="24"/>
        </w:rPr>
        <w:t>mixture of acetonitrile and 5.0</w:t>
      </w:r>
      <w:r w:rsidRPr="0037405F">
        <w:rPr>
          <w:rFonts w:ascii="Times New Roman" w:hAnsi="Times New Roman" w:cs="Times New Roman"/>
          <w:sz w:val="24"/>
          <w:szCs w:val="24"/>
        </w:rPr>
        <w:t xml:space="preserve"> mM ammonium-acetate (70:30, v/v) at the flow rate of 0.2 mL/min.</w:t>
      </w:r>
      <w:r w:rsidR="00B206B7" w:rsidRPr="0037405F">
        <w:rPr>
          <w:rFonts w:ascii="Times New Roman" w:hAnsi="Times New Roman" w:cs="Times New Roman"/>
          <w:sz w:val="24"/>
          <w:szCs w:val="24"/>
        </w:rPr>
        <w:t xml:space="preserve"> </w:t>
      </w:r>
      <w:r w:rsidRPr="0037405F">
        <w:rPr>
          <w:rFonts w:ascii="Times New Roman" w:hAnsi="Times New Roman" w:cs="Times New Roman"/>
          <w:sz w:val="24"/>
          <w:szCs w:val="24"/>
        </w:rPr>
        <w:t xml:space="preserve">The run time </w:t>
      </w:r>
      <w:r w:rsidR="00B84109" w:rsidRPr="0037405F">
        <w:rPr>
          <w:rFonts w:ascii="Times New Roman" w:hAnsi="Times New Roman" w:cs="Times New Roman"/>
          <w:sz w:val="24"/>
          <w:szCs w:val="24"/>
        </w:rPr>
        <w:t>was</w:t>
      </w:r>
      <w:r w:rsidRPr="0037405F">
        <w:rPr>
          <w:rFonts w:ascii="Times New Roman" w:hAnsi="Times New Roman" w:cs="Times New Roman"/>
          <w:sz w:val="24"/>
          <w:szCs w:val="24"/>
        </w:rPr>
        <w:t xml:space="preserve"> 6 m</w:t>
      </w:r>
      <w:r w:rsidR="00794D97" w:rsidRPr="0037405F">
        <w:rPr>
          <w:rFonts w:ascii="Times New Roman" w:hAnsi="Times New Roman" w:cs="Times New Roman"/>
          <w:sz w:val="24"/>
          <w:szCs w:val="24"/>
        </w:rPr>
        <w:t>in</w:t>
      </w:r>
      <w:r w:rsidRPr="0037405F">
        <w:rPr>
          <w:rFonts w:ascii="Times New Roman" w:hAnsi="Times New Roman" w:cs="Times New Roman"/>
          <w:sz w:val="24"/>
          <w:szCs w:val="24"/>
        </w:rPr>
        <w:t>s with retention times of approximately 2.8 m</w:t>
      </w:r>
      <w:r w:rsidR="00794D97" w:rsidRPr="0037405F">
        <w:rPr>
          <w:rFonts w:ascii="Times New Roman" w:hAnsi="Times New Roman" w:cs="Times New Roman"/>
          <w:sz w:val="24"/>
          <w:szCs w:val="24"/>
        </w:rPr>
        <w:t>ins</w:t>
      </w:r>
      <w:r w:rsidR="00B84109" w:rsidRPr="0037405F">
        <w:rPr>
          <w:rFonts w:ascii="Times New Roman" w:hAnsi="Times New Roman" w:cs="Times New Roman"/>
          <w:sz w:val="24"/>
          <w:szCs w:val="24"/>
        </w:rPr>
        <w:t xml:space="preserve"> for itraconazole, 2.3</w:t>
      </w:r>
      <w:r w:rsidR="00794D97" w:rsidRPr="0037405F">
        <w:rPr>
          <w:rFonts w:ascii="Times New Roman" w:hAnsi="Times New Roman" w:cs="Times New Roman"/>
          <w:sz w:val="24"/>
          <w:szCs w:val="24"/>
        </w:rPr>
        <w:t xml:space="preserve"> mins</w:t>
      </w:r>
      <w:r w:rsidRPr="0037405F">
        <w:rPr>
          <w:rFonts w:ascii="Times New Roman" w:hAnsi="Times New Roman" w:cs="Times New Roman"/>
          <w:sz w:val="24"/>
          <w:szCs w:val="24"/>
        </w:rPr>
        <w:t xml:space="preserve"> for hydroxy itraconazole</w:t>
      </w:r>
      <w:r w:rsidR="00B84109" w:rsidRPr="0037405F">
        <w:rPr>
          <w:rFonts w:ascii="Times New Roman" w:hAnsi="Times New Roman" w:cs="Times New Roman"/>
          <w:sz w:val="24"/>
          <w:szCs w:val="24"/>
        </w:rPr>
        <w:t>,</w:t>
      </w:r>
      <w:r w:rsidRPr="0037405F">
        <w:rPr>
          <w:rFonts w:ascii="Times New Roman" w:hAnsi="Times New Roman" w:cs="Times New Roman"/>
          <w:sz w:val="24"/>
          <w:szCs w:val="24"/>
        </w:rPr>
        <w:t xml:space="preserve"> and 2.2 m</w:t>
      </w:r>
      <w:r w:rsidR="00794D97" w:rsidRPr="0037405F">
        <w:rPr>
          <w:rFonts w:ascii="Times New Roman" w:hAnsi="Times New Roman" w:cs="Times New Roman"/>
          <w:sz w:val="24"/>
          <w:szCs w:val="24"/>
        </w:rPr>
        <w:t>ins</w:t>
      </w:r>
      <w:r w:rsidRPr="0037405F">
        <w:rPr>
          <w:rFonts w:ascii="Times New Roman" w:hAnsi="Times New Roman" w:cs="Times New Roman"/>
          <w:sz w:val="24"/>
          <w:szCs w:val="24"/>
        </w:rPr>
        <w:t xml:space="preserve"> for internal standard ketoconazole</w:t>
      </w:r>
      <w:r w:rsidR="00B84109" w:rsidRPr="0037405F">
        <w:rPr>
          <w:rFonts w:ascii="Times New Roman" w:hAnsi="Times New Roman" w:cs="Times New Roman"/>
          <w:sz w:val="24"/>
          <w:szCs w:val="24"/>
        </w:rPr>
        <w:t>, respectively</w:t>
      </w:r>
      <w:r w:rsidRPr="0037405F">
        <w:rPr>
          <w:rFonts w:ascii="Times New Roman" w:hAnsi="Times New Roman" w:cs="Times New Roman"/>
          <w:sz w:val="24"/>
          <w:szCs w:val="24"/>
        </w:rPr>
        <w:t>. Detection w</w:t>
      </w:r>
      <w:r w:rsidR="00A75F1A" w:rsidRPr="0037405F">
        <w:rPr>
          <w:rFonts w:ascii="Times New Roman" w:hAnsi="Times New Roman" w:cs="Times New Roman"/>
          <w:sz w:val="24"/>
          <w:szCs w:val="24"/>
        </w:rPr>
        <w:t>as</w:t>
      </w:r>
      <w:r w:rsidRPr="0037405F">
        <w:rPr>
          <w:rFonts w:ascii="Times New Roman" w:hAnsi="Times New Roman" w:cs="Times New Roman"/>
          <w:sz w:val="24"/>
          <w:szCs w:val="24"/>
        </w:rPr>
        <w:t xml:space="preserve"> performed on a mass spectrometer (ZQ, Quattro Micro, Waters</w:t>
      </w:r>
      <w:r w:rsidR="00A75F1A" w:rsidRPr="0037405F">
        <w:rPr>
          <w:rFonts w:ascii="Times New Roman" w:hAnsi="Times New Roman" w:cs="Times New Roman"/>
          <w:sz w:val="24"/>
          <w:szCs w:val="24"/>
        </w:rPr>
        <w:t xml:space="preserve">, </w:t>
      </w:r>
      <w:hyperlink r:id="rId10" w:tooltip="Massachusetts" w:history="1">
        <w:r w:rsidR="00B6381B" w:rsidRPr="0037405F">
          <w:rPr>
            <w:rFonts w:ascii="Times New Roman" w:eastAsia="Times New Roman" w:hAnsi="Times New Roman" w:cs="Times New Roman"/>
            <w:sz w:val="24"/>
            <w:szCs w:val="24"/>
          </w:rPr>
          <w:t>Massachusetts</w:t>
        </w:r>
      </w:hyperlink>
      <w:r w:rsidR="00B6381B" w:rsidRPr="0037405F">
        <w:rPr>
          <w:rFonts w:ascii="Times New Roman" w:eastAsia="Times New Roman" w:hAnsi="Times New Roman" w:cs="Times New Roman"/>
          <w:sz w:val="24"/>
          <w:szCs w:val="24"/>
        </w:rPr>
        <w:t>, USA</w:t>
      </w:r>
      <w:r w:rsidRPr="0037405F">
        <w:rPr>
          <w:rFonts w:ascii="Times New Roman" w:hAnsi="Times New Roman" w:cs="Times New Roman"/>
          <w:sz w:val="24"/>
          <w:szCs w:val="24"/>
        </w:rPr>
        <w:t>) equipped with a electrospray positive ionization. Detector setti</w:t>
      </w:r>
      <w:r w:rsidR="00A75F1A" w:rsidRPr="0037405F">
        <w:rPr>
          <w:rFonts w:ascii="Times New Roman" w:hAnsi="Times New Roman" w:cs="Times New Roman"/>
          <w:sz w:val="24"/>
          <w:szCs w:val="24"/>
        </w:rPr>
        <w:t>ngs has</w:t>
      </w:r>
      <w:r w:rsidRPr="0037405F">
        <w:rPr>
          <w:rFonts w:ascii="Times New Roman" w:hAnsi="Times New Roman" w:cs="Times New Roman"/>
          <w:sz w:val="24"/>
          <w:szCs w:val="24"/>
        </w:rPr>
        <w:t xml:space="preserve"> </w:t>
      </w:r>
      <w:r w:rsidR="00A75F1A" w:rsidRPr="0037405F">
        <w:rPr>
          <w:rFonts w:ascii="Times New Roman" w:hAnsi="Times New Roman" w:cs="Times New Roman"/>
          <w:sz w:val="24"/>
          <w:szCs w:val="24"/>
        </w:rPr>
        <w:t xml:space="preserve">been </w:t>
      </w:r>
      <w:r w:rsidRPr="0037405F">
        <w:rPr>
          <w:rFonts w:ascii="Times New Roman" w:hAnsi="Times New Roman" w:cs="Times New Roman"/>
          <w:sz w:val="24"/>
          <w:szCs w:val="24"/>
        </w:rPr>
        <w:t>as follows: electrospray ionization (ESI), positive-polarity ionization; capillary voltage, 3.5 kV; source temperature, 110</w:t>
      </w:r>
      <w:r w:rsidRPr="0037405F">
        <w:rPr>
          <w:rFonts w:ascii="Times New Roman" w:hAnsi="Times New Roman" w:cs="Times New Roman"/>
          <w:sz w:val="24"/>
          <w:szCs w:val="24"/>
          <w:vertAlign w:val="superscript"/>
        </w:rPr>
        <w:t>0</w:t>
      </w:r>
      <w:r w:rsidRPr="0037405F">
        <w:rPr>
          <w:rFonts w:ascii="Times New Roman" w:hAnsi="Times New Roman" w:cs="Times New Roman"/>
          <w:sz w:val="24"/>
          <w:szCs w:val="24"/>
        </w:rPr>
        <w:t>C; desolvation temperature, 350</w:t>
      </w:r>
      <w:r w:rsidRPr="0037405F">
        <w:rPr>
          <w:rFonts w:ascii="Times New Roman" w:hAnsi="Times New Roman" w:cs="Times New Roman"/>
          <w:sz w:val="24"/>
          <w:szCs w:val="24"/>
          <w:vertAlign w:val="superscript"/>
        </w:rPr>
        <w:t>0</w:t>
      </w:r>
      <w:r w:rsidRPr="0037405F">
        <w:rPr>
          <w:rFonts w:ascii="Times New Roman" w:hAnsi="Times New Roman" w:cs="Times New Roman"/>
          <w:sz w:val="24"/>
          <w:szCs w:val="24"/>
        </w:rPr>
        <w:t>C; nit</w:t>
      </w:r>
      <w:r w:rsidR="00A75F1A" w:rsidRPr="0037405F">
        <w:rPr>
          <w:rFonts w:ascii="Times New Roman" w:hAnsi="Times New Roman" w:cs="Times New Roman"/>
          <w:sz w:val="24"/>
          <w:szCs w:val="24"/>
        </w:rPr>
        <w:t>rogen desolvation flow, 400.0 L</w:t>
      </w:r>
      <w:r w:rsidRPr="0037405F">
        <w:rPr>
          <w:rFonts w:ascii="Times New Roman" w:hAnsi="Times New Roman" w:cs="Times New Roman"/>
          <w:sz w:val="24"/>
          <w:szCs w:val="24"/>
        </w:rPr>
        <w:t xml:space="preserve">/h; nitrogen cone flow, 50.0 </w:t>
      </w:r>
      <w:r w:rsidR="00A75F1A" w:rsidRPr="0037405F">
        <w:rPr>
          <w:rFonts w:ascii="Times New Roman" w:hAnsi="Times New Roman" w:cs="Times New Roman"/>
          <w:sz w:val="24"/>
          <w:szCs w:val="24"/>
        </w:rPr>
        <w:t>L</w:t>
      </w:r>
      <w:r w:rsidRPr="0037405F">
        <w:rPr>
          <w:rFonts w:ascii="Times New Roman" w:hAnsi="Times New Roman" w:cs="Times New Roman"/>
          <w:sz w:val="24"/>
          <w:szCs w:val="24"/>
        </w:rPr>
        <w:t xml:space="preserve">/h. </w:t>
      </w:r>
      <w:r w:rsidR="00A75F1A" w:rsidRPr="0037405F">
        <w:rPr>
          <w:rFonts w:ascii="Times New Roman" w:hAnsi="Times New Roman" w:cs="Times New Roman"/>
          <w:sz w:val="24"/>
          <w:szCs w:val="24"/>
        </w:rPr>
        <w:t>The multiple-reaction monitoring frag</w:t>
      </w:r>
      <w:r w:rsidR="00A75F1A" w:rsidRPr="0037405F">
        <w:rPr>
          <w:rFonts w:ascii="Times New Roman" w:hAnsi="Times New Roman" w:cs="Times New Roman"/>
          <w:sz w:val="24"/>
          <w:szCs w:val="24"/>
        </w:rPr>
        <w:softHyphen/>
        <w:t xml:space="preserve">mentation transitions were set at </w:t>
      </w:r>
      <w:r w:rsidR="00A75F1A" w:rsidRPr="0037405F">
        <w:rPr>
          <w:rFonts w:ascii="Times New Roman" w:hAnsi="Times New Roman" w:cs="Times New Roman"/>
          <w:i/>
          <w:iCs/>
          <w:sz w:val="24"/>
          <w:szCs w:val="24"/>
        </w:rPr>
        <w:t xml:space="preserve">m/z </w:t>
      </w:r>
      <w:r w:rsidR="00A75F1A" w:rsidRPr="0037405F">
        <w:rPr>
          <w:rFonts w:ascii="Times New Roman" w:hAnsi="Times New Roman" w:cs="Times New Roman"/>
          <w:iCs/>
          <w:sz w:val="24"/>
          <w:szCs w:val="24"/>
        </w:rPr>
        <w:t>705.0</w:t>
      </w:r>
      <w:r w:rsidR="00A75F1A" w:rsidRPr="0037405F">
        <w:rPr>
          <w:rFonts w:ascii="Times New Roman" w:hAnsi="Times New Roman" w:cs="Times New Roman"/>
          <w:sz w:val="24"/>
          <w:szCs w:val="24"/>
        </w:rPr>
        <w:t xml:space="preserve"> for the itraconazole, m/z 721.0 for hydroxy itraconazole</w:t>
      </w:r>
      <w:r w:rsidR="00B206B7" w:rsidRPr="0037405F">
        <w:rPr>
          <w:rFonts w:ascii="Times New Roman" w:hAnsi="Times New Roman" w:cs="Times New Roman"/>
          <w:sz w:val="24"/>
          <w:szCs w:val="24"/>
        </w:rPr>
        <w:t>,</w:t>
      </w:r>
      <w:r w:rsidR="00A75F1A" w:rsidRPr="0037405F">
        <w:rPr>
          <w:rFonts w:ascii="Times New Roman" w:hAnsi="Times New Roman" w:cs="Times New Roman"/>
          <w:sz w:val="24"/>
          <w:szCs w:val="24"/>
        </w:rPr>
        <w:t xml:space="preserve"> and </w:t>
      </w:r>
      <w:r w:rsidR="00A75F1A" w:rsidRPr="0037405F">
        <w:rPr>
          <w:rFonts w:ascii="Times New Roman" w:hAnsi="Times New Roman" w:cs="Times New Roman"/>
          <w:i/>
          <w:iCs/>
          <w:sz w:val="24"/>
          <w:szCs w:val="24"/>
        </w:rPr>
        <w:t xml:space="preserve">m/z </w:t>
      </w:r>
      <w:r w:rsidR="00A75F1A" w:rsidRPr="0037405F">
        <w:rPr>
          <w:rFonts w:ascii="Times New Roman" w:hAnsi="Times New Roman" w:cs="Times New Roman"/>
          <w:sz w:val="24"/>
          <w:szCs w:val="24"/>
        </w:rPr>
        <w:t>237</w:t>
      </w:r>
      <w:r w:rsidR="00B84109" w:rsidRPr="0037405F">
        <w:rPr>
          <w:rFonts w:ascii="Times New Roman" w:hAnsi="Times New Roman" w:cs="Times New Roman"/>
          <w:sz w:val="24"/>
          <w:szCs w:val="24"/>
        </w:rPr>
        <w:t>.0</w:t>
      </w:r>
      <w:r w:rsidR="00A75F1A" w:rsidRPr="0037405F">
        <w:rPr>
          <w:rFonts w:ascii="Times New Roman" w:hAnsi="Times New Roman" w:cs="Times New Roman"/>
          <w:sz w:val="24"/>
          <w:szCs w:val="24"/>
        </w:rPr>
        <w:t xml:space="preserve"> for internal standard ketoconazole</w:t>
      </w:r>
      <w:r w:rsidR="00B206B7" w:rsidRPr="0037405F">
        <w:rPr>
          <w:rFonts w:ascii="Times New Roman" w:hAnsi="Times New Roman" w:cs="Times New Roman"/>
          <w:sz w:val="24"/>
          <w:szCs w:val="24"/>
        </w:rPr>
        <w:t>, respectively</w:t>
      </w:r>
      <w:r w:rsidRPr="0037405F">
        <w:rPr>
          <w:rFonts w:ascii="Times New Roman" w:hAnsi="Times New Roman" w:cs="Times New Roman"/>
          <w:sz w:val="24"/>
          <w:szCs w:val="24"/>
        </w:rPr>
        <w:t xml:space="preserve">. </w:t>
      </w:r>
    </w:p>
    <w:p w:rsidR="00FC0390" w:rsidRDefault="00B61CEB" w:rsidP="00B8212E">
      <w:pPr>
        <w:pStyle w:val="Pa13"/>
        <w:spacing w:line="480" w:lineRule="auto"/>
        <w:jc w:val="both"/>
        <w:rPr>
          <w:rFonts w:ascii="Times New Roman" w:hAnsi="Times New Roman" w:cs="Times New Roman"/>
          <w:b/>
          <w:color w:val="000000"/>
        </w:rPr>
      </w:pPr>
      <w:r w:rsidRPr="0037405F">
        <w:rPr>
          <w:rFonts w:ascii="Times New Roman" w:hAnsi="Times New Roman" w:cs="Times New Roman"/>
          <w:b/>
          <w:color w:val="000000"/>
        </w:rPr>
        <w:t>Sample preparation</w:t>
      </w:r>
    </w:p>
    <w:p w:rsidR="007A4DCA" w:rsidRPr="00FC0390" w:rsidRDefault="00B84109" w:rsidP="00B8212E">
      <w:pPr>
        <w:pStyle w:val="Pa13"/>
        <w:spacing w:line="480" w:lineRule="auto"/>
        <w:jc w:val="both"/>
        <w:rPr>
          <w:rFonts w:ascii="Times New Roman" w:hAnsi="Times New Roman" w:cs="Times New Roman"/>
          <w:b/>
          <w:color w:val="000000"/>
        </w:rPr>
      </w:pPr>
      <w:r w:rsidRPr="0037405F">
        <w:rPr>
          <w:rFonts w:ascii="Times New Roman" w:hAnsi="Times New Roman" w:cs="Times New Roman"/>
        </w:rPr>
        <w:t>The plasma samples were collected in the following pharmacokinetic times measured in hrs: 30 min</w:t>
      </w:r>
      <w:r w:rsidR="00794D97" w:rsidRPr="0037405F">
        <w:rPr>
          <w:rFonts w:ascii="Times New Roman" w:hAnsi="Times New Roman" w:cs="Times New Roman"/>
        </w:rPr>
        <w:t>s</w:t>
      </w:r>
      <w:r w:rsidRPr="0037405F">
        <w:rPr>
          <w:rFonts w:ascii="Times New Roman" w:hAnsi="Times New Roman" w:cs="Times New Roman"/>
        </w:rPr>
        <w:t xml:space="preserve"> before and 1, 2, 3, 3.5, 4, 4.5, 5, 5.5, 6, 7, 9, 12, 24, 36 and 72 h</w:t>
      </w:r>
      <w:r w:rsidR="004910A0" w:rsidRPr="0037405F">
        <w:rPr>
          <w:rFonts w:ascii="Times New Roman" w:hAnsi="Times New Roman" w:cs="Times New Roman"/>
        </w:rPr>
        <w:t>rs</w:t>
      </w:r>
      <w:r w:rsidRPr="0037405F">
        <w:rPr>
          <w:rFonts w:ascii="Times New Roman" w:hAnsi="Times New Roman" w:cs="Times New Roman"/>
        </w:rPr>
        <w:t xml:space="preserve"> after applying of drug</w:t>
      </w:r>
      <w:r w:rsidR="00794D97" w:rsidRPr="0037405F">
        <w:rPr>
          <w:rFonts w:ascii="Times New Roman" w:hAnsi="Times New Roman" w:cs="Times New Roman"/>
        </w:rPr>
        <w:t>, and stored</w:t>
      </w:r>
      <w:r w:rsidR="00320FE0" w:rsidRPr="0037405F">
        <w:rPr>
          <w:rFonts w:ascii="Times New Roman" w:hAnsi="Times New Roman" w:cs="Times New Roman"/>
        </w:rPr>
        <w:t xml:space="preserve"> in refrigerator</w:t>
      </w:r>
      <w:r w:rsidR="00794D97" w:rsidRPr="0037405F">
        <w:rPr>
          <w:rFonts w:ascii="Times New Roman" w:hAnsi="Times New Roman" w:cs="Times New Roman"/>
        </w:rPr>
        <w:t xml:space="preserve"> at -70</w:t>
      </w:r>
      <w:r w:rsidR="00794D97" w:rsidRPr="0037405F">
        <w:rPr>
          <w:rFonts w:ascii="Times New Roman" w:hAnsi="Times New Roman" w:cs="Times New Roman"/>
          <w:vertAlign w:val="superscript"/>
        </w:rPr>
        <w:t>0</w:t>
      </w:r>
      <w:r w:rsidR="00794D97" w:rsidRPr="0037405F">
        <w:rPr>
          <w:rFonts w:ascii="Times New Roman" w:hAnsi="Times New Roman" w:cs="Times New Roman"/>
        </w:rPr>
        <w:t xml:space="preserve">C. </w:t>
      </w:r>
      <w:r w:rsidR="00794D97" w:rsidRPr="0037405F">
        <w:rPr>
          <w:rFonts w:ascii="Times New Roman" w:hAnsi="Times New Roman" w:cs="Times New Roman"/>
          <w:color w:val="000000"/>
        </w:rPr>
        <w:t xml:space="preserve">Frozen plasma samples from subjects were thawed to </w:t>
      </w:r>
      <w:r w:rsidR="00794D97" w:rsidRPr="0037405F">
        <w:rPr>
          <w:rFonts w:ascii="Times New Roman" w:hAnsi="Times New Roman" w:cs="Times New Roman"/>
          <w:color w:val="000000"/>
        </w:rPr>
        <w:lastRenderedPageBreak/>
        <w:t>room temperature before processing. After defrosting samples at room temperature, in 1.0 mL of plasma was added 200.0 μL of 5.0 mM ammonium-acetate and 100.0 μL of internal standard solution. Itraconazole and hydroxy itraconazole were extracted with 3.0 mL of diethyl ether for 20 mins. Plasma samples were centrifuged on 3000 rpm for 5 mins, and organic layer was separated and evaporated in the stream of air. Dried extract was reconstituted in 1.0 mL of mobile phase</w:t>
      </w:r>
      <w:r w:rsidR="007A4DCA" w:rsidRPr="0037405F">
        <w:rPr>
          <w:rFonts w:ascii="Times New Roman" w:hAnsi="Times New Roman" w:cs="Times New Roman"/>
          <w:color w:val="000000"/>
        </w:rPr>
        <w:t xml:space="preserve">, and </w:t>
      </w:r>
      <w:r w:rsidR="00794D97" w:rsidRPr="0037405F">
        <w:rPr>
          <w:rFonts w:ascii="Times New Roman" w:hAnsi="Times New Roman" w:cs="Times New Roman"/>
          <w:color w:val="000000"/>
        </w:rPr>
        <w:t>50.0 μL w</w:t>
      </w:r>
      <w:r w:rsidR="007A4DCA" w:rsidRPr="0037405F">
        <w:rPr>
          <w:rFonts w:ascii="Times New Roman" w:hAnsi="Times New Roman" w:cs="Times New Roman"/>
          <w:color w:val="000000"/>
        </w:rPr>
        <w:t>as</w:t>
      </w:r>
      <w:r w:rsidR="00794D97" w:rsidRPr="0037405F">
        <w:rPr>
          <w:rFonts w:ascii="Times New Roman" w:hAnsi="Times New Roman" w:cs="Times New Roman"/>
          <w:color w:val="000000"/>
        </w:rPr>
        <w:t xml:space="preserve"> injected into the LC-MS system</w:t>
      </w:r>
      <w:r w:rsidR="007A4DCA" w:rsidRPr="0037405F">
        <w:rPr>
          <w:rFonts w:ascii="Times New Roman" w:hAnsi="Times New Roman" w:cs="Times New Roman"/>
          <w:color w:val="000000"/>
        </w:rPr>
        <w:t xml:space="preserve"> for analysis</w:t>
      </w:r>
      <w:r w:rsidR="00794D97" w:rsidRPr="0037405F">
        <w:rPr>
          <w:rFonts w:ascii="Times New Roman" w:hAnsi="Times New Roman" w:cs="Times New Roman"/>
          <w:color w:val="000000"/>
        </w:rPr>
        <w:t xml:space="preserve">, at room temperature. </w:t>
      </w:r>
    </w:p>
    <w:p w:rsidR="00B61CEB" w:rsidRPr="0037405F" w:rsidRDefault="00B61CEB" w:rsidP="00B8212E">
      <w:pPr>
        <w:autoSpaceDE w:val="0"/>
        <w:autoSpaceDN w:val="0"/>
        <w:adjustRightInd w:val="0"/>
        <w:spacing w:after="0" w:line="480" w:lineRule="auto"/>
        <w:jc w:val="both"/>
        <w:rPr>
          <w:rFonts w:ascii="Times New Roman" w:hAnsi="Times New Roman" w:cs="Times New Roman"/>
          <w:b/>
          <w:sz w:val="24"/>
          <w:szCs w:val="24"/>
        </w:rPr>
      </w:pPr>
      <w:r w:rsidRPr="0037405F">
        <w:rPr>
          <w:rFonts w:ascii="Times New Roman" w:hAnsi="Times New Roman" w:cs="Times New Roman"/>
          <w:b/>
          <w:sz w:val="24"/>
          <w:szCs w:val="24"/>
        </w:rPr>
        <w:t>Method validation</w:t>
      </w:r>
    </w:p>
    <w:p w:rsidR="00FF7DB0" w:rsidRPr="00FC0390" w:rsidRDefault="00B84109" w:rsidP="00B8212E">
      <w:pPr>
        <w:autoSpaceDE w:val="0"/>
        <w:autoSpaceDN w:val="0"/>
        <w:adjustRightInd w:val="0"/>
        <w:spacing w:after="0" w:line="480" w:lineRule="auto"/>
        <w:jc w:val="both"/>
        <w:rPr>
          <w:rFonts w:ascii="Times New Roman" w:hAnsi="Times New Roman" w:cs="Times New Roman"/>
          <w:sz w:val="24"/>
          <w:szCs w:val="24"/>
        </w:rPr>
      </w:pPr>
      <w:r w:rsidRPr="0037405F">
        <w:rPr>
          <w:rFonts w:ascii="Times New Roman" w:hAnsi="Times New Roman" w:cs="Times New Roman"/>
          <w:sz w:val="24"/>
          <w:szCs w:val="24"/>
        </w:rPr>
        <w:t>LC-</w:t>
      </w:r>
      <w:r w:rsidR="00B61CEB" w:rsidRPr="0037405F">
        <w:rPr>
          <w:rFonts w:ascii="Times New Roman" w:hAnsi="Times New Roman" w:cs="Times New Roman"/>
          <w:sz w:val="24"/>
          <w:szCs w:val="24"/>
        </w:rPr>
        <w:t xml:space="preserve">MS method for the determination of </w:t>
      </w:r>
      <w:r w:rsidR="00B6381B" w:rsidRPr="0037405F">
        <w:rPr>
          <w:rFonts w:ascii="Times New Roman" w:hAnsi="Times New Roman" w:cs="Times New Roman"/>
          <w:sz w:val="24"/>
          <w:szCs w:val="24"/>
        </w:rPr>
        <w:t xml:space="preserve">itraconazole and hydroxy itraconazole </w:t>
      </w:r>
      <w:r w:rsidR="00B61CEB" w:rsidRPr="0037405F">
        <w:rPr>
          <w:rFonts w:ascii="Times New Roman" w:hAnsi="Times New Roman" w:cs="Times New Roman"/>
          <w:sz w:val="24"/>
          <w:szCs w:val="24"/>
        </w:rPr>
        <w:t>in human plasma was developed and validated according to the requirements of the E</w:t>
      </w:r>
      <w:r w:rsidR="00B6381B" w:rsidRPr="0037405F">
        <w:rPr>
          <w:rFonts w:ascii="Times New Roman" w:hAnsi="Times New Roman" w:cs="Times New Roman"/>
          <w:sz w:val="24"/>
          <w:szCs w:val="24"/>
        </w:rPr>
        <w:t>uropean Medicines Agency (EMA) Guidance on Bioan</w:t>
      </w:r>
      <w:r w:rsidR="000A5B20">
        <w:rPr>
          <w:rFonts w:ascii="Times New Roman" w:hAnsi="Times New Roman" w:cs="Times New Roman"/>
          <w:sz w:val="24"/>
          <w:szCs w:val="24"/>
        </w:rPr>
        <w:t xml:space="preserve">alytical Method Validation </w:t>
      </w:r>
      <w:r w:rsidR="00FC0390">
        <w:rPr>
          <w:rFonts w:ascii="Times New Roman" w:hAnsi="Times New Roman" w:cs="Times New Roman"/>
          <w:sz w:val="24"/>
          <w:szCs w:val="24"/>
        </w:rPr>
        <w:t>(</w:t>
      </w:r>
      <w:r w:rsidR="00FC0390" w:rsidRPr="00FC0390">
        <w:rPr>
          <w:rFonts w:ascii="Times New Roman" w:hAnsi="Times New Roman" w:cs="Times New Roman"/>
          <w:sz w:val="24"/>
          <w:szCs w:val="24"/>
        </w:rPr>
        <w:t>European Medicines Agency</w:t>
      </w:r>
      <w:r w:rsidR="00FC0390">
        <w:rPr>
          <w:rFonts w:ascii="Times New Roman" w:hAnsi="Times New Roman" w:cs="Times New Roman"/>
          <w:sz w:val="24"/>
          <w:szCs w:val="24"/>
        </w:rPr>
        <w:t>, 2011)</w:t>
      </w:r>
      <w:r w:rsidR="00B61458" w:rsidRPr="0037405F">
        <w:rPr>
          <w:rFonts w:ascii="Times New Roman" w:hAnsi="Times New Roman" w:cs="Times New Roman"/>
          <w:sz w:val="24"/>
          <w:szCs w:val="24"/>
        </w:rPr>
        <w:t xml:space="preserve">. </w:t>
      </w:r>
      <w:r w:rsidR="007868B2" w:rsidRPr="0037405F">
        <w:rPr>
          <w:rFonts w:ascii="Times New Roman" w:hAnsi="Times New Roman" w:cs="Times New Roman"/>
          <w:sz w:val="24"/>
          <w:szCs w:val="24"/>
        </w:rPr>
        <w:t>The validation of the LC-MS bioanalytic</w:t>
      </w:r>
      <w:r w:rsidR="005D258A" w:rsidRPr="0037405F">
        <w:rPr>
          <w:rFonts w:ascii="Times New Roman" w:hAnsi="Times New Roman" w:cs="Times New Roman"/>
          <w:sz w:val="24"/>
          <w:szCs w:val="24"/>
        </w:rPr>
        <w:t>al method for determination of i</w:t>
      </w:r>
      <w:r w:rsidR="007868B2" w:rsidRPr="0037405F">
        <w:rPr>
          <w:rFonts w:ascii="Times New Roman" w:hAnsi="Times New Roman" w:cs="Times New Roman"/>
          <w:sz w:val="24"/>
          <w:szCs w:val="24"/>
        </w:rPr>
        <w:t xml:space="preserve">traconazole </w:t>
      </w:r>
      <w:r w:rsidR="00DF02D9">
        <w:rPr>
          <w:rFonts w:ascii="Times New Roman" w:hAnsi="Times New Roman" w:cs="Times New Roman"/>
          <w:sz w:val="24"/>
          <w:szCs w:val="24"/>
        </w:rPr>
        <w:t xml:space="preserve">(ITC) </w:t>
      </w:r>
      <w:r w:rsidR="007868B2" w:rsidRPr="0037405F">
        <w:rPr>
          <w:rFonts w:ascii="Times New Roman" w:hAnsi="Times New Roman" w:cs="Times New Roman"/>
          <w:sz w:val="24"/>
          <w:szCs w:val="24"/>
        </w:rPr>
        <w:t>and hydroxy itraconazole</w:t>
      </w:r>
      <w:r w:rsidR="00DF02D9">
        <w:rPr>
          <w:rFonts w:ascii="Times New Roman" w:hAnsi="Times New Roman" w:cs="Times New Roman"/>
          <w:sz w:val="24"/>
          <w:szCs w:val="24"/>
        </w:rPr>
        <w:t xml:space="preserve"> (HITC)</w:t>
      </w:r>
      <w:r w:rsidR="007868B2" w:rsidRPr="0037405F">
        <w:rPr>
          <w:rFonts w:ascii="Times New Roman" w:hAnsi="Times New Roman" w:cs="Times New Roman"/>
          <w:sz w:val="24"/>
          <w:szCs w:val="24"/>
        </w:rPr>
        <w:t xml:space="preserve"> in human plasma included the following items as</w:t>
      </w:r>
      <w:r w:rsidR="007868B2" w:rsidRPr="0037405F">
        <w:rPr>
          <w:rFonts w:ascii="Times New Roman" w:hAnsi="Times New Roman" w:cs="Times New Roman"/>
          <w:i/>
          <w:sz w:val="24"/>
          <w:szCs w:val="24"/>
        </w:rPr>
        <w:t xml:space="preserve"> </w:t>
      </w:r>
      <w:r w:rsidR="007868B2" w:rsidRPr="0037405F">
        <w:rPr>
          <w:rFonts w:ascii="Times New Roman" w:hAnsi="Times New Roman" w:cs="Times New Roman"/>
          <w:sz w:val="24"/>
          <w:szCs w:val="24"/>
        </w:rPr>
        <w:t>shown in Table 1.</w:t>
      </w:r>
    </w:p>
    <w:p w:rsidR="00B61CEB" w:rsidRPr="0037405F" w:rsidRDefault="00B61CEB" w:rsidP="00B8212E">
      <w:pPr>
        <w:autoSpaceDE w:val="0"/>
        <w:autoSpaceDN w:val="0"/>
        <w:adjustRightInd w:val="0"/>
        <w:spacing w:after="0" w:line="480" w:lineRule="auto"/>
        <w:jc w:val="both"/>
        <w:rPr>
          <w:rFonts w:ascii="Times New Roman" w:hAnsi="Times New Roman" w:cs="Times New Roman"/>
          <w:b/>
          <w:sz w:val="24"/>
          <w:szCs w:val="24"/>
        </w:rPr>
      </w:pPr>
      <w:r w:rsidRPr="0037405F">
        <w:rPr>
          <w:rFonts w:ascii="Times New Roman" w:hAnsi="Times New Roman" w:cs="Times New Roman"/>
          <w:b/>
          <w:sz w:val="24"/>
          <w:szCs w:val="24"/>
        </w:rPr>
        <w:t>Linearity of calibration curves and low limit of quantification (LLOQ)</w:t>
      </w:r>
    </w:p>
    <w:p w:rsidR="00027EE5" w:rsidRPr="00FC0390" w:rsidRDefault="00FF1E2E" w:rsidP="00B8212E">
      <w:pPr>
        <w:pStyle w:val="Pa19"/>
        <w:spacing w:line="480" w:lineRule="auto"/>
        <w:jc w:val="both"/>
        <w:rPr>
          <w:rFonts w:ascii="Times New Roman" w:hAnsi="Times New Roman" w:cs="Times New Roman"/>
          <w:i/>
        </w:rPr>
      </w:pPr>
      <w:r w:rsidRPr="0037405F">
        <w:rPr>
          <w:rFonts w:ascii="Times New Roman" w:hAnsi="Times New Roman" w:cs="Times New Roman"/>
        </w:rPr>
        <w:t>Quantification was based on peak areas. Calibration curves were constructed using linear regression analysis</w:t>
      </w:r>
      <w:r w:rsidR="007868B2" w:rsidRPr="0037405F">
        <w:rPr>
          <w:rFonts w:ascii="Times New Roman" w:hAnsi="Times New Roman" w:cs="Times New Roman"/>
        </w:rPr>
        <w:t xml:space="preserve">. </w:t>
      </w:r>
      <w:r w:rsidR="00B61CEB" w:rsidRPr="0037405F">
        <w:rPr>
          <w:rFonts w:ascii="Times New Roman" w:hAnsi="Times New Roman" w:cs="Times New Roman"/>
        </w:rPr>
        <w:t xml:space="preserve">The calibration curve was linear over the range of </w:t>
      </w:r>
      <w:r w:rsidR="0005220B" w:rsidRPr="0037405F">
        <w:rPr>
          <w:rFonts w:ascii="Times New Roman" w:hAnsi="Times New Roman" w:cs="Times New Roman"/>
        </w:rPr>
        <w:t>I</w:t>
      </w:r>
      <w:r w:rsidR="007868B2" w:rsidRPr="0037405F">
        <w:rPr>
          <w:rFonts w:ascii="Times New Roman" w:hAnsi="Times New Roman" w:cs="Times New Roman"/>
        </w:rPr>
        <w:t xml:space="preserve">traconazole and hydroxy itraconazole </w:t>
      </w:r>
      <w:r w:rsidR="00B61CEB" w:rsidRPr="0037405F">
        <w:rPr>
          <w:rFonts w:ascii="Times New Roman" w:hAnsi="Times New Roman" w:cs="Times New Roman"/>
        </w:rPr>
        <w:t>of 2</w:t>
      </w:r>
      <w:r w:rsidR="007868B2" w:rsidRPr="0037405F">
        <w:rPr>
          <w:rFonts w:ascii="Times New Roman" w:hAnsi="Times New Roman" w:cs="Times New Roman"/>
        </w:rPr>
        <w:t>.</w:t>
      </w:r>
      <w:r w:rsidR="00B61CEB" w:rsidRPr="0037405F">
        <w:rPr>
          <w:rFonts w:ascii="Times New Roman" w:hAnsi="Times New Roman" w:cs="Times New Roman"/>
        </w:rPr>
        <w:t>00</w:t>
      </w:r>
      <w:r w:rsidR="007868B2" w:rsidRPr="0037405F">
        <w:rPr>
          <w:rFonts w:ascii="Times New Roman" w:hAnsi="Times New Roman" w:cs="Times New Roman"/>
        </w:rPr>
        <w:t xml:space="preserve"> - 100</w:t>
      </w:r>
      <w:r w:rsidR="00B61CEB" w:rsidRPr="0037405F">
        <w:rPr>
          <w:rFonts w:ascii="Times New Roman" w:hAnsi="Times New Roman" w:cs="Times New Roman"/>
        </w:rPr>
        <w:t>.00 ng/mL with a coefficient of correlation (</w:t>
      </w:r>
      <w:r w:rsidR="00B61CEB" w:rsidRPr="0037405F">
        <w:rPr>
          <w:rFonts w:ascii="Times New Roman" w:hAnsi="Times New Roman" w:cs="Times New Roman"/>
          <w:i/>
          <w:iCs/>
        </w:rPr>
        <w:t>r</w:t>
      </w:r>
      <w:r w:rsidR="00B61CEB" w:rsidRPr="0037405F">
        <w:rPr>
          <w:rFonts w:ascii="Times New Roman" w:hAnsi="Times New Roman" w:cs="Times New Roman"/>
          <w:vertAlign w:val="superscript"/>
        </w:rPr>
        <w:t>2</w:t>
      </w:r>
      <w:r w:rsidR="0005220B" w:rsidRPr="0037405F">
        <w:rPr>
          <w:rFonts w:ascii="Times New Roman" w:hAnsi="Times New Roman" w:cs="Times New Roman"/>
        </w:rPr>
        <w:t xml:space="preserve">) ≥ </w:t>
      </w:r>
      <w:r w:rsidR="00B61CEB" w:rsidRPr="0037405F">
        <w:rPr>
          <w:rFonts w:ascii="Times New Roman" w:hAnsi="Times New Roman" w:cs="Times New Roman"/>
        </w:rPr>
        <w:t xml:space="preserve">0.99. The typical equation of the calibration curve was </w:t>
      </w:r>
      <w:r w:rsidR="00B61CEB" w:rsidRPr="0037405F">
        <w:rPr>
          <w:rFonts w:ascii="Times New Roman" w:hAnsi="Times New Roman" w:cs="Times New Roman"/>
          <w:i/>
          <w:iCs/>
        </w:rPr>
        <w:t xml:space="preserve">y </w:t>
      </w:r>
      <w:r w:rsidR="00B61CEB" w:rsidRPr="0037405F">
        <w:rPr>
          <w:rFonts w:ascii="Times New Roman" w:hAnsi="Times New Roman" w:cs="Times New Roman"/>
        </w:rPr>
        <w:t>=</w:t>
      </w:r>
      <w:r w:rsidR="0005220B" w:rsidRPr="0037405F">
        <w:rPr>
          <w:rFonts w:ascii="Times New Roman" w:hAnsi="Times New Roman" w:cs="Times New Roman"/>
        </w:rPr>
        <w:t xml:space="preserve"> </w:t>
      </w:r>
      <w:r w:rsidR="00B61CEB" w:rsidRPr="0037405F">
        <w:rPr>
          <w:rFonts w:ascii="Times New Roman" w:hAnsi="Times New Roman" w:cs="Times New Roman"/>
        </w:rPr>
        <w:t>0.</w:t>
      </w:r>
      <w:r w:rsidR="005D258A" w:rsidRPr="0037405F">
        <w:rPr>
          <w:rFonts w:ascii="Times New Roman" w:hAnsi="Times New Roman" w:cs="Times New Roman"/>
        </w:rPr>
        <w:t>0047</w:t>
      </w:r>
      <w:r w:rsidR="00B61CEB" w:rsidRPr="0037405F">
        <w:rPr>
          <w:rFonts w:ascii="Times New Roman" w:hAnsi="Times New Roman" w:cs="Times New Roman"/>
          <w:i/>
          <w:iCs/>
        </w:rPr>
        <w:t xml:space="preserve">x </w:t>
      </w:r>
      <w:r w:rsidR="005D258A" w:rsidRPr="0037405F">
        <w:rPr>
          <w:rFonts w:ascii="Times New Roman" w:hAnsi="Times New Roman" w:cs="Times New Roman"/>
          <w:i/>
          <w:iCs/>
        </w:rPr>
        <w:t>-</w:t>
      </w:r>
      <w:r w:rsidR="005D258A" w:rsidRPr="0037405F">
        <w:rPr>
          <w:rFonts w:ascii="Times New Roman" w:hAnsi="Times New Roman" w:cs="Times New Roman"/>
        </w:rPr>
        <w:t xml:space="preserve"> 0.0055</w:t>
      </w:r>
      <w:r w:rsidR="005D258A" w:rsidRPr="0037405F">
        <w:rPr>
          <w:rFonts w:ascii="Times New Roman" w:hAnsi="Times New Roman" w:cs="Times New Roman"/>
          <w:i/>
        </w:rPr>
        <w:t>y</w:t>
      </w:r>
      <w:r w:rsidR="003A2D36" w:rsidRPr="0037405F">
        <w:rPr>
          <w:rFonts w:ascii="Times New Roman" w:hAnsi="Times New Roman" w:cs="Times New Roman"/>
        </w:rPr>
        <w:t>,</w:t>
      </w:r>
      <w:r w:rsidR="003A2D36" w:rsidRPr="0037405F">
        <w:rPr>
          <w:rFonts w:ascii="Times New Roman" w:hAnsi="Times New Roman" w:cs="Times New Roman"/>
          <w:i/>
        </w:rPr>
        <w:t xml:space="preserve"> </w:t>
      </w:r>
      <w:r w:rsidR="00B61CEB" w:rsidRPr="0037405F">
        <w:rPr>
          <w:rFonts w:ascii="Times New Roman" w:hAnsi="Times New Roman" w:cs="Times New Roman"/>
          <w:i/>
          <w:iCs/>
        </w:rPr>
        <w:t>r</w:t>
      </w:r>
      <w:r w:rsidR="005D258A" w:rsidRPr="0037405F">
        <w:rPr>
          <w:rFonts w:ascii="Times New Roman" w:hAnsi="Times New Roman" w:cs="Times New Roman"/>
          <w:i/>
          <w:iCs/>
          <w:vertAlign w:val="superscript"/>
        </w:rPr>
        <w:t>2</w:t>
      </w:r>
      <w:r w:rsidR="005D258A" w:rsidRPr="0037405F">
        <w:rPr>
          <w:rFonts w:ascii="Times New Roman" w:hAnsi="Times New Roman" w:cs="Times New Roman"/>
          <w:i/>
          <w:iCs/>
        </w:rPr>
        <w:t xml:space="preserve"> </w:t>
      </w:r>
      <w:r w:rsidR="00B61CEB" w:rsidRPr="0037405F">
        <w:rPr>
          <w:rFonts w:ascii="Times New Roman" w:hAnsi="Times New Roman" w:cs="Times New Roman"/>
        </w:rPr>
        <w:t>=</w:t>
      </w:r>
      <w:r w:rsidR="005D258A" w:rsidRPr="0037405F">
        <w:rPr>
          <w:rFonts w:ascii="Times New Roman" w:hAnsi="Times New Roman" w:cs="Times New Roman"/>
        </w:rPr>
        <w:t xml:space="preserve"> </w:t>
      </w:r>
      <w:r w:rsidR="00B61CEB" w:rsidRPr="0037405F">
        <w:rPr>
          <w:rFonts w:ascii="Times New Roman" w:hAnsi="Times New Roman" w:cs="Times New Roman"/>
        </w:rPr>
        <w:t>0.99</w:t>
      </w:r>
      <w:r w:rsidR="005D258A" w:rsidRPr="0037405F">
        <w:rPr>
          <w:rFonts w:ascii="Times New Roman" w:hAnsi="Times New Roman" w:cs="Times New Roman"/>
        </w:rPr>
        <w:t>93</w:t>
      </w:r>
      <w:r w:rsidR="003A2D36" w:rsidRPr="0037405F">
        <w:rPr>
          <w:rFonts w:ascii="Times New Roman" w:hAnsi="Times New Roman" w:cs="Times New Roman"/>
        </w:rPr>
        <w:t xml:space="preserve"> (itraconazole</w:t>
      </w:r>
      <w:r w:rsidR="00B61CEB" w:rsidRPr="0037405F">
        <w:rPr>
          <w:rFonts w:ascii="Times New Roman" w:hAnsi="Times New Roman" w:cs="Times New Roman"/>
        </w:rPr>
        <w:t>),</w:t>
      </w:r>
      <w:r w:rsidR="005D258A" w:rsidRPr="0037405F">
        <w:rPr>
          <w:rFonts w:ascii="Times New Roman" w:hAnsi="Times New Roman" w:cs="Times New Roman"/>
        </w:rPr>
        <w:t xml:space="preserve"> and </w:t>
      </w:r>
      <w:r w:rsidR="005D258A" w:rsidRPr="0037405F">
        <w:rPr>
          <w:rFonts w:ascii="Times New Roman" w:hAnsi="Times New Roman" w:cs="Times New Roman"/>
          <w:i/>
          <w:iCs/>
        </w:rPr>
        <w:t xml:space="preserve">y </w:t>
      </w:r>
      <w:r w:rsidR="005D258A" w:rsidRPr="0037405F">
        <w:rPr>
          <w:rFonts w:ascii="Times New Roman" w:hAnsi="Times New Roman" w:cs="Times New Roman"/>
        </w:rPr>
        <w:t>= 0.01</w:t>
      </w:r>
      <w:r w:rsidR="005D258A" w:rsidRPr="0037405F">
        <w:rPr>
          <w:rFonts w:ascii="Times New Roman" w:hAnsi="Times New Roman" w:cs="Times New Roman"/>
          <w:i/>
          <w:iCs/>
        </w:rPr>
        <w:t>x -</w:t>
      </w:r>
      <w:r w:rsidR="005D258A" w:rsidRPr="0037405F">
        <w:rPr>
          <w:rFonts w:ascii="Times New Roman" w:hAnsi="Times New Roman" w:cs="Times New Roman"/>
        </w:rPr>
        <w:t xml:space="preserve"> 0.0038</w:t>
      </w:r>
      <w:r w:rsidR="005D258A" w:rsidRPr="0037405F">
        <w:rPr>
          <w:rFonts w:ascii="Times New Roman" w:hAnsi="Times New Roman" w:cs="Times New Roman"/>
          <w:i/>
        </w:rPr>
        <w:t>y</w:t>
      </w:r>
      <w:r w:rsidR="003A2D36" w:rsidRPr="0037405F">
        <w:rPr>
          <w:rFonts w:ascii="Times New Roman" w:hAnsi="Times New Roman" w:cs="Times New Roman"/>
        </w:rPr>
        <w:t>,</w:t>
      </w:r>
      <w:r w:rsidR="003A2D36" w:rsidRPr="0037405F">
        <w:rPr>
          <w:rFonts w:ascii="Times New Roman" w:hAnsi="Times New Roman" w:cs="Times New Roman"/>
          <w:i/>
        </w:rPr>
        <w:t xml:space="preserve"> </w:t>
      </w:r>
      <w:r w:rsidR="005D258A" w:rsidRPr="0037405F">
        <w:rPr>
          <w:rFonts w:ascii="Times New Roman" w:hAnsi="Times New Roman" w:cs="Times New Roman"/>
          <w:i/>
          <w:iCs/>
        </w:rPr>
        <w:t>r</w:t>
      </w:r>
      <w:r w:rsidR="005D258A" w:rsidRPr="0037405F">
        <w:rPr>
          <w:rFonts w:ascii="Times New Roman" w:hAnsi="Times New Roman" w:cs="Times New Roman"/>
          <w:i/>
          <w:iCs/>
          <w:vertAlign w:val="superscript"/>
        </w:rPr>
        <w:t>2</w:t>
      </w:r>
      <w:r w:rsidR="005D258A" w:rsidRPr="0037405F">
        <w:rPr>
          <w:rFonts w:ascii="Times New Roman" w:hAnsi="Times New Roman" w:cs="Times New Roman"/>
          <w:i/>
          <w:iCs/>
        </w:rPr>
        <w:t xml:space="preserve"> </w:t>
      </w:r>
      <w:r w:rsidR="005D258A" w:rsidRPr="0037405F">
        <w:rPr>
          <w:rFonts w:ascii="Times New Roman" w:hAnsi="Times New Roman" w:cs="Times New Roman"/>
        </w:rPr>
        <w:t>= 0.9989</w:t>
      </w:r>
      <w:r w:rsidR="003A2D36" w:rsidRPr="0037405F">
        <w:rPr>
          <w:rFonts w:ascii="Times New Roman" w:hAnsi="Times New Roman" w:cs="Times New Roman"/>
        </w:rPr>
        <w:t xml:space="preserve"> (hydroxy itraconazole</w:t>
      </w:r>
      <w:r w:rsidR="005D258A" w:rsidRPr="0037405F">
        <w:rPr>
          <w:rFonts w:ascii="Times New Roman" w:hAnsi="Times New Roman" w:cs="Times New Roman"/>
        </w:rPr>
        <w:t xml:space="preserve">), </w:t>
      </w:r>
      <w:r w:rsidR="00B61CEB" w:rsidRPr="0037405F">
        <w:rPr>
          <w:rFonts w:ascii="Times New Roman" w:hAnsi="Times New Roman" w:cs="Times New Roman"/>
        </w:rPr>
        <w:t xml:space="preserve">where </w:t>
      </w:r>
      <w:r w:rsidR="00B61CEB" w:rsidRPr="0037405F">
        <w:rPr>
          <w:rFonts w:ascii="Times New Roman" w:hAnsi="Times New Roman" w:cs="Times New Roman"/>
          <w:i/>
          <w:iCs/>
        </w:rPr>
        <w:t xml:space="preserve">y </w:t>
      </w:r>
      <w:r w:rsidR="00B61CEB" w:rsidRPr="0037405F">
        <w:rPr>
          <w:rFonts w:ascii="Times New Roman" w:hAnsi="Times New Roman" w:cs="Times New Roman"/>
        </w:rPr>
        <w:t xml:space="preserve">represents the peak area ratio of analyte derivative to the IS derivative, and </w:t>
      </w:r>
      <w:r w:rsidR="00B61CEB" w:rsidRPr="0037405F">
        <w:rPr>
          <w:rFonts w:ascii="Times New Roman" w:hAnsi="Times New Roman" w:cs="Times New Roman"/>
          <w:i/>
          <w:iCs/>
        </w:rPr>
        <w:t xml:space="preserve">x </w:t>
      </w:r>
      <w:r w:rsidR="00B61CEB" w:rsidRPr="0037405F">
        <w:rPr>
          <w:rFonts w:ascii="Times New Roman" w:hAnsi="Times New Roman" w:cs="Times New Roman"/>
        </w:rPr>
        <w:t>represents the plasma concentration</w:t>
      </w:r>
      <w:r w:rsidR="005D258A" w:rsidRPr="0037405F">
        <w:rPr>
          <w:rFonts w:ascii="Times New Roman" w:hAnsi="Times New Roman" w:cs="Times New Roman"/>
        </w:rPr>
        <w:t>, respectively.</w:t>
      </w:r>
      <w:r w:rsidR="00B61CEB" w:rsidRPr="0037405F">
        <w:rPr>
          <w:rFonts w:ascii="Times New Roman" w:hAnsi="Times New Roman" w:cs="Times New Roman"/>
        </w:rPr>
        <w:t xml:space="preserve"> The LLOQ of this assay was 2</w:t>
      </w:r>
      <w:r w:rsidR="005D258A" w:rsidRPr="0037405F">
        <w:rPr>
          <w:rFonts w:ascii="Times New Roman" w:hAnsi="Times New Roman" w:cs="Times New Roman"/>
        </w:rPr>
        <w:t>.</w:t>
      </w:r>
      <w:r w:rsidR="00B61CEB" w:rsidRPr="0037405F">
        <w:rPr>
          <w:rFonts w:ascii="Times New Roman" w:hAnsi="Times New Roman" w:cs="Times New Roman"/>
        </w:rPr>
        <w:t>00 ng/mL</w:t>
      </w:r>
      <w:r w:rsidR="005D258A" w:rsidRPr="0037405F">
        <w:rPr>
          <w:rFonts w:ascii="Times New Roman" w:hAnsi="Times New Roman" w:cs="Times New Roman"/>
        </w:rPr>
        <w:t>.</w:t>
      </w:r>
    </w:p>
    <w:p w:rsidR="00B61CEB" w:rsidRPr="0037405F" w:rsidRDefault="00B61CEB" w:rsidP="00B8212E">
      <w:pPr>
        <w:pStyle w:val="Pa13"/>
        <w:spacing w:line="480" w:lineRule="auto"/>
        <w:jc w:val="both"/>
        <w:rPr>
          <w:rFonts w:ascii="Times New Roman" w:hAnsi="Times New Roman" w:cs="Times New Roman"/>
          <w:b/>
          <w:color w:val="000000"/>
        </w:rPr>
      </w:pPr>
      <w:r w:rsidRPr="0037405F">
        <w:rPr>
          <w:rFonts w:ascii="Times New Roman" w:hAnsi="Times New Roman" w:cs="Times New Roman"/>
          <w:b/>
          <w:color w:val="000000"/>
        </w:rPr>
        <w:t>Precision and accuracy</w:t>
      </w:r>
    </w:p>
    <w:p w:rsidR="00FD4518" w:rsidRPr="0037405F" w:rsidRDefault="00B61CEB" w:rsidP="00B8212E">
      <w:pPr>
        <w:spacing w:after="0" w:line="480" w:lineRule="auto"/>
        <w:jc w:val="both"/>
        <w:rPr>
          <w:rFonts w:ascii="Times New Roman" w:hAnsi="Times New Roman" w:cs="Times New Roman"/>
          <w:color w:val="000000"/>
          <w:sz w:val="24"/>
          <w:szCs w:val="24"/>
        </w:rPr>
      </w:pPr>
      <w:r w:rsidRPr="0037405F">
        <w:rPr>
          <w:rFonts w:ascii="Times New Roman" w:hAnsi="Times New Roman" w:cs="Times New Roman"/>
          <w:color w:val="000000"/>
          <w:sz w:val="24"/>
          <w:szCs w:val="24"/>
        </w:rPr>
        <w:t>Intra- and inter-day precision and acc</w:t>
      </w:r>
      <w:r w:rsidR="00AF0E16" w:rsidRPr="0037405F">
        <w:rPr>
          <w:rFonts w:ascii="Times New Roman" w:hAnsi="Times New Roman" w:cs="Times New Roman"/>
          <w:color w:val="000000"/>
          <w:sz w:val="24"/>
          <w:szCs w:val="24"/>
        </w:rPr>
        <w:t xml:space="preserve">uracy </w:t>
      </w:r>
      <w:r w:rsidR="001D5FE3" w:rsidRPr="0037405F">
        <w:rPr>
          <w:rFonts w:ascii="Times New Roman" w:hAnsi="Times New Roman" w:cs="Times New Roman"/>
          <w:color w:val="000000"/>
          <w:sz w:val="24"/>
          <w:szCs w:val="24"/>
        </w:rPr>
        <w:t xml:space="preserve">of itraconazole and hydroxyitraconazole </w:t>
      </w:r>
      <w:r w:rsidR="00AF0E16" w:rsidRPr="0037405F">
        <w:rPr>
          <w:rFonts w:ascii="Times New Roman" w:hAnsi="Times New Roman" w:cs="Times New Roman"/>
          <w:color w:val="000000"/>
          <w:sz w:val="24"/>
          <w:szCs w:val="24"/>
        </w:rPr>
        <w:t>are sum</w:t>
      </w:r>
      <w:r w:rsidR="00AF0E16" w:rsidRPr="0037405F">
        <w:rPr>
          <w:rFonts w:ascii="Times New Roman" w:hAnsi="Times New Roman" w:cs="Times New Roman"/>
          <w:color w:val="000000"/>
          <w:sz w:val="24"/>
          <w:szCs w:val="24"/>
        </w:rPr>
        <w:softHyphen/>
        <w:t>marized in Table 1</w:t>
      </w:r>
      <w:r w:rsidR="00FD4518" w:rsidRPr="0037405F">
        <w:rPr>
          <w:rFonts w:ascii="Times New Roman" w:hAnsi="Times New Roman" w:cs="Times New Roman"/>
          <w:color w:val="000000"/>
          <w:sz w:val="24"/>
          <w:szCs w:val="24"/>
        </w:rPr>
        <w:t xml:space="preserve">, as follows: </w:t>
      </w:r>
    </w:p>
    <w:p w:rsidR="001D5FE3" w:rsidRPr="0037405F" w:rsidRDefault="00FD4518" w:rsidP="00B8212E">
      <w:pPr>
        <w:spacing w:after="0" w:line="480" w:lineRule="auto"/>
        <w:jc w:val="both"/>
        <w:rPr>
          <w:rFonts w:ascii="Times New Roman" w:hAnsi="Times New Roman" w:cs="Times New Roman"/>
          <w:color w:val="000000"/>
          <w:sz w:val="24"/>
          <w:szCs w:val="24"/>
        </w:rPr>
      </w:pPr>
      <w:r w:rsidRPr="0037405F">
        <w:rPr>
          <w:rFonts w:ascii="Times New Roman" w:hAnsi="Times New Roman" w:cs="Times New Roman"/>
          <w:color w:val="000000"/>
          <w:sz w:val="24"/>
          <w:szCs w:val="24"/>
        </w:rPr>
        <w:lastRenderedPageBreak/>
        <w:t xml:space="preserve">1) </w:t>
      </w:r>
      <w:r w:rsidR="001D5FE3" w:rsidRPr="0037405F">
        <w:rPr>
          <w:rFonts w:ascii="Times New Roman" w:hAnsi="Times New Roman" w:cs="Times New Roman"/>
          <w:color w:val="000000"/>
          <w:sz w:val="24"/>
          <w:szCs w:val="24"/>
        </w:rPr>
        <w:t>Itraconazole</w:t>
      </w:r>
      <w:r w:rsidRPr="0037405F">
        <w:rPr>
          <w:rFonts w:ascii="Times New Roman" w:hAnsi="Times New Roman" w:cs="Times New Roman"/>
          <w:color w:val="000000"/>
          <w:sz w:val="24"/>
          <w:szCs w:val="24"/>
        </w:rPr>
        <w:t xml:space="preserve">: </w:t>
      </w:r>
      <w:r w:rsidR="00B61CEB" w:rsidRPr="0037405F">
        <w:rPr>
          <w:rFonts w:ascii="Times New Roman" w:hAnsi="Times New Roman" w:cs="Times New Roman"/>
          <w:color w:val="000000"/>
          <w:sz w:val="24"/>
          <w:szCs w:val="24"/>
        </w:rPr>
        <w:t xml:space="preserve">The intra-day precision were </w:t>
      </w:r>
      <w:r w:rsidR="00AF0E16" w:rsidRPr="0037405F">
        <w:rPr>
          <w:rFonts w:ascii="Times New Roman" w:hAnsi="Times New Roman" w:cs="Times New Roman"/>
          <w:color w:val="000000"/>
          <w:sz w:val="24"/>
          <w:szCs w:val="24"/>
        </w:rPr>
        <w:t>1.28</w:t>
      </w:r>
      <w:r w:rsidR="00B61CEB" w:rsidRPr="0037405F">
        <w:rPr>
          <w:rFonts w:ascii="Times New Roman" w:hAnsi="Times New Roman" w:cs="Times New Roman"/>
          <w:color w:val="000000"/>
          <w:sz w:val="24"/>
          <w:szCs w:val="24"/>
        </w:rPr>
        <w:t xml:space="preserve">% and </w:t>
      </w:r>
      <w:r w:rsidR="00AF0E16" w:rsidRPr="0037405F">
        <w:rPr>
          <w:rFonts w:ascii="Times New Roman" w:hAnsi="Times New Roman" w:cs="Times New Roman"/>
          <w:color w:val="000000"/>
          <w:sz w:val="24"/>
          <w:szCs w:val="24"/>
        </w:rPr>
        <w:t>7</w:t>
      </w:r>
      <w:r w:rsidR="00B61CEB" w:rsidRPr="0037405F">
        <w:rPr>
          <w:rFonts w:ascii="Times New Roman" w:hAnsi="Times New Roman" w:cs="Times New Roman"/>
          <w:color w:val="000000"/>
          <w:sz w:val="24"/>
          <w:szCs w:val="24"/>
        </w:rPr>
        <w:t>.9</w:t>
      </w:r>
      <w:r w:rsidRPr="0037405F">
        <w:rPr>
          <w:rFonts w:ascii="Times New Roman" w:hAnsi="Times New Roman" w:cs="Times New Roman"/>
          <w:color w:val="000000"/>
          <w:sz w:val="24"/>
          <w:szCs w:val="24"/>
        </w:rPr>
        <w:t>0</w:t>
      </w:r>
      <w:r w:rsidR="00B61CEB" w:rsidRPr="0037405F">
        <w:rPr>
          <w:rFonts w:ascii="Times New Roman" w:hAnsi="Times New Roman" w:cs="Times New Roman"/>
          <w:color w:val="000000"/>
          <w:sz w:val="24"/>
          <w:szCs w:val="24"/>
        </w:rPr>
        <w:t>%, respectively,</w:t>
      </w:r>
      <w:r w:rsidR="001D5FE3" w:rsidRPr="0037405F">
        <w:rPr>
          <w:rFonts w:ascii="Times New Roman" w:hAnsi="Times New Roman" w:cs="Times New Roman"/>
          <w:color w:val="000000"/>
          <w:sz w:val="24"/>
          <w:szCs w:val="24"/>
        </w:rPr>
        <w:t xml:space="preserve"> and the accuracy ranged from 94</w:t>
      </w:r>
      <w:r w:rsidR="00B61CEB" w:rsidRPr="0037405F">
        <w:rPr>
          <w:rFonts w:ascii="Times New Roman" w:hAnsi="Times New Roman" w:cs="Times New Roman"/>
          <w:color w:val="000000"/>
          <w:sz w:val="24"/>
          <w:szCs w:val="24"/>
        </w:rPr>
        <w:t>.8</w:t>
      </w:r>
      <w:r w:rsidR="001D5FE3" w:rsidRPr="0037405F">
        <w:rPr>
          <w:rFonts w:ascii="Times New Roman" w:hAnsi="Times New Roman" w:cs="Times New Roman"/>
          <w:color w:val="000000"/>
          <w:sz w:val="24"/>
          <w:szCs w:val="24"/>
        </w:rPr>
        <w:t>4</w:t>
      </w:r>
      <w:r w:rsidR="00B61CEB" w:rsidRPr="0037405F">
        <w:rPr>
          <w:rFonts w:ascii="Times New Roman" w:hAnsi="Times New Roman" w:cs="Times New Roman"/>
          <w:color w:val="000000"/>
          <w:sz w:val="24"/>
          <w:szCs w:val="24"/>
        </w:rPr>
        <w:t>% to 10</w:t>
      </w:r>
      <w:r w:rsidR="001D5FE3" w:rsidRPr="0037405F">
        <w:rPr>
          <w:rFonts w:ascii="Times New Roman" w:hAnsi="Times New Roman" w:cs="Times New Roman"/>
          <w:color w:val="000000"/>
          <w:sz w:val="24"/>
          <w:szCs w:val="24"/>
        </w:rPr>
        <w:t>5</w:t>
      </w:r>
      <w:r w:rsidR="00B61CEB" w:rsidRPr="0037405F">
        <w:rPr>
          <w:rFonts w:ascii="Times New Roman" w:hAnsi="Times New Roman" w:cs="Times New Roman"/>
          <w:color w:val="000000"/>
          <w:sz w:val="24"/>
          <w:szCs w:val="24"/>
        </w:rPr>
        <w:t>.</w:t>
      </w:r>
      <w:r w:rsidR="001D5FE3" w:rsidRPr="0037405F">
        <w:rPr>
          <w:rFonts w:ascii="Times New Roman" w:hAnsi="Times New Roman" w:cs="Times New Roman"/>
          <w:color w:val="000000"/>
          <w:sz w:val="24"/>
          <w:szCs w:val="24"/>
        </w:rPr>
        <w:t>33</w:t>
      </w:r>
      <w:r w:rsidR="00B61CEB" w:rsidRPr="0037405F">
        <w:rPr>
          <w:rFonts w:ascii="Times New Roman" w:hAnsi="Times New Roman" w:cs="Times New Roman"/>
          <w:color w:val="000000"/>
          <w:sz w:val="24"/>
          <w:szCs w:val="24"/>
        </w:rPr>
        <w:t>% of the nominal concentra</w:t>
      </w:r>
      <w:r w:rsidR="00B61CEB" w:rsidRPr="0037405F">
        <w:rPr>
          <w:rFonts w:ascii="Times New Roman" w:hAnsi="Times New Roman" w:cs="Times New Roman"/>
          <w:color w:val="000000"/>
          <w:sz w:val="24"/>
          <w:szCs w:val="24"/>
        </w:rPr>
        <w:softHyphen/>
        <w:t xml:space="preserve">tion. </w:t>
      </w:r>
      <w:r w:rsidR="001D5FE3" w:rsidRPr="0037405F">
        <w:rPr>
          <w:rFonts w:ascii="Times New Roman" w:hAnsi="Times New Roman" w:cs="Times New Roman"/>
          <w:color w:val="000000"/>
          <w:sz w:val="24"/>
          <w:szCs w:val="24"/>
        </w:rPr>
        <w:t>The inter-day precision were in the range from 1.2</w:t>
      </w:r>
      <w:r w:rsidRPr="0037405F">
        <w:rPr>
          <w:rFonts w:ascii="Times New Roman" w:hAnsi="Times New Roman" w:cs="Times New Roman"/>
          <w:color w:val="000000"/>
          <w:sz w:val="24"/>
          <w:szCs w:val="24"/>
        </w:rPr>
        <w:t>0</w:t>
      </w:r>
      <w:r w:rsidR="001D5FE3" w:rsidRPr="0037405F">
        <w:rPr>
          <w:rFonts w:ascii="Times New Roman" w:hAnsi="Times New Roman" w:cs="Times New Roman"/>
          <w:color w:val="000000"/>
          <w:sz w:val="24"/>
          <w:szCs w:val="24"/>
        </w:rPr>
        <w:t>% to 7.78%, and the accuracy were 95.17% and 103.82%, respectively,  of the nominal concentra</w:t>
      </w:r>
      <w:r w:rsidR="001D5FE3" w:rsidRPr="0037405F">
        <w:rPr>
          <w:rFonts w:ascii="Times New Roman" w:hAnsi="Times New Roman" w:cs="Times New Roman"/>
          <w:color w:val="000000"/>
          <w:sz w:val="24"/>
          <w:szCs w:val="24"/>
        </w:rPr>
        <w:softHyphen/>
        <w:t xml:space="preserve">tion. </w:t>
      </w:r>
    </w:p>
    <w:p w:rsidR="001D5FE3" w:rsidRPr="0037405F" w:rsidRDefault="00FD4518" w:rsidP="00B8212E">
      <w:pPr>
        <w:spacing w:after="0" w:line="480" w:lineRule="auto"/>
        <w:jc w:val="both"/>
        <w:rPr>
          <w:rFonts w:ascii="Times New Roman" w:hAnsi="Times New Roman" w:cs="Times New Roman"/>
          <w:color w:val="000000"/>
          <w:sz w:val="24"/>
          <w:szCs w:val="24"/>
        </w:rPr>
      </w:pPr>
      <w:r w:rsidRPr="0037405F">
        <w:rPr>
          <w:rFonts w:ascii="Times New Roman" w:hAnsi="Times New Roman" w:cs="Times New Roman"/>
          <w:color w:val="000000"/>
          <w:sz w:val="24"/>
          <w:szCs w:val="24"/>
        </w:rPr>
        <w:t xml:space="preserve">2) </w:t>
      </w:r>
      <w:r w:rsidR="001D5FE3" w:rsidRPr="0037405F">
        <w:rPr>
          <w:rFonts w:ascii="Times New Roman" w:hAnsi="Times New Roman" w:cs="Times New Roman"/>
          <w:color w:val="000000"/>
          <w:sz w:val="24"/>
          <w:szCs w:val="24"/>
        </w:rPr>
        <w:t>Hydroxy</w:t>
      </w:r>
      <w:r w:rsidRPr="0037405F">
        <w:rPr>
          <w:rFonts w:ascii="Times New Roman" w:hAnsi="Times New Roman" w:cs="Times New Roman"/>
          <w:color w:val="000000"/>
          <w:sz w:val="24"/>
          <w:szCs w:val="24"/>
        </w:rPr>
        <w:t xml:space="preserve"> </w:t>
      </w:r>
      <w:r w:rsidR="001D5FE3" w:rsidRPr="0037405F">
        <w:rPr>
          <w:rFonts w:ascii="Times New Roman" w:hAnsi="Times New Roman" w:cs="Times New Roman"/>
          <w:color w:val="000000"/>
          <w:sz w:val="24"/>
          <w:szCs w:val="24"/>
        </w:rPr>
        <w:t>itraconazole</w:t>
      </w:r>
      <w:r w:rsidRPr="0037405F">
        <w:rPr>
          <w:rFonts w:ascii="Times New Roman" w:hAnsi="Times New Roman" w:cs="Times New Roman"/>
          <w:color w:val="000000"/>
          <w:sz w:val="24"/>
          <w:szCs w:val="24"/>
        </w:rPr>
        <w:t xml:space="preserve">: </w:t>
      </w:r>
      <w:r w:rsidR="001D5FE3" w:rsidRPr="0037405F">
        <w:rPr>
          <w:rFonts w:ascii="Times New Roman" w:hAnsi="Times New Roman" w:cs="Times New Roman"/>
          <w:color w:val="000000"/>
          <w:sz w:val="24"/>
          <w:szCs w:val="24"/>
        </w:rPr>
        <w:t xml:space="preserve">The intra-day precision </w:t>
      </w:r>
      <w:r w:rsidRPr="0037405F">
        <w:rPr>
          <w:rFonts w:ascii="Times New Roman" w:hAnsi="Times New Roman" w:cs="Times New Roman"/>
          <w:color w:val="000000"/>
          <w:sz w:val="24"/>
          <w:szCs w:val="24"/>
        </w:rPr>
        <w:t>w</w:t>
      </w:r>
      <w:r w:rsidR="001D5FE3" w:rsidRPr="0037405F">
        <w:rPr>
          <w:rFonts w:ascii="Times New Roman" w:hAnsi="Times New Roman" w:cs="Times New Roman"/>
          <w:color w:val="000000"/>
          <w:sz w:val="24"/>
          <w:szCs w:val="24"/>
        </w:rPr>
        <w:t xml:space="preserve">ere </w:t>
      </w:r>
      <w:r w:rsidRPr="0037405F">
        <w:rPr>
          <w:rFonts w:ascii="Times New Roman" w:hAnsi="Times New Roman" w:cs="Times New Roman"/>
          <w:color w:val="000000"/>
          <w:sz w:val="24"/>
          <w:szCs w:val="24"/>
        </w:rPr>
        <w:t>0</w:t>
      </w:r>
      <w:r w:rsidR="001D5FE3" w:rsidRPr="0037405F">
        <w:rPr>
          <w:rFonts w:ascii="Times New Roman" w:hAnsi="Times New Roman" w:cs="Times New Roman"/>
          <w:color w:val="000000"/>
          <w:sz w:val="24"/>
          <w:szCs w:val="24"/>
        </w:rPr>
        <w:t>.</w:t>
      </w:r>
      <w:r w:rsidRPr="0037405F">
        <w:rPr>
          <w:rFonts w:ascii="Times New Roman" w:hAnsi="Times New Roman" w:cs="Times New Roman"/>
          <w:color w:val="000000"/>
          <w:sz w:val="24"/>
          <w:szCs w:val="24"/>
        </w:rPr>
        <w:t>8</w:t>
      </w:r>
      <w:r w:rsidR="001D5FE3" w:rsidRPr="0037405F">
        <w:rPr>
          <w:rFonts w:ascii="Times New Roman" w:hAnsi="Times New Roman" w:cs="Times New Roman"/>
          <w:color w:val="000000"/>
          <w:sz w:val="24"/>
          <w:szCs w:val="24"/>
        </w:rPr>
        <w:t xml:space="preserve">8% and </w:t>
      </w:r>
      <w:r w:rsidRPr="0037405F">
        <w:rPr>
          <w:rFonts w:ascii="Times New Roman" w:hAnsi="Times New Roman" w:cs="Times New Roman"/>
          <w:color w:val="000000"/>
          <w:sz w:val="24"/>
          <w:szCs w:val="24"/>
        </w:rPr>
        <w:t>6</w:t>
      </w:r>
      <w:r w:rsidR="001D5FE3" w:rsidRPr="0037405F">
        <w:rPr>
          <w:rFonts w:ascii="Times New Roman" w:hAnsi="Times New Roman" w:cs="Times New Roman"/>
          <w:color w:val="000000"/>
          <w:sz w:val="24"/>
          <w:szCs w:val="24"/>
        </w:rPr>
        <w:t>.</w:t>
      </w:r>
      <w:r w:rsidRPr="0037405F">
        <w:rPr>
          <w:rFonts w:ascii="Times New Roman" w:hAnsi="Times New Roman" w:cs="Times New Roman"/>
          <w:color w:val="000000"/>
          <w:sz w:val="24"/>
          <w:szCs w:val="24"/>
        </w:rPr>
        <w:t>11</w:t>
      </w:r>
      <w:r w:rsidR="001D5FE3" w:rsidRPr="0037405F">
        <w:rPr>
          <w:rFonts w:ascii="Times New Roman" w:hAnsi="Times New Roman" w:cs="Times New Roman"/>
          <w:color w:val="000000"/>
          <w:sz w:val="24"/>
          <w:szCs w:val="24"/>
        </w:rPr>
        <w:t>%, respectively, and the accuracy ranged from 9</w:t>
      </w:r>
      <w:r w:rsidRPr="0037405F">
        <w:rPr>
          <w:rFonts w:ascii="Times New Roman" w:hAnsi="Times New Roman" w:cs="Times New Roman"/>
          <w:color w:val="000000"/>
          <w:sz w:val="24"/>
          <w:szCs w:val="24"/>
        </w:rPr>
        <w:t>9</w:t>
      </w:r>
      <w:r w:rsidR="001D5FE3" w:rsidRPr="0037405F">
        <w:rPr>
          <w:rFonts w:ascii="Times New Roman" w:hAnsi="Times New Roman" w:cs="Times New Roman"/>
          <w:color w:val="000000"/>
          <w:sz w:val="24"/>
          <w:szCs w:val="24"/>
        </w:rPr>
        <w:t>.</w:t>
      </w:r>
      <w:r w:rsidRPr="0037405F">
        <w:rPr>
          <w:rFonts w:ascii="Times New Roman" w:hAnsi="Times New Roman" w:cs="Times New Roman"/>
          <w:color w:val="000000"/>
          <w:sz w:val="24"/>
          <w:szCs w:val="24"/>
        </w:rPr>
        <w:t>73</w:t>
      </w:r>
      <w:r w:rsidR="001D5FE3" w:rsidRPr="0037405F">
        <w:rPr>
          <w:rFonts w:ascii="Times New Roman" w:hAnsi="Times New Roman" w:cs="Times New Roman"/>
          <w:color w:val="000000"/>
          <w:sz w:val="24"/>
          <w:szCs w:val="24"/>
        </w:rPr>
        <w:t>% to 10</w:t>
      </w:r>
      <w:r w:rsidRPr="0037405F">
        <w:rPr>
          <w:rFonts w:ascii="Times New Roman" w:hAnsi="Times New Roman" w:cs="Times New Roman"/>
          <w:color w:val="000000"/>
          <w:sz w:val="24"/>
          <w:szCs w:val="24"/>
        </w:rPr>
        <w:t>8</w:t>
      </w:r>
      <w:r w:rsidR="001D5FE3" w:rsidRPr="0037405F">
        <w:rPr>
          <w:rFonts w:ascii="Times New Roman" w:hAnsi="Times New Roman" w:cs="Times New Roman"/>
          <w:color w:val="000000"/>
          <w:sz w:val="24"/>
          <w:szCs w:val="24"/>
        </w:rPr>
        <w:t>.</w:t>
      </w:r>
      <w:r w:rsidRPr="0037405F">
        <w:rPr>
          <w:rFonts w:ascii="Times New Roman" w:hAnsi="Times New Roman" w:cs="Times New Roman"/>
          <w:color w:val="000000"/>
          <w:sz w:val="24"/>
          <w:szCs w:val="24"/>
        </w:rPr>
        <w:t>82</w:t>
      </w:r>
      <w:r w:rsidR="001D5FE3" w:rsidRPr="0037405F">
        <w:rPr>
          <w:rFonts w:ascii="Times New Roman" w:hAnsi="Times New Roman" w:cs="Times New Roman"/>
          <w:color w:val="000000"/>
          <w:sz w:val="24"/>
          <w:szCs w:val="24"/>
        </w:rPr>
        <w:t>% of the nominal concentra</w:t>
      </w:r>
      <w:r w:rsidR="001D5FE3" w:rsidRPr="0037405F">
        <w:rPr>
          <w:rFonts w:ascii="Times New Roman" w:hAnsi="Times New Roman" w:cs="Times New Roman"/>
          <w:color w:val="000000"/>
          <w:sz w:val="24"/>
          <w:szCs w:val="24"/>
        </w:rPr>
        <w:softHyphen/>
        <w:t>tion.</w:t>
      </w:r>
      <w:r w:rsidRPr="0037405F">
        <w:rPr>
          <w:rFonts w:ascii="Times New Roman" w:hAnsi="Times New Roman" w:cs="Times New Roman"/>
          <w:color w:val="000000"/>
          <w:sz w:val="24"/>
          <w:szCs w:val="24"/>
        </w:rPr>
        <w:t xml:space="preserve"> </w:t>
      </w:r>
      <w:r w:rsidR="001D5FE3" w:rsidRPr="0037405F">
        <w:rPr>
          <w:rFonts w:ascii="Times New Roman" w:hAnsi="Times New Roman" w:cs="Times New Roman"/>
          <w:color w:val="000000"/>
          <w:sz w:val="24"/>
          <w:szCs w:val="24"/>
        </w:rPr>
        <w:t xml:space="preserve">The inter-day precision were in the range from </w:t>
      </w:r>
      <w:r w:rsidRPr="0037405F">
        <w:rPr>
          <w:rFonts w:ascii="Times New Roman" w:hAnsi="Times New Roman" w:cs="Times New Roman"/>
          <w:color w:val="000000"/>
          <w:sz w:val="24"/>
          <w:szCs w:val="24"/>
        </w:rPr>
        <w:t>2</w:t>
      </w:r>
      <w:r w:rsidR="001D5FE3" w:rsidRPr="0037405F">
        <w:rPr>
          <w:rFonts w:ascii="Times New Roman" w:hAnsi="Times New Roman" w:cs="Times New Roman"/>
          <w:color w:val="000000"/>
          <w:sz w:val="24"/>
          <w:szCs w:val="24"/>
        </w:rPr>
        <w:t>.</w:t>
      </w:r>
      <w:r w:rsidRPr="0037405F">
        <w:rPr>
          <w:rFonts w:ascii="Times New Roman" w:hAnsi="Times New Roman" w:cs="Times New Roman"/>
          <w:color w:val="000000"/>
          <w:sz w:val="24"/>
          <w:szCs w:val="24"/>
        </w:rPr>
        <w:t>05</w:t>
      </w:r>
      <w:r w:rsidR="001D5FE3" w:rsidRPr="0037405F">
        <w:rPr>
          <w:rFonts w:ascii="Times New Roman" w:hAnsi="Times New Roman" w:cs="Times New Roman"/>
          <w:color w:val="000000"/>
          <w:sz w:val="24"/>
          <w:szCs w:val="24"/>
        </w:rPr>
        <w:t xml:space="preserve">% to </w:t>
      </w:r>
      <w:r w:rsidRPr="0037405F">
        <w:rPr>
          <w:rFonts w:ascii="Times New Roman" w:hAnsi="Times New Roman" w:cs="Times New Roman"/>
          <w:color w:val="000000"/>
          <w:sz w:val="24"/>
          <w:szCs w:val="24"/>
        </w:rPr>
        <w:t>8</w:t>
      </w:r>
      <w:r w:rsidR="001D5FE3" w:rsidRPr="0037405F">
        <w:rPr>
          <w:rFonts w:ascii="Times New Roman" w:hAnsi="Times New Roman" w:cs="Times New Roman"/>
          <w:color w:val="000000"/>
          <w:sz w:val="24"/>
          <w:szCs w:val="24"/>
        </w:rPr>
        <w:t>.</w:t>
      </w:r>
      <w:r w:rsidRPr="0037405F">
        <w:rPr>
          <w:rFonts w:ascii="Times New Roman" w:hAnsi="Times New Roman" w:cs="Times New Roman"/>
          <w:color w:val="000000"/>
          <w:sz w:val="24"/>
          <w:szCs w:val="24"/>
        </w:rPr>
        <w:t>09</w:t>
      </w:r>
      <w:r w:rsidR="001D5FE3" w:rsidRPr="0037405F">
        <w:rPr>
          <w:rFonts w:ascii="Times New Roman" w:hAnsi="Times New Roman" w:cs="Times New Roman"/>
          <w:color w:val="000000"/>
          <w:sz w:val="24"/>
          <w:szCs w:val="24"/>
        </w:rPr>
        <w:t xml:space="preserve">%, </w:t>
      </w:r>
      <w:r w:rsidRPr="0037405F">
        <w:rPr>
          <w:rFonts w:ascii="Times New Roman" w:hAnsi="Times New Roman" w:cs="Times New Roman"/>
          <w:color w:val="000000"/>
          <w:sz w:val="24"/>
          <w:szCs w:val="24"/>
        </w:rPr>
        <w:t>and the accuracy were 90</w:t>
      </w:r>
      <w:r w:rsidR="001D5FE3" w:rsidRPr="0037405F">
        <w:rPr>
          <w:rFonts w:ascii="Times New Roman" w:hAnsi="Times New Roman" w:cs="Times New Roman"/>
          <w:color w:val="000000"/>
          <w:sz w:val="24"/>
          <w:szCs w:val="24"/>
        </w:rPr>
        <w:t>.1</w:t>
      </w:r>
      <w:r w:rsidRPr="0037405F">
        <w:rPr>
          <w:rFonts w:ascii="Times New Roman" w:hAnsi="Times New Roman" w:cs="Times New Roman"/>
          <w:color w:val="000000"/>
          <w:sz w:val="24"/>
          <w:szCs w:val="24"/>
        </w:rPr>
        <w:t>3</w:t>
      </w:r>
      <w:r w:rsidR="001D5FE3" w:rsidRPr="0037405F">
        <w:rPr>
          <w:rFonts w:ascii="Times New Roman" w:hAnsi="Times New Roman" w:cs="Times New Roman"/>
          <w:color w:val="000000"/>
          <w:sz w:val="24"/>
          <w:szCs w:val="24"/>
        </w:rPr>
        <w:t>% and 10</w:t>
      </w:r>
      <w:r w:rsidRPr="0037405F">
        <w:rPr>
          <w:rFonts w:ascii="Times New Roman" w:hAnsi="Times New Roman" w:cs="Times New Roman"/>
          <w:color w:val="000000"/>
          <w:sz w:val="24"/>
          <w:szCs w:val="24"/>
        </w:rPr>
        <w:t>2</w:t>
      </w:r>
      <w:r w:rsidR="001D5FE3" w:rsidRPr="0037405F">
        <w:rPr>
          <w:rFonts w:ascii="Times New Roman" w:hAnsi="Times New Roman" w:cs="Times New Roman"/>
          <w:color w:val="000000"/>
          <w:sz w:val="24"/>
          <w:szCs w:val="24"/>
        </w:rPr>
        <w:t>.</w:t>
      </w:r>
      <w:r w:rsidRPr="0037405F">
        <w:rPr>
          <w:rFonts w:ascii="Times New Roman" w:hAnsi="Times New Roman" w:cs="Times New Roman"/>
          <w:color w:val="000000"/>
          <w:sz w:val="24"/>
          <w:szCs w:val="24"/>
        </w:rPr>
        <w:t>77</w:t>
      </w:r>
      <w:r w:rsidR="001D5FE3" w:rsidRPr="0037405F">
        <w:rPr>
          <w:rFonts w:ascii="Times New Roman" w:hAnsi="Times New Roman" w:cs="Times New Roman"/>
          <w:color w:val="000000"/>
          <w:sz w:val="24"/>
          <w:szCs w:val="24"/>
        </w:rPr>
        <w:t>%, respectively,  of the nominal concentra</w:t>
      </w:r>
      <w:r w:rsidR="001D5FE3" w:rsidRPr="0037405F">
        <w:rPr>
          <w:rFonts w:ascii="Times New Roman" w:hAnsi="Times New Roman" w:cs="Times New Roman"/>
          <w:color w:val="000000"/>
          <w:sz w:val="24"/>
          <w:szCs w:val="24"/>
        </w:rPr>
        <w:softHyphen/>
        <w:t xml:space="preserve">tion. </w:t>
      </w:r>
    </w:p>
    <w:p w:rsidR="00B61CEB" w:rsidRPr="0037405F" w:rsidRDefault="00B61CEB" w:rsidP="00B8212E">
      <w:pPr>
        <w:spacing w:after="0" w:line="480" w:lineRule="auto"/>
        <w:jc w:val="both"/>
        <w:rPr>
          <w:rFonts w:ascii="Times New Roman" w:hAnsi="Times New Roman" w:cs="Times New Roman"/>
          <w:color w:val="000000"/>
          <w:sz w:val="24"/>
          <w:szCs w:val="24"/>
        </w:rPr>
      </w:pPr>
      <w:r w:rsidRPr="0037405F">
        <w:rPr>
          <w:rFonts w:ascii="Times New Roman" w:hAnsi="Times New Roman" w:cs="Times New Roman"/>
          <w:color w:val="000000"/>
          <w:sz w:val="24"/>
          <w:szCs w:val="24"/>
        </w:rPr>
        <w:t xml:space="preserve">Therefore, the intra- and inter-assay precision and the accuracy for the determination of </w:t>
      </w:r>
      <w:r w:rsidR="001D5FE3" w:rsidRPr="0037405F">
        <w:rPr>
          <w:rFonts w:ascii="Times New Roman" w:hAnsi="Times New Roman" w:cs="Times New Roman"/>
          <w:color w:val="000000"/>
          <w:sz w:val="24"/>
          <w:szCs w:val="24"/>
        </w:rPr>
        <w:t xml:space="preserve">itraconazole and hydroxy itraconazole </w:t>
      </w:r>
      <w:r w:rsidRPr="0037405F">
        <w:rPr>
          <w:rFonts w:ascii="Times New Roman" w:hAnsi="Times New Roman" w:cs="Times New Roman"/>
          <w:color w:val="000000"/>
          <w:sz w:val="24"/>
          <w:szCs w:val="24"/>
        </w:rPr>
        <w:t>were acceptable.</w:t>
      </w:r>
    </w:p>
    <w:p w:rsidR="00FC5702" w:rsidRPr="00FC0390" w:rsidRDefault="00B61CEB" w:rsidP="00B8212E">
      <w:pPr>
        <w:spacing w:after="0" w:line="480" w:lineRule="auto"/>
        <w:jc w:val="both"/>
        <w:rPr>
          <w:rFonts w:ascii="Times New Roman" w:hAnsi="Times New Roman" w:cs="Times New Roman"/>
          <w:sz w:val="24"/>
          <w:szCs w:val="24"/>
        </w:rPr>
      </w:pPr>
      <w:r w:rsidRPr="0037405F">
        <w:rPr>
          <w:rFonts w:ascii="Times New Roman" w:hAnsi="Times New Roman" w:cs="Times New Roman"/>
          <w:color w:val="000000"/>
          <w:sz w:val="24"/>
          <w:szCs w:val="24"/>
        </w:rPr>
        <w:t>A dilution test was also performed to evaluate the preci</w:t>
      </w:r>
      <w:r w:rsidRPr="0037405F">
        <w:rPr>
          <w:rFonts w:ascii="Times New Roman" w:hAnsi="Times New Roman" w:cs="Times New Roman"/>
          <w:color w:val="000000"/>
          <w:sz w:val="24"/>
          <w:szCs w:val="24"/>
        </w:rPr>
        <w:softHyphen/>
        <w:t xml:space="preserve">sion and accuracy of the method for diluted samples. </w:t>
      </w:r>
      <w:r w:rsidR="002179A0" w:rsidRPr="0037405F">
        <w:rPr>
          <w:rFonts w:ascii="Times New Roman" w:hAnsi="Times New Roman" w:cs="Times New Roman"/>
          <w:sz w:val="24"/>
          <w:szCs w:val="24"/>
        </w:rPr>
        <w:t>Keeping in mind that some real samples may have analytes levels exceeding the maximum concentrations of the calibration curves, a past-dilution method 1</w:t>
      </w:r>
      <w:r w:rsidR="00E47A91" w:rsidRPr="0037405F">
        <w:rPr>
          <w:rFonts w:ascii="Times New Roman" w:hAnsi="Times New Roman" w:cs="Times New Roman"/>
          <w:sz w:val="24"/>
          <w:szCs w:val="24"/>
        </w:rPr>
        <w:t xml:space="preserve"> </w:t>
      </w:r>
      <w:r w:rsidR="002179A0" w:rsidRPr="0037405F">
        <w:rPr>
          <w:rFonts w:ascii="Times New Roman" w:hAnsi="Times New Roman" w:cs="Times New Roman"/>
          <w:sz w:val="24"/>
          <w:szCs w:val="24"/>
        </w:rPr>
        <w:t>+</w:t>
      </w:r>
      <w:r w:rsidR="00E47A91" w:rsidRPr="0037405F">
        <w:rPr>
          <w:rFonts w:ascii="Times New Roman" w:hAnsi="Times New Roman" w:cs="Times New Roman"/>
          <w:sz w:val="24"/>
          <w:szCs w:val="24"/>
        </w:rPr>
        <w:t xml:space="preserve"> </w:t>
      </w:r>
      <w:r w:rsidR="002179A0" w:rsidRPr="0037405F">
        <w:rPr>
          <w:rFonts w:ascii="Times New Roman" w:hAnsi="Times New Roman" w:cs="Times New Roman"/>
          <w:sz w:val="24"/>
          <w:szCs w:val="24"/>
        </w:rPr>
        <w:t>1 with blank plasma was validated. The dilution accuracy (calculated as CV of the replicated QC sample) have been +15% (85</w:t>
      </w:r>
      <w:r w:rsidR="00E47A91" w:rsidRPr="0037405F">
        <w:rPr>
          <w:rFonts w:ascii="Times New Roman" w:hAnsi="Times New Roman" w:cs="Times New Roman"/>
          <w:sz w:val="24"/>
          <w:szCs w:val="24"/>
        </w:rPr>
        <w:t xml:space="preserve"> - 115</w:t>
      </w:r>
      <w:r w:rsidR="002179A0" w:rsidRPr="0037405F">
        <w:rPr>
          <w:rFonts w:ascii="Times New Roman" w:hAnsi="Times New Roman" w:cs="Times New Roman"/>
          <w:sz w:val="24"/>
          <w:szCs w:val="24"/>
        </w:rPr>
        <w:t>%), like in undiluted QC sample. Blank plasma samples (n = 4) were spiked with both analytes at 150.00 ng/mL, 110.00 ng/mL and 50.00 ng/mL of itraconazole and of hydroxy itraconazole, respectively. Before preparation, samples were diluted 1 + 1 with other blank plasma: finally the diluted QC samples were extracted and analysed. The concentrations of itraconazole and hydroxy itraconazole were then back-calculated using normal calibration curves. The estimated concentrations have been compared with the theoretical-</w:t>
      </w:r>
      <w:r w:rsidR="008E00A4" w:rsidRPr="0037405F">
        <w:rPr>
          <w:rFonts w:ascii="Times New Roman" w:hAnsi="Times New Roman" w:cs="Times New Roman"/>
          <w:sz w:val="24"/>
          <w:szCs w:val="24"/>
        </w:rPr>
        <w:t xml:space="preserve">ones, and shown in Table </w:t>
      </w:r>
      <w:r w:rsidR="00A604C1">
        <w:rPr>
          <w:rFonts w:ascii="Times New Roman" w:hAnsi="Times New Roman" w:cs="Times New Roman"/>
          <w:sz w:val="24"/>
          <w:szCs w:val="24"/>
        </w:rPr>
        <w:t>2</w:t>
      </w:r>
      <w:r w:rsidR="002179A0" w:rsidRPr="0037405F">
        <w:rPr>
          <w:rFonts w:ascii="Times New Roman" w:hAnsi="Times New Roman" w:cs="Times New Roman"/>
          <w:sz w:val="24"/>
          <w:szCs w:val="24"/>
        </w:rPr>
        <w:t>.</w:t>
      </w:r>
    </w:p>
    <w:p w:rsidR="00997D79" w:rsidRPr="0037405F" w:rsidRDefault="00997D79" w:rsidP="00B8212E">
      <w:pPr>
        <w:pStyle w:val="BodyText"/>
        <w:spacing w:line="480" w:lineRule="auto"/>
        <w:rPr>
          <w:rFonts w:ascii="Times New Roman" w:hAnsi="Times New Roman"/>
          <w:b/>
          <w:color w:val="auto"/>
          <w:szCs w:val="24"/>
        </w:rPr>
      </w:pPr>
      <w:r w:rsidRPr="0037405F">
        <w:rPr>
          <w:rFonts w:ascii="Times New Roman" w:hAnsi="Times New Roman"/>
          <w:b/>
          <w:color w:val="auto"/>
          <w:szCs w:val="24"/>
        </w:rPr>
        <w:t>Specificity of the</w:t>
      </w:r>
      <w:r w:rsidRPr="0037405F">
        <w:rPr>
          <w:rFonts w:ascii="Times New Roman" w:hAnsi="Times New Roman"/>
          <w:b/>
          <w:color w:val="auto"/>
          <w:szCs w:val="24"/>
          <w:lang w:val="en-US"/>
        </w:rPr>
        <w:t xml:space="preserve"> </w:t>
      </w:r>
      <w:proofErr w:type="spellStart"/>
      <w:r w:rsidR="008E00A4" w:rsidRPr="0037405F">
        <w:rPr>
          <w:rFonts w:ascii="Times New Roman" w:hAnsi="Times New Roman"/>
          <w:b/>
          <w:color w:val="auto"/>
          <w:szCs w:val="24"/>
          <w:lang w:val="en-US"/>
        </w:rPr>
        <w:t>bioanalytical</w:t>
      </w:r>
      <w:proofErr w:type="spellEnd"/>
      <w:r w:rsidRPr="0037405F">
        <w:rPr>
          <w:rFonts w:ascii="Times New Roman" w:hAnsi="Times New Roman"/>
          <w:b/>
          <w:color w:val="auto"/>
          <w:szCs w:val="24"/>
        </w:rPr>
        <w:t xml:space="preserve"> method and matrix effect</w:t>
      </w:r>
    </w:p>
    <w:p w:rsidR="009659BC" w:rsidRPr="0037405F" w:rsidRDefault="00997D79" w:rsidP="00B8212E">
      <w:pPr>
        <w:spacing w:after="0" w:line="480" w:lineRule="auto"/>
        <w:jc w:val="both"/>
        <w:rPr>
          <w:rFonts w:ascii="Times New Roman" w:hAnsi="Times New Roman" w:cs="Times New Roman"/>
          <w:sz w:val="24"/>
          <w:szCs w:val="24"/>
        </w:rPr>
      </w:pPr>
      <w:r w:rsidRPr="0037405F">
        <w:rPr>
          <w:rFonts w:ascii="Times New Roman" w:hAnsi="Times New Roman" w:cs="Times New Roman"/>
          <w:sz w:val="24"/>
          <w:szCs w:val="24"/>
          <w:lang w:val="sl-SI"/>
        </w:rPr>
        <w:t xml:space="preserve">The chromatograms of blank, spiked and drug-administrated plasma samples were compared to determine the level of interference by endogenous co-eluent components in the quantification of </w:t>
      </w:r>
      <w:r w:rsidRPr="0037405F">
        <w:rPr>
          <w:rFonts w:ascii="Times New Roman" w:hAnsi="Times New Roman" w:cs="Times New Roman"/>
          <w:sz w:val="24"/>
          <w:szCs w:val="24"/>
        </w:rPr>
        <w:t xml:space="preserve">of </w:t>
      </w:r>
      <w:r w:rsidRPr="0037405F">
        <w:rPr>
          <w:rFonts w:ascii="Times New Roman" w:hAnsi="Times New Roman" w:cs="Times New Roman"/>
          <w:bCs/>
          <w:sz w:val="24"/>
          <w:szCs w:val="24"/>
        </w:rPr>
        <w:t>itraconazole and hydroxy itraconazole</w:t>
      </w:r>
      <w:r w:rsidRPr="0037405F">
        <w:rPr>
          <w:rFonts w:ascii="Times New Roman" w:hAnsi="Times New Roman" w:cs="Times New Roman"/>
          <w:sz w:val="24"/>
          <w:szCs w:val="24"/>
        </w:rPr>
        <w:t xml:space="preserve">. Analyses were performed on 6 </w:t>
      </w:r>
      <w:r w:rsidRPr="0037405F">
        <w:rPr>
          <w:rFonts w:ascii="Times New Roman" w:hAnsi="Times New Roman" w:cs="Times New Roman"/>
          <w:sz w:val="24"/>
          <w:szCs w:val="24"/>
        </w:rPr>
        <w:lastRenderedPageBreak/>
        <w:t>blank plasma samples from different healthy volunteers (including a lipemic and a haemolytic sample) without addition of internal standard then with addition of the internal standard or itraconazole or hydroxy itraconazole; no peak, interfering with those of itraconazole, hydroxy itraconazole or the internal standard, must appear.</w:t>
      </w:r>
      <w:r w:rsidR="009659BC" w:rsidRPr="0037405F">
        <w:rPr>
          <w:rFonts w:ascii="Times New Roman" w:hAnsi="Times New Roman" w:cs="Times New Roman"/>
          <w:sz w:val="24"/>
          <w:szCs w:val="24"/>
        </w:rPr>
        <w:t xml:space="preserve"> </w:t>
      </w:r>
      <w:r w:rsidRPr="0037405F">
        <w:rPr>
          <w:rFonts w:ascii="Times New Roman" w:hAnsi="Times New Roman" w:cs="Times New Roman"/>
          <w:sz w:val="24"/>
          <w:szCs w:val="24"/>
        </w:rPr>
        <w:t>The selectivity at LLOQ concentration level is part of the limit of quantification test as outlined in a previous paragraph.</w:t>
      </w:r>
      <w:r w:rsidR="009659BC" w:rsidRPr="0037405F">
        <w:rPr>
          <w:rFonts w:ascii="Times New Roman" w:hAnsi="Times New Roman" w:cs="Times New Roman"/>
          <w:sz w:val="24"/>
          <w:szCs w:val="24"/>
        </w:rPr>
        <w:t xml:space="preserve"> </w:t>
      </w:r>
      <w:r w:rsidRPr="0037405F">
        <w:rPr>
          <w:rFonts w:ascii="Times New Roman" w:hAnsi="Times New Roman" w:cs="Times New Roman"/>
          <w:sz w:val="24"/>
          <w:szCs w:val="24"/>
        </w:rPr>
        <w:t>No significant matrix effect was observed for analyte in the plasma samples. The possibility of matrix effect caused by ionization competition between the analytes and the endogenous co-eluents was evaluated by QC low (2.00 ng/mL) and QC high (75.00 ng/mL) samples in six replicates. The results of matrix effect were acquired from comparing the peak responses of the post extraction spiked samples with those of the standard solution and suggested negligible matrix effect in this method</w:t>
      </w:r>
      <w:r w:rsidR="00A604C1">
        <w:rPr>
          <w:rFonts w:ascii="Times New Roman" w:hAnsi="Times New Roman" w:cs="Times New Roman"/>
          <w:sz w:val="24"/>
          <w:szCs w:val="24"/>
        </w:rPr>
        <w:t xml:space="preserve"> (Table 1</w:t>
      </w:r>
      <w:r w:rsidR="009659BC" w:rsidRPr="0037405F">
        <w:rPr>
          <w:rFonts w:ascii="Times New Roman" w:hAnsi="Times New Roman" w:cs="Times New Roman"/>
          <w:sz w:val="24"/>
          <w:szCs w:val="24"/>
        </w:rPr>
        <w:t>)</w:t>
      </w:r>
      <w:r w:rsidRPr="0037405F">
        <w:rPr>
          <w:rFonts w:ascii="Times New Roman" w:hAnsi="Times New Roman" w:cs="Times New Roman"/>
          <w:sz w:val="24"/>
          <w:szCs w:val="24"/>
        </w:rPr>
        <w:t xml:space="preserve">. </w:t>
      </w:r>
    </w:p>
    <w:p w:rsidR="008F3F34" w:rsidRPr="0037405F" w:rsidRDefault="00997D79" w:rsidP="00B8212E">
      <w:pPr>
        <w:spacing w:after="0" w:line="480" w:lineRule="auto"/>
        <w:jc w:val="both"/>
        <w:rPr>
          <w:rFonts w:ascii="Times New Roman" w:hAnsi="Times New Roman" w:cs="Times New Roman"/>
          <w:color w:val="000000"/>
          <w:sz w:val="24"/>
          <w:szCs w:val="24"/>
        </w:rPr>
      </w:pPr>
      <w:r w:rsidRPr="0037405F">
        <w:rPr>
          <w:rFonts w:ascii="Times New Roman" w:hAnsi="Times New Roman" w:cs="Times New Roman"/>
          <w:sz w:val="24"/>
          <w:szCs w:val="24"/>
        </w:rPr>
        <w:t>For all the tested concentrations, the ratios of the peak response from 93.00 to 103.00% were within an acceptable range.</w:t>
      </w:r>
      <w:r w:rsidR="00487100" w:rsidRPr="0037405F">
        <w:rPr>
          <w:rFonts w:ascii="Times New Roman" w:hAnsi="Times New Roman" w:cs="Times New Roman"/>
          <w:sz w:val="24"/>
          <w:szCs w:val="24"/>
        </w:rPr>
        <w:t xml:space="preserve"> </w:t>
      </w:r>
      <w:r w:rsidRPr="0037405F">
        <w:rPr>
          <w:rFonts w:ascii="Times New Roman" w:hAnsi="Times New Roman" w:cs="Times New Roman"/>
          <w:color w:val="000000"/>
          <w:sz w:val="24"/>
          <w:szCs w:val="24"/>
        </w:rPr>
        <w:t>These results indicated that ion suppression or enhancement from the plasma matrix was negligible under the current conditions.</w:t>
      </w:r>
    </w:p>
    <w:p w:rsidR="008F3F34" w:rsidRPr="0037405F" w:rsidRDefault="008F3F34" w:rsidP="00B8212E">
      <w:pPr>
        <w:spacing w:after="0" w:line="480" w:lineRule="auto"/>
        <w:jc w:val="both"/>
        <w:rPr>
          <w:rFonts w:ascii="Times New Roman" w:hAnsi="Times New Roman" w:cs="Times New Roman"/>
          <w:b/>
          <w:sz w:val="24"/>
          <w:szCs w:val="24"/>
        </w:rPr>
      </w:pPr>
      <w:r w:rsidRPr="0037405F">
        <w:rPr>
          <w:rFonts w:ascii="Times New Roman" w:hAnsi="Times New Roman" w:cs="Times New Roman"/>
          <w:b/>
          <w:sz w:val="24"/>
          <w:szCs w:val="24"/>
        </w:rPr>
        <w:t>Criteria for quality control of quantitative data</w:t>
      </w:r>
    </w:p>
    <w:p w:rsidR="008E00A4" w:rsidRPr="0037405F" w:rsidRDefault="008F3F34" w:rsidP="00B8212E">
      <w:pPr>
        <w:spacing w:after="0" w:line="480" w:lineRule="auto"/>
        <w:jc w:val="both"/>
        <w:rPr>
          <w:rFonts w:ascii="Times New Roman" w:hAnsi="Times New Roman" w:cs="Times New Roman"/>
          <w:sz w:val="24"/>
          <w:szCs w:val="24"/>
        </w:rPr>
      </w:pPr>
      <w:r w:rsidRPr="0037405F">
        <w:rPr>
          <w:rFonts w:ascii="Times New Roman" w:hAnsi="Times New Roman" w:cs="Times New Roman"/>
          <w:sz w:val="24"/>
          <w:szCs w:val="24"/>
        </w:rPr>
        <w:t>In each sequence of analytical runs the following parameters were verified in order to accept the analytical data:</w:t>
      </w:r>
      <w:r w:rsidR="00E47A91" w:rsidRPr="0037405F">
        <w:rPr>
          <w:rFonts w:ascii="Times New Roman" w:hAnsi="Times New Roman" w:cs="Times New Roman"/>
          <w:sz w:val="24"/>
          <w:szCs w:val="24"/>
        </w:rPr>
        <w:t xml:space="preserve"> </w:t>
      </w:r>
    </w:p>
    <w:p w:rsidR="008E00A4" w:rsidRPr="0037405F" w:rsidRDefault="008F3F34" w:rsidP="00B8212E">
      <w:pPr>
        <w:spacing w:after="0" w:line="480" w:lineRule="auto"/>
        <w:jc w:val="both"/>
        <w:rPr>
          <w:rFonts w:ascii="Times New Roman" w:hAnsi="Times New Roman" w:cs="Times New Roman"/>
          <w:sz w:val="24"/>
          <w:szCs w:val="24"/>
        </w:rPr>
      </w:pPr>
      <w:r w:rsidRPr="0037405F">
        <w:rPr>
          <w:rFonts w:ascii="Times New Roman" w:hAnsi="Times New Roman" w:cs="Times New Roman"/>
          <w:sz w:val="24"/>
          <w:szCs w:val="24"/>
        </w:rPr>
        <w:t xml:space="preserve">1) Calibration graph with a coefficient of determination </w:t>
      </w:r>
      <w:r w:rsidRPr="0037405F">
        <w:rPr>
          <w:rFonts w:ascii="Times New Roman" w:hAnsi="Times New Roman" w:cs="Times New Roman"/>
          <w:i/>
          <w:sz w:val="24"/>
          <w:szCs w:val="24"/>
        </w:rPr>
        <w:t>r</w:t>
      </w:r>
      <w:r w:rsidRPr="0037405F">
        <w:rPr>
          <w:rFonts w:ascii="Times New Roman" w:hAnsi="Times New Roman" w:cs="Times New Roman"/>
          <w:i/>
          <w:sz w:val="24"/>
          <w:szCs w:val="24"/>
          <w:vertAlign w:val="superscript"/>
        </w:rPr>
        <w:t xml:space="preserve">2 </w:t>
      </w:r>
      <w:r w:rsidRPr="0037405F">
        <w:rPr>
          <w:rFonts w:ascii="Times New Roman" w:hAnsi="Times New Roman" w:cs="Times New Roman"/>
          <w:sz w:val="24"/>
          <w:szCs w:val="24"/>
        </w:rPr>
        <w:t>&gt; 0.99;</w:t>
      </w:r>
      <w:r w:rsidR="00E47A91" w:rsidRPr="0037405F">
        <w:rPr>
          <w:rFonts w:ascii="Times New Roman" w:hAnsi="Times New Roman" w:cs="Times New Roman"/>
          <w:sz w:val="24"/>
          <w:szCs w:val="24"/>
        </w:rPr>
        <w:t xml:space="preserve"> </w:t>
      </w:r>
    </w:p>
    <w:p w:rsidR="008E00A4" w:rsidRPr="0037405F" w:rsidRDefault="008F3F34" w:rsidP="00B8212E">
      <w:pPr>
        <w:spacing w:after="0" w:line="480" w:lineRule="auto"/>
        <w:jc w:val="both"/>
        <w:rPr>
          <w:rFonts w:ascii="Times New Roman" w:hAnsi="Times New Roman" w:cs="Times New Roman"/>
          <w:sz w:val="24"/>
          <w:szCs w:val="24"/>
        </w:rPr>
      </w:pPr>
      <w:r w:rsidRPr="0037405F">
        <w:rPr>
          <w:rFonts w:ascii="Times New Roman" w:hAnsi="Times New Roman" w:cs="Times New Roman"/>
          <w:sz w:val="24"/>
          <w:szCs w:val="24"/>
        </w:rPr>
        <w:t>2) At least 75% of these standards must be within +15% of their nominal value (+20% for the lower limit calibrator;</w:t>
      </w:r>
      <w:r w:rsidR="00E47A91" w:rsidRPr="0037405F">
        <w:rPr>
          <w:rFonts w:ascii="Times New Roman" w:hAnsi="Times New Roman" w:cs="Times New Roman"/>
          <w:sz w:val="24"/>
          <w:szCs w:val="24"/>
        </w:rPr>
        <w:t xml:space="preserve"> </w:t>
      </w:r>
    </w:p>
    <w:p w:rsidR="008E00A4" w:rsidRPr="0037405F" w:rsidRDefault="008F3F34" w:rsidP="00B8212E">
      <w:pPr>
        <w:spacing w:after="0" w:line="480" w:lineRule="auto"/>
        <w:jc w:val="both"/>
        <w:rPr>
          <w:rFonts w:ascii="Times New Roman" w:hAnsi="Times New Roman" w:cs="Times New Roman"/>
          <w:sz w:val="24"/>
          <w:szCs w:val="24"/>
        </w:rPr>
      </w:pPr>
      <w:r w:rsidRPr="0037405F">
        <w:rPr>
          <w:rFonts w:ascii="Times New Roman" w:hAnsi="Times New Roman" w:cs="Times New Roman"/>
          <w:sz w:val="24"/>
          <w:szCs w:val="24"/>
        </w:rPr>
        <w:t>3) Calibration points outside these limits can be removed, except LLOQ and the highest p</w:t>
      </w:r>
      <w:r w:rsidR="00E47A91" w:rsidRPr="0037405F">
        <w:rPr>
          <w:rFonts w:ascii="Times New Roman" w:hAnsi="Times New Roman" w:cs="Times New Roman"/>
          <w:sz w:val="24"/>
          <w:szCs w:val="24"/>
        </w:rPr>
        <w:t>oint, provided that at least 75</w:t>
      </w:r>
      <w:r w:rsidRPr="0037405F">
        <w:rPr>
          <w:rFonts w:ascii="Times New Roman" w:hAnsi="Times New Roman" w:cs="Times New Roman"/>
          <w:sz w:val="24"/>
          <w:szCs w:val="24"/>
        </w:rPr>
        <w:t>% of the points will remain and that the regression model doesn’t change;</w:t>
      </w:r>
      <w:r w:rsidR="00E47A91" w:rsidRPr="0037405F">
        <w:rPr>
          <w:rFonts w:ascii="Times New Roman" w:hAnsi="Times New Roman" w:cs="Times New Roman"/>
          <w:sz w:val="24"/>
          <w:szCs w:val="24"/>
        </w:rPr>
        <w:t xml:space="preserve"> </w:t>
      </w:r>
    </w:p>
    <w:p w:rsidR="008F3F34" w:rsidRPr="0037405F" w:rsidRDefault="008F3F34" w:rsidP="00B8212E">
      <w:pPr>
        <w:spacing w:after="0" w:line="480" w:lineRule="auto"/>
        <w:jc w:val="both"/>
        <w:rPr>
          <w:rFonts w:ascii="Times New Roman" w:hAnsi="Times New Roman" w:cs="Times New Roman"/>
          <w:color w:val="000000"/>
          <w:sz w:val="24"/>
          <w:szCs w:val="24"/>
        </w:rPr>
      </w:pPr>
      <w:r w:rsidRPr="0037405F">
        <w:rPr>
          <w:rFonts w:ascii="Times New Roman" w:hAnsi="Times New Roman" w:cs="Times New Roman"/>
          <w:sz w:val="24"/>
          <w:szCs w:val="24"/>
        </w:rPr>
        <w:t>4) At least two-thirds of the QC samples periodically analysed in the whole sequence, at each concentration, must be within +1</w:t>
      </w:r>
      <w:r w:rsidR="00E47A91" w:rsidRPr="0037405F">
        <w:rPr>
          <w:rFonts w:ascii="Times New Roman" w:hAnsi="Times New Roman" w:cs="Times New Roman"/>
          <w:sz w:val="24"/>
          <w:szCs w:val="24"/>
        </w:rPr>
        <w:t>5</w:t>
      </w:r>
      <w:r w:rsidRPr="0037405F">
        <w:rPr>
          <w:rFonts w:ascii="Times New Roman" w:hAnsi="Times New Roman" w:cs="Times New Roman"/>
          <w:sz w:val="24"/>
          <w:szCs w:val="24"/>
        </w:rPr>
        <w:t>% of their nominal value.</w:t>
      </w:r>
    </w:p>
    <w:p w:rsidR="008E00A4" w:rsidRPr="0037405F" w:rsidRDefault="008F3F34" w:rsidP="00B8212E">
      <w:pPr>
        <w:pStyle w:val="BodyText4"/>
        <w:shd w:val="clear" w:color="auto" w:fill="auto"/>
        <w:tabs>
          <w:tab w:val="left" w:pos="284"/>
        </w:tabs>
        <w:spacing w:before="0" w:after="0" w:line="480" w:lineRule="auto"/>
        <w:ind w:firstLine="0"/>
        <w:jc w:val="both"/>
        <w:rPr>
          <w:rFonts w:ascii="Times New Roman" w:hAnsi="Times New Roman" w:cs="Times New Roman"/>
          <w:sz w:val="24"/>
          <w:szCs w:val="24"/>
        </w:rPr>
      </w:pPr>
      <w:r w:rsidRPr="0037405F">
        <w:rPr>
          <w:rFonts w:ascii="Times New Roman" w:hAnsi="Times New Roman" w:cs="Times New Roman"/>
          <w:sz w:val="24"/>
          <w:szCs w:val="24"/>
        </w:rPr>
        <w:lastRenderedPageBreak/>
        <w:t>The following procedures were to be followed in case of abnormal results:</w:t>
      </w:r>
      <w:r w:rsidR="00E47A91" w:rsidRPr="0037405F">
        <w:rPr>
          <w:rFonts w:ascii="Times New Roman" w:hAnsi="Times New Roman" w:cs="Times New Roman"/>
          <w:sz w:val="24"/>
          <w:szCs w:val="24"/>
        </w:rPr>
        <w:t xml:space="preserve"> </w:t>
      </w:r>
    </w:p>
    <w:p w:rsidR="008E00A4" w:rsidRPr="0037405F" w:rsidRDefault="00E47A91" w:rsidP="00B8212E">
      <w:pPr>
        <w:pStyle w:val="BodyText4"/>
        <w:shd w:val="clear" w:color="auto" w:fill="auto"/>
        <w:tabs>
          <w:tab w:val="left" w:pos="284"/>
        </w:tabs>
        <w:spacing w:before="0" w:after="0" w:line="480" w:lineRule="auto"/>
        <w:ind w:firstLine="0"/>
        <w:jc w:val="both"/>
        <w:rPr>
          <w:rFonts w:ascii="Times New Roman" w:hAnsi="Times New Roman" w:cs="Times New Roman"/>
          <w:sz w:val="24"/>
          <w:szCs w:val="24"/>
        </w:rPr>
      </w:pPr>
      <w:r w:rsidRPr="0037405F">
        <w:rPr>
          <w:rFonts w:ascii="Times New Roman" w:hAnsi="Times New Roman" w:cs="Times New Roman"/>
          <w:sz w:val="24"/>
          <w:szCs w:val="24"/>
        </w:rPr>
        <w:t xml:space="preserve">1) </w:t>
      </w:r>
      <w:r w:rsidR="008F3F34" w:rsidRPr="0037405F">
        <w:rPr>
          <w:rFonts w:ascii="Times New Roman" w:hAnsi="Times New Roman" w:cs="Times New Roman"/>
          <w:sz w:val="24"/>
          <w:szCs w:val="24"/>
        </w:rPr>
        <w:t>If a sequence has a calibration graph outside the indicated limit, all the sequence is repeated: only the results of the repetition are considered;</w:t>
      </w:r>
      <w:r w:rsidRPr="0037405F">
        <w:rPr>
          <w:rFonts w:ascii="Times New Roman" w:hAnsi="Times New Roman" w:cs="Times New Roman"/>
          <w:sz w:val="24"/>
          <w:szCs w:val="24"/>
        </w:rPr>
        <w:t xml:space="preserve"> </w:t>
      </w:r>
    </w:p>
    <w:p w:rsidR="008E00A4" w:rsidRPr="0037405F" w:rsidRDefault="00E47A91" w:rsidP="00B8212E">
      <w:pPr>
        <w:pStyle w:val="BodyText4"/>
        <w:shd w:val="clear" w:color="auto" w:fill="auto"/>
        <w:tabs>
          <w:tab w:val="left" w:pos="284"/>
        </w:tabs>
        <w:spacing w:before="0" w:after="0" w:line="480" w:lineRule="auto"/>
        <w:ind w:firstLine="0"/>
        <w:jc w:val="both"/>
        <w:rPr>
          <w:rFonts w:ascii="Times New Roman" w:hAnsi="Times New Roman" w:cs="Times New Roman"/>
          <w:sz w:val="24"/>
          <w:szCs w:val="24"/>
        </w:rPr>
      </w:pPr>
      <w:r w:rsidRPr="0037405F">
        <w:rPr>
          <w:rFonts w:ascii="Times New Roman" w:hAnsi="Times New Roman" w:cs="Times New Roman"/>
          <w:sz w:val="24"/>
          <w:szCs w:val="24"/>
        </w:rPr>
        <w:t xml:space="preserve">2) </w:t>
      </w:r>
      <w:r w:rsidR="008F3F34" w:rsidRPr="0037405F">
        <w:rPr>
          <w:rFonts w:ascii="Times New Roman" w:hAnsi="Times New Roman" w:cs="Times New Roman"/>
          <w:sz w:val="24"/>
          <w:szCs w:val="24"/>
        </w:rPr>
        <w:t>If a sequence has a correct calibration graph but the QC samples at any concentration overcome the accuracy limits, all sequence is repeated; only the results of the repetition are considered;</w:t>
      </w:r>
      <w:r w:rsidRPr="0037405F">
        <w:rPr>
          <w:rFonts w:ascii="Times New Roman" w:hAnsi="Times New Roman" w:cs="Times New Roman"/>
          <w:sz w:val="24"/>
          <w:szCs w:val="24"/>
        </w:rPr>
        <w:t xml:space="preserve"> </w:t>
      </w:r>
    </w:p>
    <w:p w:rsidR="008E00A4" w:rsidRPr="0037405F" w:rsidRDefault="00E47A91" w:rsidP="00B8212E">
      <w:pPr>
        <w:pStyle w:val="BodyText4"/>
        <w:shd w:val="clear" w:color="auto" w:fill="auto"/>
        <w:tabs>
          <w:tab w:val="left" w:pos="284"/>
        </w:tabs>
        <w:spacing w:before="0" w:after="0" w:line="480" w:lineRule="auto"/>
        <w:ind w:firstLine="0"/>
        <w:jc w:val="both"/>
        <w:rPr>
          <w:rFonts w:ascii="Times New Roman" w:hAnsi="Times New Roman" w:cs="Times New Roman"/>
          <w:sz w:val="24"/>
          <w:szCs w:val="24"/>
        </w:rPr>
      </w:pPr>
      <w:r w:rsidRPr="0037405F">
        <w:rPr>
          <w:rFonts w:ascii="Times New Roman" w:hAnsi="Times New Roman" w:cs="Times New Roman"/>
          <w:sz w:val="24"/>
          <w:szCs w:val="24"/>
        </w:rPr>
        <w:t xml:space="preserve">3) </w:t>
      </w:r>
      <w:r w:rsidR="008F3F34" w:rsidRPr="0037405F">
        <w:rPr>
          <w:rFonts w:ascii="Times New Roman" w:hAnsi="Times New Roman" w:cs="Times New Roman"/>
          <w:sz w:val="24"/>
          <w:szCs w:val="24"/>
        </w:rPr>
        <w:t>If samples present estimated concentration exceeding the upper limit of the calibration curve analyses are repeated once after past dilution with blank plasma; only the results of the diluted repetition of the analyte exceeding the limits (multiplied by the dilution factor) are considered;</w:t>
      </w:r>
      <w:r w:rsidRPr="0037405F">
        <w:rPr>
          <w:rFonts w:ascii="Times New Roman" w:hAnsi="Times New Roman" w:cs="Times New Roman"/>
          <w:sz w:val="24"/>
          <w:szCs w:val="24"/>
        </w:rPr>
        <w:t xml:space="preserve"> </w:t>
      </w:r>
    </w:p>
    <w:p w:rsidR="008E00A4" w:rsidRPr="0037405F" w:rsidRDefault="00E47A91" w:rsidP="00B8212E">
      <w:pPr>
        <w:pStyle w:val="BodyText4"/>
        <w:shd w:val="clear" w:color="auto" w:fill="auto"/>
        <w:tabs>
          <w:tab w:val="left" w:pos="284"/>
        </w:tabs>
        <w:spacing w:before="0" w:after="0" w:line="480" w:lineRule="auto"/>
        <w:ind w:firstLine="0"/>
        <w:jc w:val="both"/>
        <w:rPr>
          <w:rFonts w:ascii="Times New Roman" w:hAnsi="Times New Roman" w:cs="Times New Roman"/>
          <w:sz w:val="24"/>
          <w:szCs w:val="24"/>
        </w:rPr>
      </w:pPr>
      <w:r w:rsidRPr="0037405F">
        <w:rPr>
          <w:rFonts w:ascii="Times New Roman" w:hAnsi="Times New Roman" w:cs="Times New Roman"/>
          <w:sz w:val="24"/>
          <w:szCs w:val="24"/>
        </w:rPr>
        <w:t xml:space="preserve">4) </w:t>
      </w:r>
      <w:r w:rsidR="008F3F34" w:rsidRPr="0037405F">
        <w:rPr>
          <w:rFonts w:ascii="Times New Roman" w:hAnsi="Times New Roman" w:cs="Times New Roman"/>
          <w:sz w:val="24"/>
          <w:szCs w:val="24"/>
        </w:rPr>
        <w:t>Analyses giving concentrations below the lower limit of the calibration curve are considered equal to zero;</w:t>
      </w:r>
      <w:r w:rsidRPr="0037405F">
        <w:rPr>
          <w:rFonts w:ascii="Times New Roman" w:hAnsi="Times New Roman" w:cs="Times New Roman"/>
          <w:sz w:val="24"/>
          <w:szCs w:val="24"/>
        </w:rPr>
        <w:t xml:space="preserve"> </w:t>
      </w:r>
    </w:p>
    <w:p w:rsidR="008E00A4" w:rsidRPr="0037405F" w:rsidRDefault="00E47A91" w:rsidP="00B8212E">
      <w:pPr>
        <w:pStyle w:val="BodyText4"/>
        <w:shd w:val="clear" w:color="auto" w:fill="auto"/>
        <w:tabs>
          <w:tab w:val="left" w:pos="284"/>
        </w:tabs>
        <w:spacing w:before="0" w:after="0" w:line="480" w:lineRule="auto"/>
        <w:ind w:firstLine="0"/>
        <w:jc w:val="both"/>
        <w:rPr>
          <w:rFonts w:ascii="Times New Roman" w:hAnsi="Times New Roman" w:cs="Times New Roman"/>
          <w:sz w:val="24"/>
          <w:szCs w:val="24"/>
        </w:rPr>
      </w:pPr>
      <w:r w:rsidRPr="0037405F">
        <w:rPr>
          <w:rFonts w:ascii="Times New Roman" w:hAnsi="Times New Roman" w:cs="Times New Roman"/>
          <w:sz w:val="24"/>
          <w:szCs w:val="24"/>
        </w:rPr>
        <w:t xml:space="preserve">5) </w:t>
      </w:r>
      <w:r w:rsidR="008F3F34" w:rsidRPr="0037405F">
        <w:rPr>
          <w:rFonts w:ascii="Times New Roman" w:hAnsi="Times New Roman" w:cs="Times New Roman"/>
          <w:sz w:val="24"/>
          <w:szCs w:val="24"/>
        </w:rPr>
        <w:t>Samples not showing the peak of the internal standard due to wrong preparation and/or documented technical fault (i.e. autosampler failure, low gas pressure, partially clogged mass spectrometer orifice) are repeated once and only the results of the repetitions are considered;</w:t>
      </w:r>
      <w:r w:rsidRPr="0037405F">
        <w:rPr>
          <w:rFonts w:ascii="Times New Roman" w:hAnsi="Times New Roman" w:cs="Times New Roman"/>
          <w:sz w:val="24"/>
          <w:szCs w:val="24"/>
        </w:rPr>
        <w:t xml:space="preserve"> </w:t>
      </w:r>
    </w:p>
    <w:p w:rsidR="008E00A4" w:rsidRPr="0037405F" w:rsidRDefault="00E47A91" w:rsidP="00B8212E">
      <w:pPr>
        <w:pStyle w:val="BodyText4"/>
        <w:shd w:val="clear" w:color="auto" w:fill="auto"/>
        <w:tabs>
          <w:tab w:val="left" w:pos="284"/>
        </w:tabs>
        <w:spacing w:before="0" w:after="0" w:line="480" w:lineRule="auto"/>
        <w:ind w:firstLine="0"/>
        <w:jc w:val="both"/>
        <w:rPr>
          <w:rFonts w:ascii="Times New Roman" w:hAnsi="Times New Roman" w:cs="Times New Roman"/>
          <w:sz w:val="24"/>
          <w:szCs w:val="24"/>
        </w:rPr>
      </w:pPr>
      <w:r w:rsidRPr="0037405F">
        <w:rPr>
          <w:rFonts w:ascii="Times New Roman" w:hAnsi="Times New Roman" w:cs="Times New Roman"/>
          <w:sz w:val="24"/>
          <w:szCs w:val="24"/>
        </w:rPr>
        <w:t xml:space="preserve">6) </w:t>
      </w:r>
      <w:r w:rsidR="008F3F34" w:rsidRPr="0037405F">
        <w:rPr>
          <w:rFonts w:ascii="Times New Roman" w:hAnsi="Times New Roman" w:cs="Times New Roman"/>
          <w:sz w:val="24"/>
          <w:szCs w:val="24"/>
        </w:rPr>
        <w:t>Samples with defective labeling or not properly handled during the transport (broken tubes, open tubes, others) are repeated 3 times from the other set of samples and only the means of the repetition results are considered;</w:t>
      </w:r>
      <w:r w:rsidRPr="0037405F">
        <w:rPr>
          <w:rFonts w:ascii="Times New Roman" w:hAnsi="Times New Roman" w:cs="Times New Roman"/>
          <w:sz w:val="24"/>
          <w:szCs w:val="24"/>
        </w:rPr>
        <w:t xml:space="preserve"> </w:t>
      </w:r>
    </w:p>
    <w:p w:rsidR="00997D79" w:rsidRPr="0037405F" w:rsidRDefault="00E47A91" w:rsidP="00B8212E">
      <w:pPr>
        <w:pStyle w:val="BodyText4"/>
        <w:shd w:val="clear" w:color="auto" w:fill="auto"/>
        <w:tabs>
          <w:tab w:val="left" w:pos="284"/>
        </w:tabs>
        <w:spacing w:before="0" w:after="0" w:line="480" w:lineRule="auto"/>
        <w:ind w:firstLine="0"/>
        <w:jc w:val="both"/>
        <w:rPr>
          <w:rFonts w:ascii="Times New Roman" w:hAnsi="Times New Roman" w:cs="Times New Roman"/>
          <w:sz w:val="24"/>
          <w:szCs w:val="24"/>
        </w:rPr>
      </w:pPr>
      <w:r w:rsidRPr="0037405F">
        <w:rPr>
          <w:rFonts w:ascii="Times New Roman" w:hAnsi="Times New Roman" w:cs="Times New Roman"/>
          <w:sz w:val="24"/>
          <w:szCs w:val="24"/>
        </w:rPr>
        <w:t xml:space="preserve">7) </w:t>
      </w:r>
      <w:r w:rsidR="008F3F34" w:rsidRPr="0037405F">
        <w:rPr>
          <w:rFonts w:ascii="Times New Roman" w:hAnsi="Times New Roman" w:cs="Times New Roman"/>
          <w:sz w:val="24"/>
          <w:szCs w:val="24"/>
        </w:rPr>
        <w:t>If samples give concentrations that do not fit adequately in the individual pharmacokinetic profile, as evaluated by the pharmacokinetic responsible, or the chromatography is not satisfactory the same samples are repeated 3 times; the mean values of these replicates and of all measurements for the critical analyte are reported in this report and are used for the final pharmacokinetic calculations. In case of time 0 samples if the individual values of the 3 repetitions are below LLOQ the original value is not considered in calculation as for wrong prepared samples.</w:t>
      </w:r>
    </w:p>
    <w:p w:rsidR="00B61CEB" w:rsidRPr="0037405F" w:rsidRDefault="00B61CEB" w:rsidP="00B8212E">
      <w:pPr>
        <w:autoSpaceDE w:val="0"/>
        <w:autoSpaceDN w:val="0"/>
        <w:adjustRightInd w:val="0"/>
        <w:spacing w:after="0" w:line="480" w:lineRule="auto"/>
        <w:jc w:val="both"/>
        <w:rPr>
          <w:rFonts w:ascii="Times New Roman" w:hAnsi="Times New Roman" w:cs="Times New Roman"/>
          <w:b/>
          <w:color w:val="000000"/>
          <w:sz w:val="24"/>
          <w:szCs w:val="24"/>
        </w:rPr>
      </w:pPr>
      <w:r w:rsidRPr="0037405F">
        <w:rPr>
          <w:rFonts w:ascii="Times New Roman" w:hAnsi="Times New Roman" w:cs="Times New Roman"/>
          <w:b/>
          <w:color w:val="000000"/>
          <w:sz w:val="24"/>
          <w:szCs w:val="24"/>
        </w:rPr>
        <w:lastRenderedPageBreak/>
        <w:t>Stability</w:t>
      </w:r>
    </w:p>
    <w:p w:rsidR="00487100" w:rsidRPr="0037405F" w:rsidRDefault="00487100" w:rsidP="00B8212E">
      <w:pPr>
        <w:pStyle w:val="BodyText7"/>
        <w:shd w:val="clear" w:color="auto" w:fill="auto"/>
        <w:spacing w:before="0" w:after="0" w:line="480" w:lineRule="auto"/>
        <w:ind w:firstLine="0"/>
        <w:jc w:val="both"/>
        <w:rPr>
          <w:sz w:val="24"/>
          <w:szCs w:val="24"/>
        </w:rPr>
      </w:pPr>
      <w:r w:rsidRPr="0037405F">
        <w:rPr>
          <w:sz w:val="24"/>
          <w:szCs w:val="24"/>
        </w:rPr>
        <w:t>The plasma samples were stored at -70</w:t>
      </w:r>
      <w:r w:rsidRPr="0037405F">
        <w:rPr>
          <w:sz w:val="24"/>
          <w:szCs w:val="24"/>
          <w:vertAlign w:val="superscript"/>
        </w:rPr>
        <w:t>0</w:t>
      </w:r>
      <w:r w:rsidRPr="0037405F">
        <w:rPr>
          <w:sz w:val="24"/>
          <w:szCs w:val="24"/>
        </w:rPr>
        <w:t xml:space="preserve">C. Spiked plasma samples were stored in these conditions up to 2 weeks in order to exclude significant degradation of </w:t>
      </w:r>
      <w:proofErr w:type="spellStart"/>
      <w:r w:rsidRPr="0037405F">
        <w:rPr>
          <w:sz w:val="24"/>
          <w:szCs w:val="24"/>
        </w:rPr>
        <w:t>itraconazole</w:t>
      </w:r>
      <w:proofErr w:type="spellEnd"/>
      <w:r w:rsidRPr="0037405F">
        <w:rPr>
          <w:sz w:val="24"/>
          <w:szCs w:val="24"/>
        </w:rPr>
        <w:t xml:space="preserve"> and </w:t>
      </w:r>
      <w:proofErr w:type="spellStart"/>
      <w:r w:rsidRPr="0037405F">
        <w:rPr>
          <w:sz w:val="24"/>
          <w:szCs w:val="24"/>
        </w:rPr>
        <w:t>hydroxy</w:t>
      </w:r>
      <w:proofErr w:type="spellEnd"/>
      <w:r w:rsidRPr="0037405F">
        <w:rPr>
          <w:sz w:val="24"/>
          <w:szCs w:val="24"/>
        </w:rPr>
        <w:t xml:space="preserve"> </w:t>
      </w:r>
      <w:proofErr w:type="spellStart"/>
      <w:r w:rsidRPr="0037405F">
        <w:rPr>
          <w:sz w:val="24"/>
          <w:szCs w:val="24"/>
        </w:rPr>
        <w:t>itraconazole</w:t>
      </w:r>
      <w:proofErr w:type="spellEnd"/>
      <w:r w:rsidRPr="0037405F">
        <w:rPr>
          <w:sz w:val="24"/>
          <w:szCs w:val="24"/>
        </w:rPr>
        <w:t>. An extended stability (up to 6 months) was validated next, when the prepared spiked samples were accomplished this storage period. The stability was also tested on spiked plasma samples at room temperature up to 6 h</w:t>
      </w:r>
      <w:r w:rsidR="00CD0738" w:rsidRPr="0037405F">
        <w:rPr>
          <w:sz w:val="24"/>
          <w:szCs w:val="24"/>
        </w:rPr>
        <w:t>rs. T</w:t>
      </w:r>
      <w:r w:rsidRPr="0037405F">
        <w:rPr>
          <w:sz w:val="24"/>
          <w:szCs w:val="24"/>
        </w:rPr>
        <w:t xml:space="preserve">hese tests were carried out to evaluate the </w:t>
      </w:r>
      <w:proofErr w:type="spellStart"/>
      <w:r w:rsidRPr="0037405F">
        <w:rPr>
          <w:sz w:val="24"/>
          <w:szCs w:val="24"/>
        </w:rPr>
        <w:t>itraconazole</w:t>
      </w:r>
      <w:proofErr w:type="spellEnd"/>
      <w:r w:rsidRPr="0037405F">
        <w:rPr>
          <w:sz w:val="24"/>
          <w:szCs w:val="24"/>
        </w:rPr>
        <w:t xml:space="preserve"> and </w:t>
      </w:r>
      <w:proofErr w:type="spellStart"/>
      <w:r w:rsidRPr="0037405F">
        <w:rPr>
          <w:sz w:val="24"/>
          <w:szCs w:val="24"/>
        </w:rPr>
        <w:t>hydroxy</w:t>
      </w:r>
      <w:proofErr w:type="spellEnd"/>
      <w:r w:rsidRPr="0037405F">
        <w:rPr>
          <w:sz w:val="24"/>
          <w:szCs w:val="24"/>
        </w:rPr>
        <w:t xml:space="preserve"> </w:t>
      </w:r>
      <w:proofErr w:type="spellStart"/>
      <w:r w:rsidRPr="0037405F">
        <w:rPr>
          <w:sz w:val="24"/>
          <w:szCs w:val="24"/>
        </w:rPr>
        <w:t>itraconazole</w:t>
      </w:r>
      <w:proofErr w:type="spellEnd"/>
      <w:r w:rsidRPr="0037405F">
        <w:rPr>
          <w:sz w:val="24"/>
          <w:szCs w:val="24"/>
        </w:rPr>
        <w:t xml:space="preserve"> stability during the sample preparation and extraction. The stability of spiked samples was finally evaluated after 3 freeze-thawing cycles in order to verify if samples can be re-</w:t>
      </w:r>
      <w:r w:rsidR="008E00A4" w:rsidRPr="0037405F">
        <w:rPr>
          <w:sz w:val="24"/>
          <w:szCs w:val="24"/>
        </w:rPr>
        <w:t>analyzed</w:t>
      </w:r>
      <w:r w:rsidRPr="0037405F">
        <w:rPr>
          <w:sz w:val="24"/>
          <w:szCs w:val="24"/>
        </w:rPr>
        <w:t>, if needed, after repeated freezing without compromising the results. The stability comparison must be ±15</w:t>
      </w:r>
      <w:r w:rsidRPr="0037405F">
        <w:rPr>
          <w:rStyle w:val="BodytextItalic"/>
          <w:sz w:val="24"/>
          <w:szCs w:val="24"/>
        </w:rPr>
        <w:t>%</w:t>
      </w:r>
      <w:r w:rsidRPr="0037405F">
        <w:rPr>
          <w:sz w:val="24"/>
          <w:szCs w:val="24"/>
        </w:rPr>
        <w:t xml:space="preserve"> in comparation to the control. Stability was evaluated at concentration levels QC low and QC high for </w:t>
      </w:r>
      <w:proofErr w:type="spellStart"/>
      <w:r w:rsidRPr="0037405F">
        <w:rPr>
          <w:sz w:val="24"/>
          <w:szCs w:val="24"/>
        </w:rPr>
        <w:t>itraconazole</w:t>
      </w:r>
      <w:proofErr w:type="spellEnd"/>
      <w:r w:rsidRPr="0037405F">
        <w:rPr>
          <w:sz w:val="24"/>
          <w:szCs w:val="24"/>
        </w:rPr>
        <w:t xml:space="preserve"> and </w:t>
      </w:r>
      <w:proofErr w:type="spellStart"/>
      <w:r w:rsidRPr="0037405F">
        <w:rPr>
          <w:sz w:val="24"/>
          <w:szCs w:val="24"/>
        </w:rPr>
        <w:t>hydroxy</w:t>
      </w:r>
      <w:proofErr w:type="spellEnd"/>
      <w:r w:rsidRPr="0037405F">
        <w:rPr>
          <w:sz w:val="24"/>
          <w:szCs w:val="24"/>
        </w:rPr>
        <w:t xml:space="preserve"> </w:t>
      </w:r>
      <w:proofErr w:type="spellStart"/>
      <w:r w:rsidRPr="0037405F">
        <w:rPr>
          <w:sz w:val="24"/>
          <w:szCs w:val="24"/>
        </w:rPr>
        <w:t>itraconazole</w:t>
      </w:r>
      <w:proofErr w:type="spellEnd"/>
      <w:r w:rsidR="00CD0738" w:rsidRPr="0037405F">
        <w:rPr>
          <w:sz w:val="24"/>
          <w:szCs w:val="24"/>
        </w:rPr>
        <w:t xml:space="preserve">, and results are sowed in </w:t>
      </w:r>
      <w:r w:rsidRPr="0037405F">
        <w:rPr>
          <w:sz w:val="24"/>
          <w:szCs w:val="24"/>
        </w:rPr>
        <w:t>Table</w:t>
      </w:r>
      <w:r w:rsidR="00CD0738" w:rsidRPr="0037405F">
        <w:rPr>
          <w:sz w:val="24"/>
          <w:szCs w:val="24"/>
        </w:rPr>
        <w:t xml:space="preserve"> 1</w:t>
      </w:r>
      <w:r w:rsidRPr="0037405F">
        <w:rPr>
          <w:sz w:val="24"/>
          <w:szCs w:val="24"/>
        </w:rPr>
        <w:t>.</w:t>
      </w:r>
    </w:p>
    <w:p w:rsidR="00E47A91" w:rsidRPr="0037405F" w:rsidRDefault="00E47A91" w:rsidP="00B8212E">
      <w:pPr>
        <w:pStyle w:val="BodyText7"/>
        <w:shd w:val="clear" w:color="auto" w:fill="auto"/>
        <w:spacing w:before="0" w:after="0" w:line="480" w:lineRule="auto"/>
        <w:ind w:firstLine="0"/>
        <w:jc w:val="both"/>
        <w:rPr>
          <w:sz w:val="24"/>
          <w:szCs w:val="24"/>
        </w:rPr>
      </w:pPr>
    </w:p>
    <w:p w:rsidR="00E47A91" w:rsidRPr="0037405F" w:rsidRDefault="00E47A91" w:rsidP="00B8212E">
      <w:pPr>
        <w:pStyle w:val="Heading1"/>
        <w:spacing w:before="0" w:after="0"/>
        <w:jc w:val="both"/>
        <w:rPr>
          <w:rFonts w:ascii="Times New Roman" w:hAnsi="Times New Roman" w:cs="Times New Roman"/>
          <w:sz w:val="24"/>
          <w:szCs w:val="24"/>
        </w:rPr>
      </w:pPr>
      <w:r w:rsidRPr="0037405F">
        <w:rPr>
          <w:rFonts w:ascii="Times New Roman" w:hAnsi="Times New Roman" w:cs="Times New Roman"/>
          <w:sz w:val="24"/>
          <w:szCs w:val="24"/>
        </w:rPr>
        <w:t xml:space="preserve">References </w:t>
      </w:r>
    </w:p>
    <w:p w:rsidR="008E00A4" w:rsidRPr="000A5B20" w:rsidRDefault="00B61458" w:rsidP="00B8212E">
      <w:pPr>
        <w:pStyle w:val="ListParagraph"/>
        <w:widowControl w:val="0"/>
        <w:numPr>
          <w:ilvl w:val="0"/>
          <w:numId w:val="8"/>
        </w:numPr>
        <w:autoSpaceDE w:val="0"/>
        <w:autoSpaceDN w:val="0"/>
        <w:adjustRightInd w:val="0"/>
        <w:spacing w:after="0" w:line="480" w:lineRule="auto"/>
        <w:jc w:val="both"/>
        <w:rPr>
          <w:rFonts w:ascii="Times New Roman" w:hAnsi="Times New Roman" w:cs="Times New Roman"/>
          <w:sz w:val="24"/>
          <w:szCs w:val="24"/>
        </w:rPr>
      </w:pPr>
      <w:r w:rsidRPr="000A5B20">
        <w:rPr>
          <w:rFonts w:ascii="Times New Roman" w:hAnsi="Times New Roman" w:cs="Times New Roman"/>
          <w:sz w:val="24"/>
          <w:szCs w:val="24"/>
        </w:rPr>
        <w:t>Patni</w:t>
      </w:r>
      <w:r w:rsidR="00BD3D10">
        <w:rPr>
          <w:rFonts w:ascii="Times New Roman" w:hAnsi="Times New Roman" w:cs="Times New Roman"/>
          <w:sz w:val="24"/>
          <w:szCs w:val="24"/>
        </w:rPr>
        <w:t>,</w:t>
      </w:r>
      <w:r w:rsidRPr="000A5B20">
        <w:rPr>
          <w:rFonts w:ascii="Times New Roman" w:hAnsi="Times New Roman" w:cs="Times New Roman"/>
          <w:sz w:val="24"/>
          <w:szCs w:val="24"/>
        </w:rPr>
        <w:t xml:space="preserve"> A</w:t>
      </w:r>
      <w:r w:rsidR="00BD3D10">
        <w:rPr>
          <w:rFonts w:ascii="Times New Roman" w:hAnsi="Times New Roman" w:cs="Times New Roman"/>
          <w:sz w:val="24"/>
          <w:szCs w:val="24"/>
        </w:rPr>
        <w:t>.</w:t>
      </w:r>
      <w:r w:rsidRPr="000A5B20">
        <w:rPr>
          <w:rFonts w:ascii="Times New Roman" w:hAnsi="Times New Roman" w:cs="Times New Roman"/>
          <w:sz w:val="24"/>
          <w:szCs w:val="24"/>
        </w:rPr>
        <w:t>K</w:t>
      </w:r>
      <w:r w:rsidR="00BD3D10">
        <w:rPr>
          <w:rFonts w:ascii="Times New Roman" w:hAnsi="Times New Roman" w:cs="Times New Roman"/>
          <w:sz w:val="24"/>
          <w:szCs w:val="24"/>
        </w:rPr>
        <w:t>.</w:t>
      </w:r>
      <w:r w:rsidRPr="000A5B20">
        <w:rPr>
          <w:rFonts w:ascii="Times New Roman" w:hAnsi="Times New Roman" w:cs="Times New Roman"/>
          <w:sz w:val="24"/>
          <w:szCs w:val="24"/>
        </w:rPr>
        <w:t>, Monif</w:t>
      </w:r>
      <w:r w:rsidR="00BD3D10">
        <w:rPr>
          <w:rFonts w:ascii="Times New Roman" w:hAnsi="Times New Roman" w:cs="Times New Roman"/>
          <w:sz w:val="24"/>
          <w:szCs w:val="24"/>
        </w:rPr>
        <w:t>,</w:t>
      </w:r>
      <w:r w:rsidRPr="000A5B20">
        <w:rPr>
          <w:rFonts w:ascii="Times New Roman" w:hAnsi="Times New Roman" w:cs="Times New Roman"/>
          <w:sz w:val="24"/>
          <w:szCs w:val="24"/>
        </w:rPr>
        <w:t xml:space="preserve"> T</w:t>
      </w:r>
      <w:r w:rsidR="00BD3D10">
        <w:rPr>
          <w:rFonts w:ascii="Times New Roman" w:hAnsi="Times New Roman" w:cs="Times New Roman"/>
          <w:sz w:val="24"/>
          <w:szCs w:val="24"/>
        </w:rPr>
        <w:t>.</w:t>
      </w:r>
      <w:r w:rsidRPr="000A5B20">
        <w:rPr>
          <w:rFonts w:ascii="Times New Roman" w:hAnsi="Times New Roman" w:cs="Times New Roman"/>
          <w:sz w:val="24"/>
          <w:szCs w:val="24"/>
        </w:rPr>
        <w:t>, Khuroo</w:t>
      </w:r>
      <w:r w:rsidR="00BD3D10">
        <w:rPr>
          <w:rFonts w:ascii="Times New Roman" w:hAnsi="Times New Roman" w:cs="Times New Roman"/>
          <w:sz w:val="24"/>
          <w:szCs w:val="24"/>
        </w:rPr>
        <w:t>,</w:t>
      </w:r>
      <w:r w:rsidRPr="000A5B20">
        <w:rPr>
          <w:rFonts w:ascii="Times New Roman" w:hAnsi="Times New Roman" w:cs="Times New Roman"/>
          <w:sz w:val="24"/>
          <w:szCs w:val="24"/>
        </w:rPr>
        <w:t xml:space="preserve"> A</w:t>
      </w:r>
      <w:r w:rsidR="00BD3D10">
        <w:rPr>
          <w:rFonts w:ascii="Times New Roman" w:hAnsi="Times New Roman" w:cs="Times New Roman"/>
          <w:sz w:val="24"/>
          <w:szCs w:val="24"/>
        </w:rPr>
        <w:t>.</w:t>
      </w:r>
      <w:r w:rsidRPr="000A5B20">
        <w:rPr>
          <w:rFonts w:ascii="Times New Roman" w:hAnsi="Times New Roman" w:cs="Times New Roman"/>
          <w:sz w:val="24"/>
          <w:szCs w:val="24"/>
        </w:rPr>
        <w:t>H</w:t>
      </w:r>
      <w:r w:rsidR="00BD3D10">
        <w:rPr>
          <w:rFonts w:ascii="Times New Roman" w:hAnsi="Times New Roman" w:cs="Times New Roman"/>
          <w:sz w:val="24"/>
          <w:szCs w:val="24"/>
        </w:rPr>
        <w:t>.</w:t>
      </w:r>
      <w:r w:rsidRPr="000A5B20">
        <w:rPr>
          <w:rFonts w:ascii="Times New Roman" w:hAnsi="Times New Roman" w:cs="Times New Roman"/>
          <w:sz w:val="24"/>
          <w:szCs w:val="24"/>
        </w:rPr>
        <w:t>, et al.</w:t>
      </w:r>
      <w:r w:rsidR="00BD3D10">
        <w:rPr>
          <w:rFonts w:ascii="Times New Roman" w:hAnsi="Times New Roman" w:cs="Times New Roman"/>
          <w:sz w:val="24"/>
          <w:szCs w:val="24"/>
        </w:rPr>
        <w:t xml:space="preserve"> (2010).</w:t>
      </w:r>
      <w:r w:rsidRPr="000A5B20">
        <w:rPr>
          <w:rFonts w:ascii="Times New Roman" w:hAnsi="Times New Roman" w:cs="Times New Roman"/>
          <w:sz w:val="24"/>
          <w:szCs w:val="24"/>
        </w:rPr>
        <w:t xml:space="preserve"> A comparative bioavailability study of two formulations of itraconazole 100 mg capsule in healthy human Indian subjects under fasting conditions. </w:t>
      </w:r>
      <w:r w:rsidR="008E00A4" w:rsidRPr="000A5B20">
        <w:rPr>
          <w:rFonts w:ascii="Times New Roman" w:hAnsi="Times New Roman" w:cs="Times New Roman"/>
          <w:sz w:val="24"/>
          <w:szCs w:val="24"/>
        </w:rPr>
        <w:t xml:space="preserve">Clinic Res Regul Aff. </w:t>
      </w:r>
      <w:r w:rsidRPr="000A5B20">
        <w:rPr>
          <w:rFonts w:ascii="Times New Roman" w:hAnsi="Times New Roman" w:cs="Times New Roman"/>
          <w:sz w:val="24"/>
          <w:szCs w:val="24"/>
        </w:rPr>
        <w:t>27:128–132.</w:t>
      </w:r>
      <w:r w:rsidR="008E00A4" w:rsidRPr="000A5B20">
        <w:rPr>
          <w:rFonts w:ascii="Times New Roman" w:hAnsi="Times New Roman" w:cs="Times New Roman"/>
          <w:sz w:val="24"/>
          <w:szCs w:val="24"/>
        </w:rPr>
        <w:t xml:space="preserve"> </w:t>
      </w:r>
    </w:p>
    <w:p w:rsidR="000A5B20" w:rsidRPr="000A5B20" w:rsidRDefault="008E00A4" w:rsidP="00B8212E">
      <w:pPr>
        <w:pStyle w:val="ListParagraph"/>
        <w:widowControl w:val="0"/>
        <w:numPr>
          <w:ilvl w:val="0"/>
          <w:numId w:val="8"/>
        </w:numPr>
        <w:autoSpaceDE w:val="0"/>
        <w:autoSpaceDN w:val="0"/>
        <w:adjustRightInd w:val="0"/>
        <w:spacing w:after="0" w:line="480" w:lineRule="auto"/>
        <w:jc w:val="both"/>
        <w:rPr>
          <w:rFonts w:ascii="Times New Roman" w:hAnsi="Times New Roman" w:cs="Times New Roman"/>
          <w:sz w:val="24"/>
          <w:szCs w:val="24"/>
        </w:rPr>
      </w:pPr>
      <w:bookmarkStart w:id="0" w:name="_GoBack"/>
      <w:r w:rsidRPr="000A5B20">
        <w:rPr>
          <w:rFonts w:ascii="Times New Roman" w:hAnsi="Times New Roman" w:cs="Times New Roman"/>
          <w:sz w:val="24"/>
          <w:szCs w:val="24"/>
        </w:rPr>
        <w:t>Patni</w:t>
      </w:r>
      <w:r w:rsidR="00BD3D10">
        <w:rPr>
          <w:rFonts w:ascii="Times New Roman" w:hAnsi="Times New Roman" w:cs="Times New Roman"/>
          <w:sz w:val="24"/>
          <w:szCs w:val="24"/>
        </w:rPr>
        <w:t>,</w:t>
      </w:r>
      <w:r w:rsidRPr="000A5B20">
        <w:rPr>
          <w:rFonts w:ascii="Times New Roman" w:hAnsi="Times New Roman" w:cs="Times New Roman"/>
          <w:sz w:val="24"/>
          <w:szCs w:val="24"/>
        </w:rPr>
        <w:t xml:space="preserve"> A</w:t>
      </w:r>
      <w:r w:rsidR="00BD3D10">
        <w:rPr>
          <w:rFonts w:ascii="Times New Roman" w:hAnsi="Times New Roman" w:cs="Times New Roman"/>
          <w:sz w:val="24"/>
          <w:szCs w:val="24"/>
        </w:rPr>
        <w:t>.</w:t>
      </w:r>
      <w:r w:rsidRPr="000A5B20">
        <w:rPr>
          <w:rFonts w:ascii="Times New Roman" w:hAnsi="Times New Roman" w:cs="Times New Roman"/>
          <w:sz w:val="24"/>
          <w:szCs w:val="24"/>
        </w:rPr>
        <w:t>K</w:t>
      </w:r>
      <w:r w:rsidR="00BD3D10">
        <w:rPr>
          <w:rFonts w:ascii="Times New Roman" w:hAnsi="Times New Roman" w:cs="Times New Roman"/>
          <w:sz w:val="24"/>
          <w:szCs w:val="24"/>
        </w:rPr>
        <w:t>.</w:t>
      </w:r>
      <w:r w:rsidRPr="000A5B20">
        <w:rPr>
          <w:rFonts w:ascii="Times New Roman" w:hAnsi="Times New Roman" w:cs="Times New Roman"/>
          <w:sz w:val="24"/>
          <w:szCs w:val="24"/>
        </w:rPr>
        <w:t>, Monif</w:t>
      </w:r>
      <w:r w:rsidR="00BD3D10">
        <w:rPr>
          <w:rFonts w:ascii="Times New Roman" w:hAnsi="Times New Roman" w:cs="Times New Roman"/>
          <w:sz w:val="24"/>
          <w:szCs w:val="24"/>
        </w:rPr>
        <w:t>,</w:t>
      </w:r>
      <w:r w:rsidRPr="000A5B20">
        <w:rPr>
          <w:rFonts w:ascii="Times New Roman" w:hAnsi="Times New Roman" w:cs="Times New Roman"/>
          <w:sz w:val="24"/>
          <w:szCs w:val="24"/>
        </w:rPr>
        <w:t xml:space="preserve"> T</w:t>
      </w:r>
      <w:r w:rsidR="00BD3D10">
        <w:rPr>
          <w:rFonts w:ascii="Times New Roman" w:hAnsi="Times New Roman" w:cs="Times New Roman"/>
          <w:sz w:val="24"/>
          <w:szCs w:val="24"/>
        </w:rPr>
        <w:t>.</w:t>
      </w:r>
      <w:r w:rsidRPr="000A5B20">
        <w:rPr>
          <w:rFonts w:ascii="Times New Roman" w:hAnsi="Times New Roman" w:cs="Times New Roman"/>
          <w:sz w:val="24"/>
          <w:szCs w:val="24"/>
        </w:rPr>
        <w:t>, Khuroo</w:t>
      </w:r>
      <w:r w:rsidR="00BD3D10">
        <w:rPr>
          <w:rFonts w:ascii="Times New Roman" w:hAnsi="Times New Roman" w:cs="Times New Roman"/>
          <w:sz w:val="24"/>
          <w:szCs w:val="24"/>
        </w:rPr>
        <w:t>,</w:t>
      </w:r>
      <w:r w:rsidRPr="000A5B20">
        <w:rPr>
          <w:rFonts w:ascii="Times New Roman" w:hAnsi="Times New Roman" w:cs="Times New Roman"/>
          <w:sz w:val="24"/>
          <w:szCs w:val="24"/>
        </w:rPr>
        <w:t xml:space="preserve"> A</w:t>
      </w:r>
      <w:r w:rsidR="00BD3D10">
        <w:rPr>
          <w:rFonts w:ascii="Times New Roman" w:hAnsi="Times New Roman" w:cs="Times New Roman"/>
          <w:sz w:val="24"/>
          <w:szCs w:val="24"/>
        </w:rPr>
        <w:t>.</w:t>
      </w:r>
      <w:r w:rsidRPr="000A5B20">
        <w:rPr>
          <w:rFonts w:ascii="Times New Roman" w:hAnsi="Times New Roman" w:cs="Times New Roman"/>
          <w:sz w:val="24"/>
          <w:szCs w:val="24"/>
        </w:rPr>
        <w:t>H</w:t>
      </w:r>
      <w:r w:rsidR="00BD3D10">
        <w:rPr>
          <w:rFonts w:ascii="Times New Roman" w:hAnsi="Times New Roman" w:cs="Times New Roman"/>
          <w:sz w:val="24"/>
          <w:szCs w:val="24"/>
        </w:rPr>
        <w:t>.</w:t>
      </w:r>
      <w:r w:rsidRPr="000A5B20">
        <w:rPr>
          <w:rFonts w:ascii="Times New Roman" w:hAnsi="Times New Roman" w:cs="Times New Roman"/>
          <w:sz w:val="24"/>
          <w:szCs w:val="24"/>
        </w:rPr>
        <w:t>, et al.</w:t>
      </w:r>
      <w:r w:rsidR="00BD3D10">
        <w:rPr>
          <w:rFonts w:ascii="Times New Roman" w:hAnsi="Times New Roman" w:cs="Times New Roman"/>
          <w:sz w:val="24"/>
          <w:szCs w:val="24"/>
        </w:rPr>
        <w:t xml:space="preserve"> (2012).</w:t>
      </w:r>
      <w:r w:rsidRPr="000A5B20">
        <w:rPr>
          <w:rFonts w:ascii="Times New Roman" w:hAnsi="Times New Roman" w:cs="Times New Roman"/>
          <w:sz w:val="24"/>
          <w:szCs w:val="24"/>
        </w:rPr>
        <w:t xml:space="preserve"> Determination of </w:t>
      </w:r>
      <w:bookmarkEnd w:id="0"/>
      <w:r w:rsidRPr="000A5B20">
        <w:rPr>
          <w:rFonts w:ascii="Times New Roman" w:hAnsi="Times New Roman" w:cs="Times New Roman"/>
          <w:sz w:val="24"/>
          <w:szCs w:val="24"/>
        </w:rPr>
        <w:t>pharmacokinetics of itraconazole in healthy Indian subjects under fed condition and incurred sample analysis using a validated liquid chromatography tandem mass spectrometric met</w:t>
      </w:r>
      <w:r w:rsidR="00BD3D10">
        <w:rPr>
          <w:rFonts w:ascii="Times New Roman" w:hAnsi="Times New Roman" w:cs="Times New Roman"/>
          <w:sz w:val="24"/>
          <w:szCs w:val="24"/>
        </w:rPr>
        <w:t xml:space="preserve">hod. Clinic Res Regul Aff. </w:t>
      </w:r>
      <w:r w:rsidRPr="000A5B20">
        <w:rPr>
          <w:rFonts w:ascii="Times New Roman" w:hAnsi="Times New Roman" w:cs="Times New Roman"/>
          <w:sz w:val="24"/>
          <w:szCs w:val="24"/>
        </w:rPr>
        <w:t xml:space="preserve">29:35–40. </w:t>
      </w:r>
    </w:p>
    <w:p w:rsidR="00FC0390" w:rsidRPr="00C32B0A" w:rsidRDefault="000A5B20" w:rsidP="00B8212E">
      <w:pPr>
        <w:pStyle w:val="ListParagraph"/>
        <w:widowControl w:val="0"/>
        <w:numPr>
          <w:ilvl w:val="0"/>
          <w:numId w:val="8"/>
        </w:numPr>
        <w:autoSpaceDE w:val="0"/>
        <w:autoSpaceDN w:val="0"/>
        <w:adjustRightInd w:val="0"/>
        <w:spacing w:after="0" w:line="480" w:lineRule="auto"/>
        <w:jc w:val="both"/>
        <w:rPr>
          <w:rFonts w:ascii="Times New Roman" w:hAnsi="Times New Roman" w:cs="Times New Roman"/>
          <w:b/>
          <w:sz w:val="24"/>
          <w:szCs w:val="24"/>
        </w:rPr>
      </w:pPr>
      <w:r w:rsidRPr="00C32B0A">
        <w:rPr>
          <w:rFonts w:ascii="Times New Roman" w:hAnsi="Times New Roman" w:cs="Times New Roman"/>
          <w:color w:val="000000"/>
          <w:sz w:val="24"/>
          <w:szCs w:val="24"/>
        </w:rPr>
        <w:t>European Medic</w:t>
      </w:r>
      <w:r w:rsidR="00BD3D10" w:rsidRPr="00C32B0A">
        <w:rPr>
          <w:rFonts w:ascii="Times New Roman" w:hAnsi="Times New Roman" w:cs="Times New Roman"/>
          <w:color w:val="000000"/>
          <w:sz w:val="24"/>
          <w:szCs w:val="24"/>
        </w:rPr>
        <w:t>ines Agency (EMA).</w:t>
      </w:r>
      <w:r w:rsidRPr="00C32B0A">
        <w:rPr>
          <w:rFonts w:ascii="Times New Roman" w:hAnsi="Times New Roman" w:cs="Times New Roman"/>
          <w:color w:val="000000"/>
          <w:sz w:val="24"/>
          <w:szCs w:val="24"/>
        </w:rPr>
        <w:t xml:space="preserve"> </w:t>
      </w:r>
      <w:r w:rsidR="00882A07" w:rsidRPr="00C32B0A">
        <w:rPr>
          <w:rFonts w:ascii="Times New Roman" w:hAnsi="Times New Roman" w:cs="Times New Roman"/>
          <w:color w:val="000000"/>
          <w:sz w:val="24"/>
          <w:szCs w:val="24"/>
        </w:rPr>
        <w:t xml:space="preserve">(2011). </w:t>
      </w:r>
      <w:r w:rsidRPr="00C32B0A">
        <w:rPr>
          <w:rFonts w:ascii="Times New Roman" w:hAnsi="Times New Roman" w:cs="Times New Roman"/>
          <w:color w:val="000000"/>
          <w:sz w:val="24"/>
          <w:szCs w:val="24"/>
        </w:rPr>
        <w:t>Committee for Medicinal Prod</w:t>
      </w:r>
      <w:r w:rsidRPr="00C32B0A">
        <w:rPr>
          <w:rFonts w:ascii="Times New Roman" w:hAnsi="Times New Roman" w:cs="Times New Roman"/>
          <w:color w:val="000000"/>
          <w:sz w:val="24"/>
          <w:szCs w:val="24"/>
        </w:rPr>
        <w:softHyphen/>
        <w:t>ucts for Human Use (CHMP). Guideline on Bioanalytical Method Validation. EMEA/CHMP/EWP/192217/2009, 21 July 2011.</w:t>
      </w:r>
    </w:p>
    <w:p w:rsidR="00FC0390" w:rsidRDefault="00FC0390" w:rsidP="00B8212E">
      <w:pPr>
        <w:autoSpaceDE w:val="0"/>
        <w:autoSpaceDN w:val="0"/>
        <w:adjustRightInd w:val="0"/>
        <w:spacing w:after="0" w:line="240" w:lineRule="auto"/>
        <w:jc w:val="both"/>
        <w:rPr>
          <w:rFonts w:ascii="Times New Roman" w:hAnsi="Times New Roman" w:cs="Times New Roman"/>
          <w:b/>
          <w:sz w:val="24"/>
          <w:szCs w:val="24"/>
        </w:rPr>
      </w:pPr>
    </w:p>
    <w:p w:rsidR="00FC0390" w:rsidRDefault="00FC0390" w:rsidP="00B8212E">
      <w:pPr>
        <w:autoSpaceDE w:val="0"/>
        <w:autoSpaceDN w:val="0"/>
        <w:adjustRightInd w:val="0"/>
        <w:spacing w:after="0" w:line="240" w:lineRule="auto"/>
        <w:jc w:val="both"/>
        <w:rPr>
          <w:rFonts w:ascii="Times New Roman" w:hAnsi="Times New Roman" w:cs="Times New Roman"/>
          <w:b/>
          <w:sz w:val="24"/>
          <w:szCs w:val="24"/>
        </w:rPr>
      </w:pPr>
    </w:p>
    <w:p w:rsidR="00FC0390" w:rsidRPr="00FC0390" w:rsidRDefault="00FC0390" w:rsidP="00B8212E">
      <w:pPr>
        <w:autoSpaceDE w:val="0"/>
        <w:autoSpaceDN w:val="0"/>
        <w:adjustRightInd w:val="0"/>
        <w:spacing w:after="0" w:line="480" w:lineRule="auto"/>
        <w:jc w:val="both"/>
        <w:rPr>
          <w:rFonts w:ascii="Times New Roman" w:hAnsi="Times New Roman" w:cs="Times New Roman"/>
          <w:sz w:val="24"/>
          <w:szCs w:val="24"/>
        </w:rPr>
      </w:pPr>
      <w:r w:rsidRPr="00FC0390">
        <w:rPr>
          <w:rFonts w:ascii="Times New Roman" w:hAnsi="Times New Roman" w:cs="Times New Roman"/>
          <w:b/>
          <w:sz w:val="24"/>
          <w:szCs w:val="24"/>
        </w:rPr>
        <w:lastRenderedPageBreak/>
        <w:t>Table 1</w:t>
      </w:r>
      <w:r w:rsidRPr="00FC0390">
        <w:rPr>
          <w:rFonts w:ascii="Times New Roman" w:hAnsi="Times New Roman" w:cs="Times New Roman"/>
          <w:sz w:val="24"/>
          <w:szCs w:val="24"/>
        </w:rPr>
        <w:t xml:space="preserve"> The validation of the LC-MS bioanalytical method for determination of itraconazole (ITC) and hydroxy itraconazole (HITC) in human plasma.</w:t>
      </w:r>
    </w:p>
    <w:tbl>
      <w:tblPr>
        <w:tblW w:w="9214" w:type="dxa"/>
        <w:tblInd w:w="55" w:type="dxa"/>
        <w:tblLayout w:type="fixed"/>
        <w:tblCellMar>
          <w:top w:w="55" w:type="dxa"/>
          <w:left w:w="55" w:type="dxa"/>
          <w:bottom w:w="55" w:type="dxa"/>
          <w:right w:w="55" w:type="dxa"/>
        </w:tblCellMar>
        <w:tblLook w:val="0000"/>
      </w:tblPr>
      <w:tblGrid>
        <w:gridCol w:w="2126"/>
        <w:gridCol w:w="1416"/>
        <w:gridCol w:w="1418"/>
        <w:gridCol w:w="1418"/>
        <w:gridCol w:w="1418"/>
        <w:gridCol w:w="1418"/>
      </w:tblGrid>
      <w:tr w:rsidR="00FC0390" w:rsidRPr="00FC0390" w:rsidTr="00600F44">
        <w:tc>
          <w:tcPr>
            <w:tcW w:w="3542" w:type="dxa"/>
            <w:gridSpan w:val="2"/>
            <w:vMerge w:val="restart"/>
            <w:tcBorders>
              <w:top w:val="single" w:sz="1" w:space="0" w:color="000000"/>
              <w:left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p>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Parameter</w:t>
            </w:r>
          </w:p>
        </w:tc>
        <w:tc>
          <w:tcPr>
            <w:tcW w:w="2836" w:type="dxa"/>
            <w:gridSpan w:val="2"/>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RSD (%)</w:t>
            </w:r>
          </w:p>
        </w:tc>
        <w:tc>
          <w:tcPr>
            <w:tcW w:w="2836" w:type="dxa"/>
            <w:gridSpan w:val="2"/>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Ratio (%)</w:t>
            </w:r>
          </w:p>
        </w:tc>
      </w:tr>
      <w:tr w:rsidR="00FC0390" w:rsidRPr="00FC0390" w:rsidTr="00600F44">
        <w:tc>
          <w:tcPr>
            <w:tcW w:w="3542" w:type="dxa"/>
            <w:gridSpan w:val="2"/>
            <w:vMerge/>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ITC</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HITC</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ITC</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HITC</w:t>
            </w:r>
          </w:p>
        </w:tc>
      </w:tr>
      <w:tr w:rsidR="00FC0390" w:rsidRPr="00FC0390" w:rsidTr="00600F44">
        <w:tc>
          <w:tcPr>
            <w:tcW w:w="2126" w:type="dxa"/>
            <w:tcBorders>
              <w:top w:val="single" w:sz="1" w:space="0" w:color="000000"/>
              <w:left w:val="single" w:sz="1" w:space="0" w:color="000000"/>
              <w:bottom w:val="single" w:sz="1" w:space="0" w:color="000000"/>
            </w:tcBorders>
          </w:tcPr>
          <w:p w:rsidR="00FC0390" w:rsidRPr="00FC0390" w:rsidRDefault="00FC0390" w:rsidP="00B8212E">
            <w:pPr>
              <w:pStyle w:val="Header"/>
              <w:jc w:val="both"/>
              <w:rPr>
                <w:rFonts w:ascii="Times New Roman" w:hAnsi="Times New Roman"/>
                <w:szCs w:val="24"/>
                <w:lang w:val="it-IT"/>
              </w:rPr>
            </w:pPr>
            <w:r w:rsidRPr="00FC0390">
              <w:rPr>
                <w:rFonts w:ascii="Times New Roman" w:hAnsi="Times New Roman"/>
                <w:szCs w:val="24"/>
                <w:lang w:val="it-IT"/>
              </w:rPr>
              <w:t xml:space="preserve">Matrix </w:t>
            </w:r>
          </w:p>
        </w:tc>
        <w:tc>
          <w:tcPr>
            <w:tcW w:w="141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lang w:val="it-IT"/>
              </w:rPr>
            </w:pPr>
            <w:r w:rsidRPr="00FC0390">
              <w:rPr>
                <w:rFonts w:ascii="Times New Roman" w:hAnsi="Times New Roman" w:cs="Times New Roman"/>
                <w:sz w:val="24"/>
                <w:szCs w:val="24"/>
                <w:lang w:val="it-IT"/>
              </w:rPr>
              <w:t>Human plasma</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lang w:val="it-IT"/>
              </w:rPr>
            </w:pPr>
            <w:r w:rsidRPr="00FC0390">
              <w:rPr>
                <w:rFonts w:ascii="Times New Roman" w:hAnsi="Times New Roman" w:cs="Times New Roman"/>
                <w:sz w:val="24"/>
                <w:szCs w:val="24"/>
                <w:lang w:val="it-IT"/>
              </w:rPr>
              <w:t>-</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r>
      <w:tr w:rsidR="00FC0390" w:rsidRPr="00FC0390" w:rsidTr="00600F44">
        <w:tc>
          <w:tcPr>
            <w:tcW w:w="2126" w:type="dxa"/>
            <w:tcBorders>
              <w:top w:val="single" w:sz="1" w:space="0" w:color="000000"/>
              <w:left w:val="single" w:sz="1" w:space="0" w:color="000000"/>
              <w:bottom w:val="single" w:sz="1" w:space="0" w:color="000000"/>
            </w:tcBorders>
          </w:tcPr>
          <w:p w:rsidR="00FC0390" w:rsidRPr="00FC0390" w:rsidRDefault="00FC0390" w:rsidP="00B8212E">
            <w:pPr>
              <w:pStyle w:val="Header"/>
              <w:jc w:val="both"/>
              <w:rPr>
                <w:rFonts w:ascii="Times New Roman" w:hAnsi="Times New Roman"/>
                <w:szCs w:val="24"/>
              </w:rPr>
            </w:pPr>
            <w:r w:rsidRPr="00FC0390">
              <w:rPr>
                <w:rFonts w:ascii="Times New Roman" w:hAnsi="Times New Roman"/>
                <w:szCs w:val="24"/>
                <w:lang w:val="it-IT"/>
              </w:rPr>
              <w:t xml:space="preserve">Assay </w:t>
            </w:r>
            <w:r w:rsidRPr="00FC0390">
              <w:rPr>
                <w:rFonts w:ascii="Times New Roman" w:hAnsi="Times New Roman"/>
                <w:szCs w:val="24"/>
                <w:lang w:val="en-US"/>
              </w:rPr>
              <w:t>Volume</w:t>
            </w:r>
            <w:r w:rsidRPr="00FC0390">
              <w:rPr>
                <w:rFonts w:ascii="Times New Roman" w:hAnsi="Times New Roman"/>
                <w:szCs w:val="24"/>
              </w:rPr>
              <w:t xml:space="preserve"> Required</w:t>
            </w:r>
          </w:p>
        </w:tc>
        <w:tc>
          <w:tcPr>
            <w:tcW w:w="141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50.00 µL</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r>
      <w:tr w:rsidR="00FC0390" w:rsidRPr="00FC0390" w:rsidTr="00600F44">
        <w:tc>
          <w:tcPr>
            <w:tcW w:w="2126" w:type="dxa"/>
            <w:tcBorders>
              <w:top w:val="single" w:sz="1" w:space="0" w:color="000000"/>
              <w:left w:val="single" w:sz="1" w:space="0" w:color="000000"/>
              <w:bottom w:val="single" w:sz="1" w:space="0" w:color="000000"/>
            </w:tcBorders>
          </w:tcPr>
          <w:p w:rsidR="00FC0390" w:rsidRPr="00FC0390" w:rsidRDefault="00FC0390" w:rsidP="00B8212E">
            <w:pPr>
              <w:pStyle w:val="Header"/>
              <w:jc w:val="both"/>
              <w:rPr>
                <w:rFonts w:ascii="Times New Roman" w:hAnsi="Times New Roman"/>
                <w:szCs w:val="24"/>
              </w:rPr>
            </w:pPr>
            <w:r w:rsidRPr="00FC0390">
              <w:rPr>
                <w:rFonts w:ascii="Times New Roman" w:hAnsi="Times New Roman"/>
                <w:szCs w:val="24"/>
              </w:rPr>
              <w:t>Analytical Method</w:t>
            </w:r>
          </w:p>
        </w:tc>
        <w:tc>
          <w:tcPr>
            <w:tcW w:w="141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LC-MS</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r>
      <w:tr w:rsidR="00FC0390" w:rsidRPr="00FC0390" w:rsidTr="00600F44">
        <w:tc>
          <w:tcPr>
            <w:tcW w:w="2126" w:type="dxa"/>
            <w:tcBorders>
              <w:top w:val="single" w:sz="1" w:space="0" w:color="000000"/>
              <w:left w:val="single" w:sz="1" w:space="0" w:color="000000"/>
              <w:bottom w:val="single" w:sz="1" w:space="0" w:color="000000"/>
            </w:tcBorders>
          </w:tcPr>
          <w:p w:rsidR="00FC0390" w:rsidRPr="00FC0390" w:rsidRDefault="00FC0390" w:rsidP="00B8212E">
            <w:pPr>
              <w:pStyle w:val="Header"/>
              <w:ind w:right="-55"/>
              <w:jc w:val="both"/>
              <w:rPr>
                <w:rFonts w:ascii="Times New Roman" w:hAnsi="Times New Roman"/>
                <w:szCs w:val="24"/>
              </w:rPr>
            </w:pPr>
            <w:r w:rsidRPr="00FC0390">
              <w:rPr>
                <w:rFonts w:ascii="Times New Roman" w:hAnsi="Times New Roman"/>
                <w:szCs w:val="24"/>
              </w:rPr>
              <w:t>Lower Limit of Quantification (LLOQ)</w:t>
            </w:r>
          </w:p>
        </w:tc>
        <w:tc>
          <w:tcPr>
            <w:tcW w:w="141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2.00 ng/mL</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r>
      <w:tr w:rsidR="00FC0390" w:rsidRPr="00FC0390" w:rsidTr="00600F44">
        <w:tc>
          <w:tcPr>
            <w:tcW w:w="212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Calibration curve range</w:t>
            </w:r>
          </w:p>
        </w:tc>
        <w:tc>
          <w:tcPr>
            <w:tcW w:w="141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2.00 - 100.00 ng/mL</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r>
      <w:tr w:rsidR="00FC0390" w:rsidRPr="00FC0390" w:rsidTr="00600F44">
        <w:tc>
          <w:tcPr>
            <w:tcW w:w="212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Regression Type (weighting)</w:t>
            </w:r>
          </w:p>
        </w:tc>
        <w:tc>
          <w:tcPr>
            <w:tcW w:w="141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Linear (1/X)</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r>
      <w:tr w:rsidR="00FC0390" w:rsidRPr="00FC0390" w:rsidTr="00600F44">
        <w:tc>
          <w:tcPr>
            <w:tcW w:w="212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Quantitation Method</w:t>
            </w:r>
          </w:p>
        </w:tc>
        <w:tc>
          <w:tcPr>
            <w:tcW w:w="141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Area response</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b/>
                <w:sz w:val="24"/>
                <w:szCs w:val="24"/>
                <w:lang w:val="it-IT"/>
              </w:rPr>
              <w:t>-</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r>
      <w:tr w:rsidR="00FC0390" w:rsidRPr="00FC0390" w:rsidTr="00600F44">
        <w:tc>
          <w:tcPr>
            <w:tcW w:w="212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 xml:space="preserve">Intra-day  Precision and Accuracy </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(LLOQ/</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QC low/</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QC medium</w:t>
            </w:r>
            <w:r w:rsidRPr="00FC0390">
              <w:rPr>
                <w:rFonts w:ascii="Times New Roman" w:hAnsi="Times New Roman" w:cs="Times New Roman"/>
                <w:sz w:val="24"/>
                <w:szCs w:val="24"/>
                <w:vertAlign w:val="subscript"/>
              </w:rPr>
              <w:t>1</w:t>
            </w:r>
            <w:r w:rsidRPr="00FC0390">
              <w:rPr>
                <w:rFonts w:ascii="Times New Roman" w:hAnsi="Times New Roman" w:cs="Times New Roman"/>
                <w:sz w:val="24"/>
                <w:szCs w:val="24"/>
              </w:rPr>
              <w:t>/</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QC medium</w:t>
            </w:r>
            <w:r w:rsidRPr="00FC0390">
              <w:rPr>
                <w:rFonts w:ascii="Times New Roman" w:hAnsi="Times New Roman" w:cs="Times New Roman"/>
                <w:sz w:val="24"/>
                <w:szCs w:val="24"/>
                <w:vertAlign w:val="subscript"/>
              </w:rPr>
              <w:t>2</w:t>
            </w:r>
            <w:r w:rsidRPr="00FC0390">
              <w:rPr>
                <w:rFonts w:ascii="Times New Roman" w:hAnsi="Times New Roman" w:cs="Times New Roman"/>
                <w:sz w:val="24"/>
                <w:szCs w:val="24"/>
              </w:rPr>
              <w:t>/</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QC high)</w:t>
            </w:r>
          </w:p>
        </w:tc>
        <w:tc>
          <w:tcPr>
            <w:tcW w:w="141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Conforms</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1.28/</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6.87/</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7.90/</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4.42/</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1.73</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6.11/</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3.16/</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4.71/</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2.50/</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0.88</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105.33/</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94.84/</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96.19/</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100.91/</w:t>
            </w:r>
          </w:p>
          <w:p w:rsidR="00FC0390" w:rsidRPr="00FC0390" w:rsidRDefault="00FC0390" w:rsidP="00B8212E">
            <w:pPr>
              <w:spacing w:after="0" w:line="240" w:lineRule="auto"/>
              <w:jc w:val="both"/>
              <w:rPr>
                <w:rFonts w:ascii="Times New Roman" w:hAnsi="Times New Roman" w:cs="Times New Roman"/>
                <w:b/>
                <w:sz w:val="24"/>
                <w:szCs w:val="24"/>
                <w:lang w:val="it-IT"/>
              </w:rPr>
            </w:pPr>
            <w:r w:rsidRPr="00FC0390">
              <w:rPr>
                <w:rFonts w:ascii="Times New Roman" w:hAnsi="Times New Roman" w:cs="Times New Roman"/>
                <w:sz w:val="24"/>
                <w:szCs w:val="24"/>
              </w:rPr>
              <w:t>100.9</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104.46/</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99.83/</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108.82/</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102.72/</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99.73</w:t>
            </w:r>
          </w:p>
        </w:tc>
      </w:tr>
      <w:tr w:rsidR="00FC0390" w:rsidRPr="00FC0390" w:rsidTr="00600F44">
        <w:tc>
          <w:tcPr>
            <w:tcW w:w="212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 xml:space="preserve">Inter-day Precision and Accuracy </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 xml:space="preserve">(LLOQ/ </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QC low/</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QC medium</w:t>
            </w:r>
            <w:r w:rsidRPr="00FC0390">
              <w:rPr>
                <w:rFonts w:ascii="Times New Roman" w:hAnsi="Times New Roman" w:cs="Times New Roman"/>
                <w:sz w:val="24"/>
                <w:szCs w:val="24"/>
                <w:vertAlign w:val="subscript"/>
              </w:rPr>
              <w:t>1</w:t>
            </w:r>
            <w:r w:rsidRPr="00FC0390">
              <w:rPr>
                <w:rFonts w:ascii="Times New Roman" w:hAnsi="Times New Roman" w:cs="Times New Roman"/>
                <w:sz w:val="24"/>
                <w:szCs w:val="24"/>
              </w:rPr>
              <w:t>/</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QC medium</w:t>
            </w:r>
            <w:r w:rsidRPr="00FC0390">
              <w:rPr>
                <w:rFonts w:ascii="Times New Roman" w:hAnsi="Times New Roman" w:cs="Times New Roman"/>
                <w:sz w:val="24"/>
                <w:szCs w:val="24"/>
                <w:vertAlign w:val="subscript"/>
              </w:rPr>
              <w:t>2</w:t>
            </w:r>
            <w:r w:rsidRPr="00FC0390">
              <w:rPr>
                <w:rFonts w:ascii="Times New Roman" w:hAnsi="Times New Roman" w:cs="Times New Roman"/>
                <w:sz w:val="24"/>
                <w:szCs w:val="24"/>
              </w:rPr>
              <w:t>/</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QC high)</w:t>
            </w:r>
          </w:p>
        </w:tc>
        <w:tc>
          <w:tcPr>
            <w:tcW w:w="1416"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Conforms</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2.89/</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7.78/</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5.79/</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3.45/</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1.20</w:t>
            </w:r>
          </w:p>
        </w:tc>
        <w:tc>
          <w:tcPr>
            <w:tcW w:w="1418" w:type="dxa"/>
            <w:tcBorders>
              <w:top w:val="single" w:sz="1" w:space="0" w:color="000000"/>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8.09/</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2.36/</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7.22/</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2.46/</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2.05</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103.82/</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95.31/</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95.17/</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98.35/</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99.13</w:t>
            </w:r>
          </w:p>
        </w:tc>
        <w:tc>
          <w:tcPr>
            <w:tcW w:w="1418" w:type="dxa"/>
            <w:tcBorders>
              <w:top w:val="single" w:sz="1" w:space="0" w:color="000000"/>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102.72/</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99.71/</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90.13/</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98.24/</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100.21</w:t>
            </w:r>
          </w:p>
        </w:tc>
      </w:tr>
      <w:tr w:rsidR="00FC0390" w:rsidRPr="00FC0390" w:rsidTr="00600F44">
        <w:tc>
          <w:tcPr>
            <w:tcW w:w="212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Specificity</w:t>
            </w:r>
          </w:p>
        </w:tc>
        <w:tc>
          <w:tcPr>
            <w:tcW w:w="141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Conforms</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r>
      <w:tr w:rsidR="00FC0390" w:rsidRPr="00FC0390" w:rsidTr="00600F44">
        <w:tc>
          <w:tcPr>
            <w:tcW w:w="212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Stock stability (on-bench)</w:t>
            </w:r>
          </w:p>
        </w:tc>
        <w:tc>
          <w:tcPr>
            <w:tcW w:w="141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5 hrs</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5.13/2.18</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4.17/1.87</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lang w:val="it-IT"/>
              </w:rPr>
            </w:pPr>
            <w:r w:rsidRPr="00FC0390">
              <w:rPr>
                <w:rFonts w:ascii="Times New Roman" w:hAnsi="Times New Roman" w:cs="Times New Roman"/>
                <w:sz w:val="24"/>
                <w:szCs w:val="24"/>
              </w:rPr>
              <w:t>99.73</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97.03</w:t>
            </w:r>
          </w:p>
        </w:tc>
      </w:tr>
      <w:tr w:rsidR="00FC0390" w:rsidRPr="00FC0390" w:rsidTr="00600F44">
        <w:tc>
          <w:tcPr>
            <w:tcW w:w="212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 xml:space="preserve">Plasma stability (on-bench) </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(QC low/QC high)</w:t>
            </w:r>
          </w:p>
        </w:tc>
        <w:tc>
          <w:tcPr>
            <w:tcW w:w="141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4 hrs</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9.85/2.76</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5.92/3.74</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lang w:val="it-IT"/>
              </w:rPr>
            </w:pPr>
            <w:r w:rsidRPr="00FC0390">
              <w:rPr>
                <w:rFonts w:ascii="Times New Roman" w:hAnsi="Times New Roman" w:cs="Times New Roman"/>
                <w:sz w:val="24"/>
                <w:szCs w:val="24"/>
              </w:rPr>
              <w:t>92.67/97.71</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101.91/103.9</w:t>
            </w:r>
          </w:p>
        </w:tc>
      </w:tr>
      <w:tr w:rsidR="00FC0390" w:rsidRPr="00FC0390" w:rsidTr="00600F44">
        <w:tc>
          <w:tcPr>
            <w:tcW w:w="212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lang w:val="it-IT"/>
              </w:rPr>
            </w:pPr>
            <w:r w:rsidRPr="00FC0390">
              <w:rPr>
                <w:rFonts w:ascii="Times New Roman" w:hAnsi="Times New Roman" w:cs="Times New Roman"/>
                <w:sz w:val="24"/>
                <w:szCs w:val="24"/>
                <w:lang w:val="it-IT"/>
              </w:rPr>
              <w:t>Plasma stability -70</w:t>
            </w:r>
            <w:r w:rsidRPr="00FC0390">
              <w:rPr>
                <w:rFonts w:ascii="Times New Roman" w:hAnsi="Times New Roman" w:cs="Times New Roman"/>
                <w:sz w:val="24"/>
                <w:szCs w:val="24"/>
                <w:vertAlign w:val="superscript"/>
              </w:rPr>
              <w:t>0</w:t>
            </w:r>
            <w:r w:rsidRPr="00FC0390">
              <w:rPr>
                <w:rFonts w:ascii="Times New Roman" w:hAnsi="Times New Roman" w:cs="Times New Roman"/>
                <w:sz w:val="24"/>
                <w:szCs w:val="24"/>
                <w:lang w:val="it-IT"/>
              </w:rPr>
              <w:t>C</w:t>
            </w:r>
          </w:p>
          <w:p w:rsidR="00FC0390" w:rsidRPr="00FC0390" w:rsidRDefault="00FC0390" w:rsidP="00B8212E">
            <w:pPr>
              <w:spacing w:after="0" w:line="240" w:lineRule="auto"/>
              <w:jc w:val="both"/>
              <w:rPr>
                <w:rFonts w:ascii="Times New Roman" w:hAnsi="Times New Roman" w:cs="Times New Roman"/>
                <w:sz w:val="24"/>
                <w:szCs w:val="24"/>
                <w:lang w:val="it-IT"/>
              </w:rPr>
            </w:pPr>
            <w:r w:rsidRPr="00FC0390">
              <w:rPr>
                <w:rFonts w:ascii="Times New Roman" w:hAnsi="Times New Roman" w:cs="Times New Roman"/>
                <w:sz w:val="24"/>
                <w:szCs w:val="24"/>
              </w:rPr>
              <w:t>(QC low/QC high)</w:t>
            </w:r>
          </w:p>
        </w:tc>
        <w:tc>
          <w:tcPr>
            <w:tcW w:w="141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90 days</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5.79/3.30</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7.44/4.42</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lang w:val="it-IT"/>
              </w:rPr>
            </w:pPr>
            <w:r w:rsidRPr="00FC0390">
              <w:rPr>
                <w:rFonts w:ascii="Times New Roman" w:hAnsi="Times New Roman" w:cs="Times New Roman"/>
                <w:sz w:val="24"/>
                <w:szCs w:val="24"/>
              </w:rPr>
              <w:t>92.18/98.97</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98.40/103.14</w:t>
            </w:r>
          </w:p>
        </w:tc>
      </w:tr>
      <w:tr w:rsidR="00FC0390" w:rsidRPr="00FC0390" w:rsidTr="00600F44">
        <w:tc>
          <w:tcPr>
            <w:tcW w:w="2126" w:type="dxa"/>
            <w:tcBorders>
              <w:left w:val="single" w:sz="1" w:space="0" w:color="000000"/>
              <w:bottom w:val="single" w:sz="1" w:space="0" w:color="000000"/>
            </w:tcBorders>
            <w:vAlign w:val="center"/>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 xml:space="preserve">Freeze-thaw </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(QC low/QC high)</w:t>
            </w:r>
          </w:p>
        </w:tc>
        <w:tc>
          <w:tcPr>
            <w:tcW w:w="141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three cycles</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7.10/3.45</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6.88/4.18</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lang w:val="it-IT"/>
              </w:rPr>
            </w:pPr>
            <w:r w:rsidRPr="00FC0390">
              <w:rPr>
                <w:rFonts w:ascii="Times New Roman" w:hAnsi="Times New Roman" w:cs="Times New Roman"/>
                <w:sz w:val="24"/>
                <w:szCs w:val="24"/>
              </w:rPr>
              <w:t>92.19/99.47</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98.93/102.36</w:t>
            </w:r>
          </w:p>
        </w:tc>
      </w:tr>
      <w:tr w:rsidR="00FC0390" w:rsidRPr="00FC0390" w:rsidTr="00600F44">
        <w:tc>
          <w:tcPr>
            <w:tcW w:w="212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lastRenderedPageBreak/>
              <w:t xml:space="preserve">Stability on the instrument </w:t>
            </w: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(QC low/QC high)</w:t>
            </w:r>
          </w:p>
        </w:tc>
        <w:tc>
          <w:tcPr>
            <w:tcW w:w="141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12 hrs</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4.11/1.81</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8.13/2.87</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97.27/99.70</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90.22/98.99</w:t>
            </w:r>
          </w:p>
        </w:tc>
      </w:tr>
      <w:tr w:rsidR="00FC0390" w:rsidRPr="00FC0390" w:rsidTr="00600F44">
        <w:tc>
          <w:tcPr>
            <w:tcW w:w="212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Carry-over</w:t>
            </w:r>
          </w:p>
        </w:tc>
        <w:tc>
          <w:tcPr>
            <w:tcW w:w="141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With carry-over</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r>
      <w:tr w:rsidR="00FC0390" w:rsidRPr="00FC0390" w:rsidTr="00600F44">
        <w:tc>
          <w:tcPr>
            <w:tcW w:w="212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Matrix factor (LLOQ/QC high)</w:t>
            </w:r>
          </w:p>
        </w:tc>
        <w:tc>
          <w:tcPr>
            <w:tcW w:w="141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6 lots</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6.23/2.40</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5.41/3.71</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95.84/95.30</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p>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96.79/97.94</w:t>
            </w:r>
          </w:p>
        </w:tc>
      </w:tr>
      <w:tr w:rsidR="00FC0390" w:rsidRPr="00FC0390" w:rsidTr="00600F44">
        <w:tc>
          <w:tcPr>
            <w:tcW w:w="212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 xml:space="preserve">Recovery </w:t>
            </w:r>
          </w:p>
        </w:tc>
        <w:tc>
          <w:tcPr>
            <w:tcW w:w="1416" w:type="dxa"/>
            <w:tcBorders>
              <w:left w:val="single" w:sz="1" w:space="0" w:color="000000"/>
              <w:bottom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highlight w:val="yellow"/>
              </w:rPr>
            </w:pPr>
            <w:r w:rsidRPr="00FC0390">
              <w:rPr>
                <w:rFonts w:ascii="Times New Roman" w:hAnsi="Times New Roman" w:cs="Times New Roman"/>
                <w:sz w:val="24"/>
                <w:szCs w:val="24"/>
              </w:rPr>
              <w:t>Conforms</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highlight w:val="yellow"/>
              </w:rPr>
            </w:pPr>
            <w:r w:rsidRPr="00FC0390">
              <w:rPr>
                <w:rFonts w:ascii="Times New Roman" w:hAnsi="Times New Roman" w:cs="Times New Roman"/>
                <w:sz w:val="24"/>
                <w:szCs w:val="24"/>
              </w:rPr>
              <w:t>-</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rPr>
            </w:pPr>
            <w:r w:rsidRPr="00FC0390">
              <w:rPr>
                <w:rFonts w:ascii="Times New Roman" w:hAnsi="Times New Roman" w:cs="Times New Roman"/>
                <w:sz w:val="24"/>
                <w:szCs w:val="24"/>
              </w:rPr>
              <w:t>68.83 - 84.28</w:t>
            </w:r>
          </w:p>
        </w:tc>
        <w:tc>
          <w:tcPr>
            <w:tcW w:w="1418" w:type="dxa"/>
            <w:tcBorders>
              <w:left w:val="single" w:sz="1" w:space="0" w:color="000000"/>
              <w:bottom w:val="single" w:sz="1" w:space="0" w:color="000000"/>
              <w:right w:val="single" w:sz="1" w:space="0" w:color="000000"/>
            </w:tcBorders>
          </w:tcPr>
          <w:p w:rsidR="00FC0390" w:rsidRPr="00FC0390" w:rsidRDefault="00FC0390" w:rsidP="00B8212E">
            <w:pPr>
              <w:spacing w:after="0" w:line="240" w:lineRule="auto"/>
              <w:jc w:val="both"/>
              <w:rPr>
                <w:rFonts w:ascii="Times New Roman" w:hAnsi="Times New Roman" w:cs="Times New Roman"/>
                <w:sz w:val="24"/>
                <w:szCs w:val="24"/>
                <w:highlight w:val="yellow"/>
              </w:rPr>
            </w:pPr>
            <w:r w:rsidRPr="00FC0390">
              <w:rPr>
                <w:rFonts w:ascii="Times New Roman" w:hAnsi="Times New Roman" w:cs="Times New Roman"/>
                <w:sz w:val="24"/>
                <w:szCs w:val="24"/>
              </w:rPr>
              <w:t>73.01 - 99.34</w:t>
            </w:r>
          </w:p>
        </w:tc>
      </w:tr>
    </w:tbl>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Default="00FC0390" w:rsidP="00B8212E">
      <w:pPr>
        <w:widowControl w:val="0"/>
        <w:spacing w:after="0" w:line="480" w:lineRule="auto"/>
        <w:jc w:val="both"/>
        <w:rPr>
          <w:rFonts w:ascii="Times New Roman" w:hAnsi="Times New Roman" w:cs="Times New Roman"/>
          <w:b/>
          <w:sz w:val="24"/>
          <w:szCs w:val="24"/>
        </w:rPr>
      </w:pPr>
    </w:p>
    <w:p w:rsidR="00FC0390" w:rsidRPr="00FC0390" w:rsidRDefault="00FC0390" w:rsidP="00B8212E">
      <w:pPr>
        <w:widowControl w:val="0"/>
        <w:spacing w:after="0" w:line="480" w:lineRule="auto"/>
        <w:jc w:val="both"/>
        <w:rPr>
          <w:rFonts w:ascii="Times New Roman" w:hAnsi="Times New Roman" w:cs="Times New Roman"/>
          <w:sz w:val="24"/>
          <w:szCs w:val="24"/>
        </w:rPr>
      </w:pPr>
      <w:r w:rsidRPr="00FC0390">
        <w:rPr>
          <w:rFonts w:ascii="Times New Roman" w:hAnsi="Times New Roman" w:cs="Times New Roman"/>
          <w:b/>
          <w:sz w:val="24"/>
          <w:szCs w:val="24"/>
        </w:rPr>
        <w:lastRenderedPageBreak/>
        <w:t>Table 2</w:t>
      </w:r>
      <w:r w:rsidRPr="00FC0390">
        <w:rPr>
          <w:rFonts w:ascii="Times New Roman" w:hAnsi="Times New Roman" w:cs="Times New Roman"/>
          <w:sz w:val="24"/>
          <w:szCs w:val="24"/>
        </w:rPr>
        <w:t xml:space="preserve"> The concentrations (C) of itraconazole (ITC) and </w:t>
      </w:r>
      <w:r w:rsidRPr="00FC0390">
        <w:rPr>
          <w:rFonts w:ascii="Times New Roman" w:hAnsi="Times New Roman" w:cs="Times New Roman"/>
          <w:bCs/>
          <w:sz w:val="24"/>
          <w:szCs w:val="24"/>
        </w:rPr>
        <w:t xml:space="preserve">hydroxy itraconazole (HITC) </w:t>
      </w:r>
      <w:r w:rsidRPr="00FC0390">
        <w:rPr>
          <w:rFonts w:ascii="Times New Roman" w:hAnsi="Times New Roman" w:cs="Times New Roman"/>
          <w:sz w:val="24"/>
          <w:szCs w:val="24"/>
        </w:rPr>
        <w:t>in human plasma.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
        <w:gridCol w:w="917"/>
        <w:gridCol w:w="979"/>
        <w:gridCol w:w="980"/>
        <w:gridCol w:w="921"/>
        <w:gridCol w:w="922"/>
        <w:gridCol w:w="889"/>
        <w:gridCol w:w="890"/>
        <w:gridCol w:w="935"/>
        <w:gridCol w:w="936"/>
      </w:tblGrid>
      <w:tr w:rsidR="00FC0390" w:rsidRPr="00FC0390" w:rsidTr="00600F44">
        <w:trPr>
          <w:jc w:val="center"/>
        </w:trPr>
        <w:tc>
          <w:tcPr>
            <w:tcW w:w="1834" w:type="dxa"/>
            <w:gridSpan w:val="2"/>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C before dilution (ng/</w:t>
            </w:r>
            <w:proofErr w:type="spellStart"/>
            <w:r w:rsidRPr="00FC0390">
              <w:rPr>
                <w:rFonts w:ascii="Times New Roman" w:eastAsia="Times New Roman" w:hAnsi="Times New Roman" w:cs="Times New Roman"/>
                <w:b/>
                <w:bCs/>
                <w:lang w:val="en-GB"/>
              </w:rPr>
              <w:t>mL</w:t>
            </w:r>
            <w:proofErr w:type="spellEnd"/>
            <w:r w:rsidRPr="00FC0390">
              <w:rPr>
                <w:rFonts w:ascii="Times New Roman" w:eastAsia="Times New Roman" w:hAnsi="Times New Roman" w:cs="Times New Roman"/>
                <w:b/>
                <w:bCs/>
                <w:lang w:val="en-GB"/>
              </w:rPr>
              <w:t>)</w:t>
            </w:r>
          </w:p>
        </w:tc>
        <w:tc>
          <w:tcPr>
            <w:tcW w:w="1959" w:type="dxa"/>
            <w:gridSpan w:val="2"/>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 xml:space="preserve">C after </w:t>
            </w:r>
          </w:p>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 xml:space="preserve">dilution </w:t>
            </w:r>
          </w:p>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(ng/</w:t>
            </w:r>
            <w:proofErr w:type="spellStart"/>
            <w:r w:rsidRPr="00FC0390">
              <w:rPr>
                <w:rFonts w:ascii="Times New Roman" w:eastAsia="Times New Roman" w:hAnsi="Times New Roman" w:cs="Times New Roman"/>
                <w:b/>
                <w:bCs/>
                <w:lang w:val="en-GB"/>
              </w:rPr>
              <w:t>mL</w:t>
            </w:r>
            <w:proofErr w:type="spellEnd"/>
            <w:r w:rsidRPr="00FC0390">
              <w:rPr>
                <w:rFonts w:ascii="Times New Roman" w:eastAsia="Times New Roman" w:hAnsi="Times New Roman" w:cs="Times New Roman"/>
                <w:b/>
                <w:bCs/>
                <w:lang w:val="en-GB"/>
              </w:rPr>
              <w:t>)</w:t>
            </w:r>
          </w:p>
        </w:tc>
        <w:tc>
          <w:tcPr>
            <w:tcW w:w="1843" w:type="dxa"/>
            <w:gridSpan w:val="2"/>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C after calculation (ng/</w:t>
            </w:r>
            <w:proofErr w:type="spellStart"/>
            <w:r w:rsidRPr="00FC0390">
              <w:rPr>
                <w:rFonts w:ascii="Times New Roman" w:eastAsia="Times New Roman" w:hAnsi="Times New Roman" w:cs="Times New Roman"/>
                <w:b/>
                <w:bCs/>
                <w:lang w:val="en-GB"/>
              </w:rPr>
              <w:t>mL</w:t>
            </w:r>
            <w:proofErr w:type="spellEnd"/>
            <w:r w:rsidRPr="00FC0390">
              <w:rPr>
                <w:rFonts w:ascii="Times New Roman" w:eastAsia="Times New Roman" w:hAnsi="Times New Roman" w:cs="Times New Roman"/>
                <w:b/>
                <w:bCs/>
                <w:lang w:val="en-GB"/>
              </w:rPr>
              <w:t>)</w:t>
            </w:r>
          </w:p>
        </w:tc>
        <w:tc>
          <w:tcPr>
            <w:tcW w:w="1779" w:type="dxa"/>
            <w:gridSpan w:val="2"/>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C after calculation</w:t>
            </w:r>
          </w:p>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w:t>
            </w:r>
          </w:p>
        </w:tc>
        <w:tc>
          <w:tcPr>
            <w:tcW w:w="1871" w:type="dxa"/>
            <w:gridSpan w:val="2"/>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Coefficient of variation</w:t>
            </w:r>
          </w:p>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w:t>
            </w:r>
          </w:p>
        </w:tc>
      </w:tr>
      <w:tr w:rsidR="00FC0390" w:rsidRPr="00FC0390" w:rsidTr="00600F44">
        <w:trPr>
          <w:jc w:val="center"/>
        </w:trPr>
        <w:tc>
          <w:tcPr>
            <w:tcW w:w="917"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ITC</w:t>
            </w:r>
          </w:p>
        </w:tc>
        <w:tc>
          <w:tcPr>
            <w:tcW w:w="917"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lang w:val="en-GB"/>
              </w:rPr>
              <w:t>HTC</w:t>
            </w:r>
          </w:p>
        </w:tc>
        <w:tc>
          <w:tcPr>
            <w:tcW w:w="979"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ITC</w:t>
            </w:r>
          </w:p>
        </w:tc>
        <w:tc>
          <w:tcPr>
            <w:tcW w:w="980"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lang w:val="en-GB"/>
              </w:rPr>
              <w:t>HTC</w:t>
            </w:r>
          </w:p>
        </w:tc>
        <w:tc>
          <w:tcPr>
            <w:tcW w:w="921"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ITC</w:t>
            </w:r>
          </w:p>
        </w:tc>
        <w:tc>
          <w:tcPr>
            <w:tcW w:w="922"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lang w:val="en-GB"/>
              </w:rPr>
              <w:t>HTC</w:t>
            </w:r>
          </w:p>
        </w:tc>
        <w:tc>
          <w:tcPr>
            <w:tcW w:w="889"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ITC</w:t>
            </w:r>
          </w:p>
        </w:tc>
        <w:tc>
          <w:tcPr>
            <w:tcW w:w="890"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lang w:val="en-GB"/>
              </w:rPr>
              <w:t>HTC</w:t>
            </w:r>
          </w:p>
        </w:tc>
        <w:tc>
          <w:tcPr>
            <w:tcW w:w="935"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bCs/>
                <w:lang w:val="en-GB"/>
              </w:rPr>
              <w:t>ITC</w:t>
            </w:r>
          </w:p>
        </w:tc>
        <w:tc>
          <w:tcPr>
            <w:tcW w:w="936"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
                <w:lang w:val="en-GB"/>
              </w:rPr>
              <w:t>HTC</w:t>
            </w:r>
          </w:p>
        </w:tc>
      </w:tr>
      <w:tr w:rsidR="00FC0390" w:rsidRPr="00FC0390" w:rsidTr="00600F44">
        <w:trPr>
          <w:jc w:val="center"/>
        </w:trPr>
        <w:tc>
          <w:tcPr>
            <w:tcW w:w="917"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Cs/>
                <w:lang w:val="en-GB"/>
              </w:rPr>
            </w:pPr>
            <w:r w:rsidRPr="00FC0390">
              <w:rPr>
                <w:rFonts w:ascii="Times New Roman" w:eastAsia="Times New Roman" w:hAnsi="Times New Roman" w:cs="Times New Roman"/>
                <w:bCs/>
                <w:lang w:val="en-GB"/>
              </w:rPr>
              <w:t>150.00</w:t>
            </w:r>
          </w:p>
        </w:tc>
        <w:tc>
          <w:tcPr>
            <w:tcW w:w="917"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Cs/>
                <w:lang w:val="en-GB"/>
              </w:rPr>
            </w:pPr>
            <w:r w:rsidRPr="00FC0390">
              <w:rPr>
                <w:rFonts w:ascii="Times New Roman" w:eastAsia="Times New Roman" w:hAnsi="Times New Roman" w:cs="Times New Roman"/>
                <w:bCs/>
                <w:lang w:val="en-GB"/>
              </w:rPr>
              <w:t>150.00</w:t>
            </w:r>
          </w:p>
        </w:tc>
        <w:tc>
          <w:tcPr>
            <w:tcW w:w="979"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Cs/>
                <w:lang w:val="en-GB"/>
              </w:rPr>
            </w:pPr>
            <w:r w:rsidRPr="00FC0390">
              <w:rPr>
                <w:rFonts w:ascii="Times New Roman" w:eastAsia="Times New Roman" w:hAnsi="Times New Roman" w:cs="Times New Roman"/>
                <w:bCs/>
                <w:lang w:val="en-GB"/>
              </w:rPr>
              <w:t>75.00</w:t>
            </w:r>
          </w:p>
        </w:tc>
        <w:tc>
          <w:tcPr>
            <w:tcW w:w="980"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Cs/>
                <w:lang w:val="en-GB"/>
              </w:rPr>
            </w:pPr>
            <w:r w:rsidRPr="00FC0390">
              <w:rPr>
                <w:rFonts w:ascii="Times New Roman" w:eastAsia="Times New Roman" w:hAnsi="Times New Roman" w:cs="Times New Roman"/>
                <w:bCs/>
                <w:lang w:val="en-GB"/>
              </w:rPr>
              <w:t>75.00</w:t>
            </w:r>
          </w:p>
        </w:tc>
        <w:tc>
          <w:tcPr>
            <w:tcW w:w="921"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70.79</w:t>
            </w:r>
          </w:p>
        </w:tc>
        <w:tc>
          <w:tcPr>
            <w:tcW w:w="922"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69.27</w:t>
            </w:r>
          </w:p>
        </w:tc>
        <w:tc>
          <w:tcPr>
            <w:tcW w:w="889"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94.39</w:t>
            </w:r>
          </w:p>
        </w:tc>
        <w:tc>
          <w:tcPr>
            <w:tcW w:w="890"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95.39</w:t>
            </w:r>
          </w:p>
        </w:tc>
        <w:tc>
          <w:tcPr>
            <w:tcW w:w="935"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3.34</w:t>
            </w:r>
          </w:p>
        </w:tc>
        <w:tc>
          <w:tcPr>
            <w:tcW w:w="936"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2.74</w:t>
            </w:r>
          </w:p>
        </w:tc>
      </w:tr>
      <w:tr w:rsidR="00FC0390" w:rsidRPr="00FC0390" w:rsidTr="00600F44">
        <w:trPr>
          <w:jc w:val="center"/>
        </w:trPr>
        <w:tc>
          <w:tcPr>
            <w:tcW w:w="917"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Cs/>
                <w:lang w:val="en-GB"/>
              </w:rPr>
            </w:pPr>
            <w:r w:rsidRPr="00FC0390">
              <w:rPr>
                <w:rFonts w:ascii="Times New Roman" w:eastAsia="Times New Roman" w:hAnsi="Times New Roman" w:cs="Times New Roman"/>
                <w:bCs/>
                <w:lang w:val="en-GB"/>
              </w:rPr>
              <w:t>110.00</w:t>
            </w:r>
          </w:p>
        </w:tc>
        <w:tc>
          <w:tcPr>
            <w:tcW w:w="917"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Cs/>
                <w:lang w:val="en-GB"/>
              </w:rPr>
            </w:pPr>
            <w:r w:rsidRPr="00FC0390">
              <w:rPr>
                <w:rFonts w:ascii="Times New Roman" w:eastAsia="Times New Roman" w:hAnsi="Times New Roman" w:cs="Times New Roman"/>
                <w:bCs/>
                <w:lang w:val="en-GB"/>
              </w:rPr>
              <w:t>110.00</w:t>
            </w:r>
          </w:p>
        </w:tc>
        <w:tc>
          <w:tcPr>
            <w:tcW w:w="979"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Cs/>
                <w:lang w:val="en-GB"/>
              </w:rPr>
            </w:pPr>
            <w:r w:rsidRPr="00FC0390">
              <w:rPr>
                <w:rFonts w:ascii="Times New Roman" w:eastAsia="Times New Roman" w:hAnsi="Times New Roman" w:cs="Times New Roman"/>
                <w:bCs/>
                <w:lang w:val="en-GB"/>
              </w:rPr>
              <w:t>55.00</w:t>
            </w:r>
          </w:p>
        </w:tc>
        <w:tc>
          <w:tcPr>
            <w:tcW w:w="980"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Cs/>
                <w:lang w:val="en-GB"/>
              </w:rPr>
            </w:pPr>
            <w:r w:rsidRPr="00FC0390">
              <w:rPr>
                <w:rFonts w:ascii="Times New Roman" w:eastAsia="Times New Roman" w:hAnsi="Times New Roman" w:cs="Times New Roman"/>
                <w:bCs/>
                <w:lang w:val="en-GB"/>
              </w:rPr>
              <w:t>55.00</w:t>
            </w:r>
          </w:p>
        </w:tc>
        <w:tc>
          <w:tcPr>
            <w:tcW w:w="921"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52.26</w:t>
            </w:r>
          </w:p>
        </w:tc>
        <w:tc>
          <w:tcPr>
            <w:tcW w:w="922"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49.14</w:t>
            </w:r>
          </w:p>
        </w:tc>
        <w:tc>
          <w:tcPr>
            <w:tcW w:w="889"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95.01</w:t>
            </w:r>
          </w:p>
        </w:tc>
        <w:tc>
          <w:tcPr>
            <w:tcW w:w="890"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87.05</w:t>
            </w:r>
          </w:p>
        </w:tc>
        <w:tc>
          <w:tcPr>
            <w:tcW w:w="935"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4.29</w:t>
            </w:r>
          </w:p>
        </w:tc>
        <w:tc>
          <w:tcPr>
            <w:tcW w:w="936"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2.06</w:t>
            </w:r>
          </w:p>
        </w:tc>
      </w:tr>
      <w:tr w:rsidR="00FC0390" w:rsidRPr="00FC0390" w:rsidTr="00600F44">
        <w:trPr>
          <w:jc w:val="center"/>
        </w:trPr>
        <w:tc>
          <w:tcPr>
            <w:tcW w:w="917"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Cs/>
                <w:lang w:val="en-GB"/>
              </w:rPr>
            </w:pPr>
            <w:r w:rsidRPr="00FC0390">
              <w:rPr>
                <w:rFonts w:ascii="Times New Roman" w:eastAsia="Times New Roman" w:hAnsi="Times New Roman" w:cs="Times New Roman"/>
                <w:bCs/>
                <w:lang w:val="en-GB"/>
              </w:rPr>
              <w:t>50.00</w:t>
            </w:r>
          </w:p>
        </w:tc>
        <w:tc>
          <w:tcPr>
            <w:tcW w:w="917"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Cs/>
                <w:lang w:val="en-GB"/>
              </w:rPr>
            </w:pPr>
            <w:r w:rsidRPr="00FC0390">
              <w:rPr>
                <w:rFonts w:ascii="Times New Roman" w:eastAsia="Times New Roman" w:hAnsi="Times New Roman" w:cs="Times New Roman"/>
                <w:bCs/>
                <w:lang w:val="en-GB"/>
              </w:rPr>
              <w:t>50.00</w:t>
            </w:r>
          </w:p>
        </w:tc>
        <w:tc>
          <w:tcPr>
            <w:tcW w:w="979"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Cs/>
                <w:lang w:val="en-GB"/>
              </w:rPr>
            </w:pPr>
            <w:r w:rsidRPr="00FC0390">
              <w:rPr>
                <w:rFonts w:ascii="Times New Roman" w:eastAsia="Times New Roman" w:hAnsi="Times New Roman" w:cs="Times New Roman"/>
                <w:bCs/>
                <w:lang w:val="en-GB"/>
              </w:rPr>
              <w:t>25.00</w:t>
            </w:r>
          </w:p>
        </w:tc>
        <w:tc>
          <w:tcPr>
            <w:tcW w:w="980"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bCs/>
                <w:lang w:val="en-GB"/>
              </w:rPr>
              <w:t>25.00</w:t>
            </w:r>
          </w:p>
        </w:tc>
        <w:tc>
          <w:tcPr>
            <w:tcW w:w="921"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24.19</w:t>
            </w:r>
          </w:p>
        </w:tc>
        <w:tc>
          <w:tcPr>
            <w:tcW w:w="922"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22.66</w:t>
            </w:r>
          </w:p>
        </w:tc>
        <w:tc>
          <w:tcPr>
            <w:tcW w:w="889"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96.75</w:t>
            </w:r>
          </w:p>
        </w:tc>
        <w:tc>
          <w:tcPr>
            <w:tcW w:w="890"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88.52</w:t>
            </w:r>
          </w:p>
        </w:tc>
        <w:tc>
          <w:tcPr>
            <w:tcW w:w="935" w:type="dxa"/>
            <w:shd w:val="clear" w:color="auto" w:fill="FFFFFF" w:themeFill="background1"/>
            <w:vAlign w:val="bottom"/>
          </w:tcPr>
          <w:p w:rsidR="00FC0390" w:rsidRPr="00FC0390" w:rsidRDefault="00FC0390" w:rsidP="00B8212E">
            <w:pPr>
              <w:spacing w:after="0" w:line="240" w:lineRule="auto"/>
              <w:jc w:val="both"/>
              <w:rPr>
                <w:rFonts w:ascii="Times New Roman" w:hAnsi="Times New Roman" w:cs="Times New Roman"/>
              </w:rPr>
            </w:pPr>
            <w:r w:rsidRPr="00FC0390">
              <w:rPr>
                <w:rFonts w:ascii="Times New Roman" w:hAnsi="Times New Roman" w:cs="Times New Roman"/>
              </w:rPr>
              <w:t>5.68</w:t>
            </w:r>
          </w:p>
        </w:tc>
        <w:tc>
          <w:tcPr>
            <w:tcW w:w="936" w:type="dxa"/>
            <w:shd w:val="clear" w:color="auto" w:fill="FFFFFF" w:themeFill="background1"/>
          </w:tcPr>
          <w:p w:rsidR="00FC0390" w:rsidRPr="00FC0390" w:rsidRDefault="00FC0390" w:rsidP="00B8212E">
            <w:pPr>
              <w:spacing w:after="0" w:line="240" w:lineRule="auto"/>
              <w:jc w:val="both"/>
              <w:rPr>
                <w:rFonts w:ascii="Times New Roman" w:eastAsia="Times New Roman" w:hAnsi="Times New Roman" w:cs="Times New Roman"/>
                <w:b/>
                <w:bCs/>
                <w:lang w:val="en-GB"/>
              </w:rPr>
            </w:pPr>
            <w:r w:rsidRPr="00FC0390">
              <w:rPr>
                <w:rFonts w:ascii="Times New Roman" w:eastAsia="Times New Roman" w:hAnsi="Times New Roman" w:cs="Times New Roman"/>
                <w:lang w:val="en-GB"/>
              </w:rPr>
              <w:t>5.20</w:t>
            </w:r>
          </w:p>
        </w:tc>
      </w:tr>
    </w:tbl>
    <w:p w:rsidR="00FC0390" w:rsidRPr="0037405F" w:rsidRDefault="00FC0390" w:rsidP="00B8212E">
      <w:pPr>
        <w:widowControl w:val="0"/>
        <w:autoSpaceDE w:val="0"/>
        <w:autoSpaceDN w:val="0"/>
        <w:adjustRightInd w:val="0"/>
        <w:spacing w:after="0" w:line="480" w:lineRule="auto"/>
        <w:jc w:val="both"/>
        <w:rPr>
          <w:rFonts w:ascii="Times New Roman" w:hAnsi="Times New Roman" w:cs="Times New Roman"/>
          <w:sz w:val="24"/>
          <w:szCs w:val="24"/>
        </w:rPr>
      </w:pPr>
    </w:p>
    <w:sectPr w:rsidR="00FC0390" w:rsidRPr="0037405F" w:rsidSect="00CF75EF">
      <w:footerReference w:type="default" r:id="rId11"/>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D0A" w:rsidRDefault="00EE7D0A" w:rsidP="006D6160">
      <w:pPr>
        <w:spacing w:after="0" w:line="240" w:lineRule="auto"/>
      </w:pPr>
      <w:r>
        <w:separator/>
      </w:r>
    </w:p>
  </w:endnote>
  <w:endnote w:type="continuationSeparator" w:id="0">
    <w:p w:rsidR="00EE7D0A" w:rsidRDefault="00EE7D0A" w:rsidP="006D61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45362"/>
      <w:docPartObj>
        <w:docPartGallery w:val="Page Numbers (Bottom of Page)"/>
        <w:docPartUnique/>
      </w:docPartObj>
    </w:sdtPr>
    <w:sdtEndPr>
      <w:rPr>
        <w:rFonts w:ascii="Times New Roman" w:hAnsi="Times New Roman" w:cs="Times New Roman"/>
        <w:sz w:val="24"/>
        <w:szCs w:val="24"/>
      </w:rPr>
    </w:sdtEndPr>
    <w:sdtContent>
      <w:p w:rsidR="000A5B20" w:rsidRPr="000A5B20" w:rsidRDefault="00197B67">
        <w:pPr>
          <w:pStyle w:val="Footer"/>
          <w:jc w:val="right"/>
          <w:rPr>
            <w:rFonts w:ascii="Times New Roman" w:hAnsi="Times New Roman" w:cs="Times New Roman"/>
            <w:sz w:val="24"/>
            <w:szCs w:val="24"/>
          </w:rPr>
        </w:pPr>
        <w:r w:rsidRPr="000A5B20">
          <w:rPr>
            <w:rFonts w:ascii="Times New Roman" w:hAnsi="Times New Roman" w:cs="Times New Roman"/>
            <w:sz w:val="24"/>
            <w:szCs w:val="24"/>
          </w:rPr>
          <w:fldChar w:fldCharType="begin"/>
        </w:r>
        <w:r w:rsidR="000A5B20" w:rsidRPr="000A5B20">
          <w:rPr>
            <w:rFonts w:ascii="Times New Roman" w:hAnsi="Times New Roman" w:cs="Times New Roman"/>
            <w:sz w:val="24"/>
            <w:szCs w:val="24"/>
          </w:rPr>
          <w:instrText xml:space="preserve"> PAGE   \* MERGEFORMAT </w:instrText>
        </w:r>
        <w:r w:rsidRPr="000A5B20">
          <w:rPr>
            <w:rFonts w:ascii="Times New Roman" w:hAnsi="Times New Roman" w:cs="Times New Roman"/>
            <w:sz w:val="24"/>
            <w:szCs w:val="24"/>
          </w:rPr>
          <w:fldChar w:fldCharType="separate"/>
        </w:r>
        <w:r w:rsidR="00B8212E">
          <w:rPr>
            <w:rFonts w:ascii="Times New Roman" w:hAnsi="Times New Roman" w:cs="Times New Roman"/>
            <w:noProof/>
            <w:sz w:val="24"/>
            <w:szCs w:val="24"/>
          </w:rPr>
          <w:t>9</w:t>
        </w:r>
        <w:r w:rsidRPr="000A5B20">
          <w:rPr>
            <w:rFonts w:ascii="Times New Roman" w:hAnsi="Times New Roman" w:cs="Times New Roman"/>
            <w:sz w:val="24"/>
            <w:szCs w:val="24"/>
          </w:rPr>
          <w:fldChar w:fldCharType="end"/>
        </w:r>
      </w:p>
    </w:sdtContent>
  </w:sdt>
  <w:p w:rsidR="0037405F" w:rsidRDefault="003740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D0A" w:rsidRDefault="00EE7D0A" w:rsidP="006D6160">
      <w:pPr>
        <w:spacing w:after="0" w:line="240" w:lineRule="auto"/>
      </w:pPr>
      <w:r>
        <w:separator/>
      </w:r>
    </w:p>
  </w:footnote>
  <w:footnote w:type="continuationSeparator" w:id="0">
    <w:p w:rsidR="00EE7D0A" w:rsidRDefault="00EE7D0A" w:rsidP="006D61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4307D"/>
    <w:multiLevelType w:val="multilevel"/>
    <w:tmpl w:val="C350522A"/>
    <w:lvl w:ilvl="0">
      <w:start w:val="1"/>
      <w:numFmt w:val="decimal"/>
      <w:lvlText w:val="%1)"/>
      <w:lvlJc w:val="left"/>
      <w:rPr>
        <w:rFonts w:asciiTheme="minorHAnsi" w:eastAsiaTheme="minorEastAsia" w:hAnsiTheme="minorHAnsi" w:cs="Arial"/>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C70F6"/>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1C6AC9"/>
    <w:multiLevelType w:val="hybridMultilevel"/>
    <w:tmpl w:val="5C1CF03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A801F5"/>
    <w:multiLevelType w:val="multilevel"/>
    <w:tmpl w:val="9B8C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874A3D"/>
    <w:multiLevelType w:val="multilevel"/>
    <w:tmpl w:val="9654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C14A46"/>
    <w:multiLevelType w:val="hybridMultilevel"/>
    <w:tmpl w:val="F586BDE6"/>
    <w:lvl w:ilvl="0" w:tplc="0424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624077F4"/>
    <w:multiLevelType w:val="hybridMultilevel"/>
    <w:tmpl w:val="93A46EA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7"/>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tDA3NDMwMzK0NDcxMTFU0lEKTi0uzszPAykwrAUAWlTzACwAAAA="/>
  </w:docVars>
  <w:rsids>
    <w:rsidRoot w:val="00B61CEB"/>
    <w:rsid w:val="00012638"/>
    <w:rsid w:val="000243B0"/>
    <w:rsid w:val="00027EE5"/>
    <w:rsid w:val="0005220B"/>
    <w:rsid w:val="00097570"/>
    <w:rsid w:val="000A5B20"/>
    <w:rsid w:val="000C0AB9"/>
    <w:rsid w:val="000F1D0B"/>
    <w:rsid w:val="000F4B8E"/>
    <w:rsid w:val="00197B67"/>
    <w:rsid w:val="001D5FE3"/>
    <w:rsid w:val="002053B4"/>
    <w:rsid w:val="002179A0"/>
    <w:rsid w:val="00264273"/>
    <w:rsid w:val="00320FE0"/>
    <w:rsid w:val="003410AA"/>
    <w:rsid w:val="00354C54"/>
    <w:rsid w:val="00362797"/>
    <w:rsid w:val="0037405F"/>
    <w:rsid w:val="00386C8A"/>
    <w:rsid w:val="003A2D36"/>
    <w:rsid w:val="003B3F3A"/>
    <w:rsid w:val="00472BC7"/>
    <w:rsid w:val="00487100"/>
    <w:rsid w:val="004910A0"/>
    <w:rsid w:val="004A2E28"/>
    <w:rsid w:val="00515C4B"/>
    <w:rsid w:val="00540BFE"/>
    <w:rsid w:val="00545BE8"/>
    <w:rsid w:val="00590403"/>
    <w:rsid w:val="005D258A"/>
    <w:rsid w:val="005F738C"/>
    <w:rsid w:val="00603B30"/>
    <w:rsid w:val="0061325A"/>
    <w:rsid w:val="00637E05"/>
    <w:rsid w:val="006855DC"/>
    <w:rsid w:val="006905C5"/>
    <w:rsid w:val="006D6160"/>
    <w:rsid w:val="00712C39"/>
    <w:rsid w:val="007319D8"/>
    <w:rsid w:val="007364DA"/>
    <w:rsid w:val="007868B2"/>
    <w:rsid w:val="00794D97"/>
    <w:rsid w:val="007A4DCA"/>
    <w:rsid w:val="00882A07"/>
    <w:rsid w:val="008E00A4"/>
    <w:rsid w:val="008F3F34"/>
    <w:rsid w:val="009249D8"/>
    <w:rsid w:val="00957AD3"/>
    <w:rsid w:val="009659BC"/>
    <w:rsid w:val="00981C04"/>
    <w:rsid w:val="00997369"/>
    <w:rsid w:val="00997D79"/>
    <w:rsid w:val="009A7341"/>
    <w:rsid w:val="00A604C1"/>
    <w:rsid w:val="00A6169D"/>
    <w:rsid w:val="00A75F1A"/>
    <w:rsid w:val="00AA22F0"/>
    <w:rsid w:val="00AB70C5"/>
    <w:rsid w:val="00AF0E16"/>
    <w:rsid w:val="00B206B7"/>
    <w:rsid w:val="00B247F2"/>
    <w:rsid w:val="00B61458"/>
    <w:rsid w:val="00B61CEB"/>
    <w:rsid w:val="00B6381B"/>
    <w:rsid w:val="00B8212E"/>
    <w:rsid w:val="00B84109"/>
    <w:rsid w:val="00BD3D10"/>
    <w:rsid w:val="00C32B0A"/>
    <w:rsid w:val="00C3564C"/>
    <w:rsid w:val="00CA014B"/>
    <w:rsid w:val="00CC695F"/>
    <w:rsid w:val="00CD0738"/>
    <w:rsid w:val="00CE4F45"/>
    <w:rsid w:val="00CF75EF"/>
    <w:rsid w:val="00D448C1"/>
    <w:rsid w:val="00D92CA7"/>
    <w:rsid w:val="00DF02D9"/>
    <w:rsid w:val="00E21558"/>
    <w:rsid w:val="00E47A91"/>
    <w:rsid w:val="00E800EF"/>
    <w:rsid w:val="00EB18B4"/>
    <w:rsid w:val="00EE7D0A"/>
    <w:rsid w:val="00FC0390"/>
    <w:rsid w:val="00FC5702"/>
    <w:rsid w:val="00FD4518"/>
    <w:rsid w:val="00FD751A"/>
    <w:rsid w:val="00FF1E2E"/>
    <w:rsid w:val="00FF7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25A"/>
  </w:style>
  <w:style w:type="paragraph" w:styleId="Heading1">
    <w:name w:val="heading 1"/>
    <w:basedOn w:val="Normal"/>
    <w:next w:val="Normal"/>
    <w:link w:val="Heading1Char"/>
    <w:qFormat/>
    <w:rsid w:val="00E47A91"/>
    <w:pPr>
      <w:keepNext/>
      <w:suppressAutoHyphens/>
      <w:spacing w:before="240" w:after="60" w:line="480" w:lineRule="auto"/>
      <w:outlineLvl w:val="0"/>
    </w:pPr>
    <w:rPr>
      <w:rFonts w:ascii="Arial" w:eastAsia="Times New Roman" w:hAnsi="Arial" w:cs="Arial"/>
      <w:b/>
      <w:bCs/>
      <w:kern w:val="32"/>
      <w:sz w:val="32"/>
      <w:szCs w:val="32"/>
      <w:lang w:eastAsia="ar-SA"/>
    </w:rPr>
  </w:style>
  <w:style w:type="paragraph" w:styleId="Heading3">
    <w:name w:val="heading 3"/>
    <w:basedOn w:val="Normal"/>
    <w:next w:val="NormalIndent"/>
    <w:link w:val="Heading3Char"/>
    <w:qFormat/>
    <w:rsid w:val="002179A0"/>
    <w:pPr>
      <w:spacing w:before="60" w:after="0" w:line="240" w:lineRule="auto"/>
      <w:outlineLvl w:val="2"/>
    </w:pPr>
    <w:rPr>
      <w:rFonts w:ascii="Times New Roman" w:eastAsia="Times New Roman" w:hAnsi="Times New Roman" w:cs="Times New Roman"/>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3">
    <w:name w:val="Pa13"/>
    <w:basedOn w:val="Normal"/>
    <w:next w:val="Normal"/>
    <w:uiPriority w:val="99"/>
    <w:rsid w:val="00B61CEB"/>
    <w:pPr>
      <w:autoSpaceDE w:val="0"/>
      <w:autoSpaceDN w:val="0"/>
      <w:adjustRightInd w:val="0"/>
      <w:spacing w:after="0" w:line="281" w:lineRule="atLeast"/>
    </w:pPr>
    <w:rPr>
      <w:rFonts w:ascii="Gill Sans MT" w:hAnsi="Gill Sans MT"/>
      <w:sz w:val="24"/>
      <w:szCs w:val="24"/>
    </w:rPr>
  </w:style>
  <w:style w:type="paragraph" w:customStyle="1" w:styleId="Pa14">
    <w:name w:val="Pa14"/>
    <w:basedOn w:val="Normal"/>
    <w:next w:val="Normal"/>
    <w:uiPriority w:val="99"/>
    <w:rsid w:val="00B61CEB"/>
    <w:pPr>
      <w:autoSpaceDE w:val="0"/>
      <w:autoSpaceDN w:val="0"/>
      <w:adjustRightInd w:val="0"/>
      <w:spacing w:after="0" w:line="201" w:lineRule="atLeast"/>
    </w:pPr>
    <w:rPr>
      <w:rFonts w:ascii="Gill Sans MT" w:hAnsi="Gill Sans MT"/>
      <w:sz w:val="24"/>
      <w:szCs w:val="24"/>
    </w:rPr>
  </w:style>
  <w:style w:type="character" w:customStyle="1" w:styleId="A14">
    <w:name w:val="A14"/>
    <w:uiPriority w:val="99"/>
    <w:rsid w:val="00B61CEB"/>
    <w:rPr>
      <w:rFonts w:ascii="Times New Roman PS" w:hAnsi="Times New Roman PS" w:cs="Times New Roman PS"/>
      <w:color w:val="000000"/>
      <w:sz w:val="11"/>
      <w:szCs w:val="11"/>
    </w:rPr>
  </w:style>
  <w:style w:type="paragraph" w:customStyle="1" w:styleId="Pa19">
    <w:name w:val="Pa19"/>
    <w:basedOn w:val="Normal"/>
    <w:next w:val="Normal"/>
    <w:uiPriority w:val="99"/>
    <w:rsid w:val="00B61CEB"/>
    <w:pPr>
      <w:autoSpaceDE w:val="0"/>
      <w:autoSpaceDN w:val="0"/>
      <w:adjustRightInd w:val="0"/>
      <w:spacing w:after="0" w:line="281" w:lineRule="atLeast"/>
    </w:pPr>
    <w:rPr>
      <w:rFonts w:ascii="Gill Sans MT" w:hAnsi="Gill Sans MT"/>
      <w:sz w:val="24"/>
      <w:szCs w:val="24"/>
    </w:rPr>
  </w:style>
  <w:style w:type="character" w:customStyle="1" w:styleId="A15">
    <w:name w:val="A15"/>
    <w:uiPriority w:val="99"/>
    <w:rsid w:val="00B61CEB"/>
    <w:rPr>
      <w:rFonts w:ascii="Times New Roman PS" w:hAnsi="Times New Roman PS" w:cs="Times New Roman PS"/>
      <w:color w:val="000000"/>
      <w:sz w:val="11"/>
      <w:szCs w:val="11"/>
    </w:rPr>
  </w:style>
  <w:style w:type="paragraph" w:customStyle="1" w:styleId="Pa18">
    <w:name w:val="Pa18"/>
    <w:basedOn w:val="Normal"/>
    <w:next w:val="Normal"/>
    <w:uiPriority w:val="99"/>
    <w:rsid w:val="00B61CEB"/>
    <w:pPr>
      <w:autoSpaceDE w:val="0"/>
      <w:autoSpaceDN w:val="0"/>
      <w:adjustRightInd w:val="0"/>
      <w:spacing w:after="0" w:line="201" w:lineRule="atLeast"/>
    </w:pPr>
    <w:rPr>
      <w:rFonts w:ascii="Gill Sans MT" w:hAnsi="Gill Sans MT"/>
      <w:sz w:val="24"/>
      <w:szCs w:val="24"/>
    </w:rPr>
  </w:style>
  <w:style w:type="paragraph" w:customStyle="1" w:styleId="Pa22">
    <w:name w:val="Pa22"/>
    <w:basedOn w:val="Normal"/>
    <w:next w:val="Normal"/>
    <w:uiPriority w:val="99"/>
    <w:rsid w:val="00B61CEB"/>
    <w:pPr>
      <w:autoSpaceDE w:val="0"/>
      <w:autoSpaceDN w:val="0"/>
      <w:adjustRightInd w:val="0"/>
      <w:spacing w:after="0" w:line="221" w:lineRule="atLeast"/>
    </w:pPr>
    <w:rPr>
      <w:rFonts w:ascii="Times New Roman PS" w:hAnsi="Times New Roman PS"/>
      <w:sz w:val="24"/>
      <w:szCs w:val="24"/>
    </w:rPr>
  </w:style>
  <w:style w:type="paragraph" w:customStyle="1" w:styleId="Default">
    <w:name w:val="Default"/>
    <w:rsid w:val="009A7341"/>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5F738C"/>
  </w:style>
  <w:style w:type="character" w:styleId="Strong">
    <w:name w:val="Strong"/>
    <w:basedOn w:val="DefaultParagraphFont"/>
    <w:uiPriority w:val="22"/>
    <w:qFormat/>
    <w:rsid w:val="00C3564C"/>
    <w:rPr>
      <w:b/>
      <w:bCs/>
    </w:rPr>
  </w:style>
  <w:style w:type="character" w:styleId="Emphasis">
    <w:name w:val="Emphasis"/>
    <w:basedOn w:val="DefaultParagraphFont"/>
    <w:uiPriority w:val="20"/>
    <w:qFormat/>
    <w:rsid w:val="00C3564C"/>
    <w:rPr>
      <w:i/>
      <w:iCs/>
    </w:rPr>
  </w:style>
  <w:style w:type="character" w:styleId="Hyperlink">
    <w:name w:val="Hyperlink"/>
    <w:basedOn w:val="DefaultParagraphFont"/>
    <w:unhideWhenUsed/>
    <w:rsid w:val="00C3564C"/>
    <w:rPr>
      <w:color w:val="0000FF"/>
      <w:u w:val="single"/>
    </w:rPr>
  </w:style>
  <w:style w:type="paragraph" w:styleId="ListParagraph">
    <w:name w:val="List Paragraph"/>
    <w:basedOn w:val="Normal"/>
    <w:uiPriority w:val="34"/>
    <w:qFormat/>
    <w:rsid w:val="007A4DCA"/>
    <w:pPr>
      <w:ind w:left="720"/>
      <w:contextualSpacing/>
    </w:pPr>
  </w:style>
  <w:style w:type="paragraph" w:styleId="Header">
    <w:name w:val="header"/>
    <w:basedOn w:val="Normal"/>
    <w:link w:val="HeaderChar"/>
    <w:uiPriority w:val="99"/>
    <w:rsid w:val="007868B2"/>
    <w:pPr>
      <w:tabs>
        <w:tab w:val="center" w:pos="4320"/>
        <w:tab w:val="right" w:pos="8640"/>
      </w:tabs>
      <w:spacing w:after="0" w:line="240" w:lineRule="auto"/>
      <w:ind w:right="-566"/>
    </w:pPr>
    <w:rPr>
      <w:rFonts w:ascii="Arial" w:eastAsia="Times New Roman" w:hAnsi="Arial" w:cs="Times New Roman"/>
      <w:sz w:val="24"/>
      <w:szCs w:val="20"/>
      <w:lang w:val="en-GB"/>
    </w:rPr>
  </w:style>
  <w:style w:type="character" w:customStyle="1" w:styleId="HeaderChar">
    <w:name w:val="Header Char"/>
    <w:basedOn w:val="DefaultParagraphFont"/>
    <w:link w:val="Header"/>
    <w:uiPriority w:val="99"/>
    <w:rsid w:val="007868B2"/>
    <w:rPr>
      <w:rFonts w:ascii="Arial" w:eastAsia="Times New Roman" w:hAnsi="Arial" w:cs="Times New Roman"/>
      <w:sz w:val="24"/>
      <w:szCs w:val="20"/>
      <w:lang w:val="en-GB" w:eastAsia="en-US"/>
    </w:rPr>
  </w:style>
  <w:style w:type="character" w:customStyle="1" w:styleId="Heading3Char">
    <w:name w:val="Heading 3 Char"/>
    <w:basedOn w:val="DefaultParagraphFont"/>
    <w:link w:val="Heading3"/>
    <w:rsid w:val="002179A0"/>
    <w:rPr>
      <w:rFonts w:ascii="Times New Roman" w:eastAsia="Times New Roman" w:hAnsi="Times New Roman" w:cs="Times New Roman"/>
      <w:i/>
      <w:sz w:val="24"/>
      <w:szCs w:val="20"/>
      <w:lang w:val="en-GB" w:eastAsia="en-US"/>
    </w:rPr>
  </w:style>
  <w:style w:type="paragraph" w:styleId="BodyText">
    <w:name w:val="Body Text"/>
    <w:basedOn w:val="Normal"/>
    <w:link w:val="BodyTextChar"/>
    <w:rsid w:val="002179A0"/>
    <w:pPr>
      <w:spacing w:after="0" w:line="240" w:lineRule="auto"/>
      <w:jc w:val="both"/>
    </w:pPr>
    <w:rPr>
      <w:rFonts w:ascii="Arial" w:eastAsia="Times New Roman" w:hAnsi="Arial" w:cs="Times New Roman"/>
      <w:color w:val="FF0000"/>
      <w:sz w:val="24"/>
      <w:szCs w:val="20"/>
      <w:lang w:val="en-GB"/>
    </w:rPr>
  </w:style>
  <w:style w:type="character" w:customStyle="1" w:styleId="BodyTextChar">
    <w:name w:val="Body Text Char"/>
    <w:basedOn w:val="DefaultParagraphFont"/>
    <w:link w:val="BodyText"/>
    <w:rsid w:val="002179A0"/>
    <w:rPr>
      <w:rFonts w:ascii="Arial" w:eastAsia="Times New Roman" w:hAnsi="Arial" w:cs="Times New Roman"/>
      <w:color w:val="FF0000"/>
      <w:sz w:val="24"/>
      <w:szCs w:val="20"/>
      <w:lang w:val="en-GB" w:eastAsia="en-US"/>
    </w:rPr>
  </w:style>
  <w:style w:type="character" w:customStyle="1" w:styleId="Heading30">
    <w:name w:val="Heading #3_"/>
    <w:link w:val="Heading31"/>
    <w:rsid w:val="002179A0"/>
    <w:rPr>
      <w:b/>
      <w:bCs/>
      <w:shd w:val="clear" w:color="auto" w:fill="FFFFFF"/>
    </w:rPr>
  </w:style>
  <w:style w:type="paragraph" w:customStyle="1" w:styleId="Heading31">
    <w:name w:val="Heading #3"/>
    <w:basedOn w:val="Normal"/>
    <w:link w:val="Heading30"/>
    <w:rsid w:val="002179A0"/>
    <w:pPr>
      <w:widowControl w:val="0"/>
      <w:shd w:val="clear" w:color="auto" w:fill="FFFFFF"/>
      <w:spacing w:before="360" w:after="0" w:line="418" w:lineRule="exact"/>
      <w:jc w:val="both"/>
      <w:outlineLvl w:val="2"/>
    </w:pPr>
    <w:rPr>
      <w:b/>
      <w:bCs/>
    </w:rPr>
  </w:style>
  <w:style w:type="paragraph" w:customStyle="1" w:styleId="BodyText7">
    <w:name w:val="Body Text7"/>
    <w:basedOn w:val="Normal"/>
    <w:rsid w:val="002179A0"/>
    <w:pPr>
      <w:widowControl w:val="0"/>
      <w:shd w:val="clear" w:color="auto" w:fill="FFFFFF"/>
      <w:spacing w:before="60" w:after="180" w:line="0" w:lineRule="atLeast"/>
      <w:ind w:hanging="920"/>
    </w:pPr>
    <w:rPr>
      <w:rFonts w:ascii="Times New Roman" w:eastAsia="Times New Roman" w:hAnsi="Times New Roman" w:cs="Times New Roman"/>
    </w:rPr>
  </w:style>
  <w:style w:type="paragraph" w:styleId="NormalIndent">
    <w:name w:val="Normal Indent"/>
    <w:basedOn w:val="Normal"/>
    <w:uiPriority w:val="99"/>
    <w:semiHidden/>
    <w:unhideWhenUsed/>
    <w:rsid w:val="002179A0"/>
    <w:pPr>
      <w:ind w:left="708"/>
    </w:pPr>
  </w:style>
  <w:style w:type="character" w:customStyle="1" w:styleId="Bodytext0">
    <w:name w:val="Body text_"/>
    <w:link w:val="BodyText4"/>
    <w:rsid w:val="002179A0"/>
    <w:rPr>
      <w:shd w:val="clear" w:color="auto" w:fill="FFFFFF"/>
    </w:rPr>
  </w:style>
  <w:style w:type="paragraph" w:customStyle="1" w:styleId="BodyText4">
    <w:name w:val="Body Text4"/>
    <w:basedOn w:val="Normal"/>
    <w:link w:val="Bodytext0"/>
    <w:rsid w:val="002179A0"/>
    <w:pPr>
      <w:widowControl w:val="0"/>
      <w:shd w:val="clear" w:color="auto" w:fill="FFFFFF"/>
      <w:spacing w:before="180" w:after="720" w:line="0" w:lineRule="atLeast"/>
      <w:ind w:hanging="360"/>
      <w:jc w:val="center"/>
    </w:pPr>
  </w:style>
  <w:style w:type="paragraph" w:customStyle="1" w:styleId="Heading21">
    <w:name w:val="Heading 21"/>
    <w:basedOn w:val="Normal"/>
    <w:rsid w:val="002179A0"/>
    <w:pPr>
      <w:spacing w:after="0" w:line="240" w:lineRule="auto"/>
    </w:pPr>
    <w:rPr>
      <w:rFonts w:ascii="Arial" w:eastAsia="Times New Roman" w:hAnsi="Arial" w:cs="Times New Roman"/>
      <w:b/>
      <w:bCs/>
      <w:sz w:val="28"/>
      <w:szCs w:val="28"/>
      <w:lang w:val="it-IT"/>
    </w:rPr>
  </w:style>
  <w:style w:type="paragraph" w:styleId="BodyText2">
    <w:name w:val="Body Text 2"/>
    <w:basedOn w:val="Normal"/>
    <w:link w:val="BodyText2Char"/>
    <w:uiPriority w:val="99"/>
    <w:semiHidden/>
    <w:unhideWhenUsed/>
    <w:rsid w:val="00487100"/>
    <w:pPr>
      <w:spacing w:after="120" w:line="480" w:lineRule="auto"/>
    </w:pPr>
  </w:style>
  <w:style w:type="character" w:customStyle="1" w:styleId="BodyText2Char">
    <w:name w:val="Body Text 2 Char"/>
    <w:basedOn w:val="DefaultParagraphFont"/>
    <w:link w:val="BodyText2"/>
    <w:uiPriority w:val="99"/>
    <w:semiHidden/>
    <w:rsid w:val="00487100"/>
  </w:style>
  <w:style w:type="character" w:customStyle="1" w:styleId="BodytextItalic">
    <w:name w:val="Body text + Italic"/>
    <w:rsid w:val="00487100"/>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ing1Char">
    <w:name w:val="Heading 1 Char"/>
    <w:basedOn w:val="DefaultParagraphFont"/>
    <w:link w:val="Heading1"/>
    <w:rsid w:val="00E47A91"/>
    <w:rPr>
      <w:rFonts w:ascii="Arial" w:eastAsia="Times New Roman" w:hAnsi="Arial" w:cs="Arial"/>
      <w:b/>
      <w:bCs/>
      <w:kern w:val="32"/>
      <w:sz w:val="32"/>
      <w:szCs w:val="32"/>
      <w:lang w:val="en-US" w:eastAsia="ar-SA"/>
    </w:rPr>
  </w:style>
  <w:style w:type="paragraph" w:styleId="Footer">
    <w:name w:val="footer"/>
    <w:basedOn w:val="Normal"/>
    <w:link w:val="FooterChar"/>
    <w:uiPriority w:val="99"/>
    <w:unhideWhenUsed/>
    <w:rsid w:val="006D6160"/>
    <w:pPr>
      <w:tabs>
        <w:tab w:val="center" w:pos="4535"/>
        <w:tab w:val="right" w:pos="9071"/>
      </w:tabs>
      <w:spacing w:after="0" w:line="240" w:lineRule="auto"/>
    </w:pPr>
  </w:style>
  <w:style w:type="character" w:customStyle="1" w:styleId="FooterChar">
    <w:name w:val="Footer Char"/>
    <w:basedOn w:val="DefaultParagraphFont"/>
    <w:link w:val="Footer"/>
    <w:uiPriority w:val="99"/>
    <w:rsid w:val="006D6160"/>
  </w:style>
  <w:style w:type="paragraph" w:customStyle="1" w:styleId="Pa26">
    <w:name w:val="Pa26"/>
    <w:basedOn w:val="Default"/>
    <w:next w:val="Default"/>
    <w:uiPriority w:val="99"/>
    <w:rsid w:val="00B61458"/>
    <w:pPr>
      <w:spacing w:line="161" w:lineRule="atLeast"/>
    </w:pPr>
    <w:rPr>
      <w:rFonts w:ascii="Gill Sans MT" w:hAnsi="Gill Sans MT"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7A91"/>
    <w:pPr>
      <w:keepNext/>
      <w:suppressAutoHyphens/>
      <w:spacing w:before="240" w:after="60" w:line="480" w:lineRule="auto"/>
      <w:outlineLvl w:val="0"/>
    </w:pPr>
    <w:rPr>
      <w:rFonts w:ascii="Arial" w:eastAsia="Times New Roman" w:hAnsi="Arial" w:cs="Arial"/>
      <w:b/>
      <w:bCs/>
      <w:kern w:val="32"/>
      <w:sz w:val="32"/>
      <w:szCs w:val="32"/>
      <w:lang w:val="en-US" w:eastAsia="ar-SA"/>
    </w:rPr>
  </w:style>
  <w:style w:type="paragraph" w:styleId="Heading3">
    <w:name w:val="heading 3"/>
    <w:basedOn w:val="Normal"/>
    <w:next w:val="NormalIndent"/>
    <w:link w:val="Heading3Char"/>
    <w:qFormat/>
    <w:rsid w:val="002179A0"/>
    <w:pPr>
      <w:spacing w:before="60" w:after="0" w:line="240" w:lineRule="auto"/>
      <w:outlineLvl w:val="2"/>
    </w:pPr>
    <w:rPr>
      <w:rFonts w:ascii="Times New Roman" w:eastAsia="Times New Roman" w:hAnsi="Times New Roman" w:cs="Times New Roman"/>
      <w:i/>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3">
    <w:name w:val="Pa13"/>
    <w:basedOn w:val="Normal"/>
    <w:next w:val="Normal"/>
    <w:uiPriority w:val="99"/>
    <w:rsid w:val="00B61CEB"/>
    <w:pPr>
      <w:autoSpaceDE w:val="0"/>
      <w:autoSpaceDN w:val="0"/>
      <w:adjustRightInd w:val="0"/>
      <w:spacing w:after="0" w:line="281" w:lineRule="atLeast"/>
    </w:pPr>
    <w:rPr>
      <w:rFonts w:ascii="Gill Sans MT" w:hAnsi="Gill Sans MT"/>
      <w:sz w:val="24"/>
      <w:szCs w:val="24"/>
    </w:rPr>
  </w:style>
  <w:style w:type="paragraph" w:customStyle="1" w:styleId="Pa14">
    <w:name w:val="Pa14"/>
    <w:basedOn w:val="Normal"/>
    <w:next w:val="Normal"/>
    <w:uiPriority w:val="99"/>
    <w:rsid w:val="00B61CEB"/>
    <w:pPr>
      <w:autoSpaceDE w:val="0"/>
      <w:autoSpaceDN w:val="0"/>
      <w:adjustRightInd w:val="0"/>
      <w:spacing w:after="0" w:line="201" w:lineRule="atLeast"/>
    </w:pPr>
    <w:rPr>
      <w:rFonts w:ascii="Gill Sans MT" w:hAnsi="Gill Sans MT"/>
      <w:sz w:val="24"/>
      <w:szCs w:val="24"/>
    </w:rPr>
  </w:style>
  <w:style w:type="character" w:customStyle="1" w:styleId="A14">
    <w:name w:val="A14"/>
    <w:uiPriority w:val="99"/>
    <w:rsid w:val="00B61CEB"/>
    <w:rPr>
      <w:rFonts w:ascii="Times New Roman PS" w:hAnsi="Times New Roman PS" w:cs="Times New Roman PS"/>
      <w:color w:val="000000"/>
      <w:sz w:val="11"/>
      <w:szCs w:val="11"/>
    </w:rPr>
  </w:style>
  <w:style w:type="paragraph" w:customStyle="1" w:styleId="Pa19">
    <w:name w:val="Pa19"/>
    <w:basedOn w:val="Normal"/>
    <w:next w:val="Normal"/>
    <w:uiPriority w:val="99"/>
    <w:rsid w:val="00B61CEB"/>
    <w:pPr>
      <w:autoSpaceDE w:val="0"/>
      <w:autoSpaceDN w:val="0"/>
      <w:adjustRightInd w:val="0"/>
      <w:spacing w:after="0" w:line="281" w:lineRule="atLeast"/>
    </w:pPr>
    <w:rPr>
      <w:rFonts w:ascii="Gill Sans MT" w:hAnsi="Gill Sans MT"/>
      <w:sz w:val="24"/>
      <w:szCs w:val="24"/>
    </w:rPr>
  </w:style>
  <w:style w:type="character" w:customStyle="1" w:styleId="A15">
    <w:name w:val="A15"/>
    <w:uiPriority w:val="99"/>
    <w:rsid w:val="00B61CEB"/>
    <w:rPr>
      <w:rFonts w:ascii="Times New Roman PS" w:hAnsi="Times New Roman PS" w:cs="Times New Roman PS"/>
      <w:color w:val="000000"/>
      <w:sz w:val="11"/>
      <w:szCs w:val="11"/>
    </w:rPr>
  </w:style>
  <w:style w:type="paragraph" w:customStyle="1" w:styleId="Pa18">
    <w:name w:val="Pa18"/>
    <w:basedOn w:val="Normal"/>
    <w:next w:val="Normal"/>
    <w:uiPriority w:val="99"/>
    <w:rsid w:val="00B61CEB"/>
    <w:pPr>
      <w:autoSpaceDE w:val="0"/>
      <w:autoSpaceDN w:val="0"/>
      <w:adjustRightInd w:val="0"/>
      <w:spacing w:after="0" w:line="201" w:lineRule="atLeast"/>
    </w:pPr>
    <w:rPr>
      <w:rFonts w:ascii="Gill Sans MT" w:hAnsi="Gill Sans MT"/>
      <w:sz w:val="24"/>
      <w:szCs w:val="24"/>
    </w:rPr>
  </w:style>
  <w:style w:type="paragraph" w:customStyle="1" w:styleId="Pa22">
    <w:name w:val="Pa22"/>
    <w:basedOn w:val="Normal"/>
    <w:next w:val="Normal"/>
    <w:uiPriority w:val="99"/>
    <w:rsid w:val="00B61CEB"/>
    <w:pPr>
      <w:autoSpaceDE w:val="0"/>
      <w:autoSpaceDN w:val="0"/>
      <w:adjustRightInd w:val="0"/>
      <w:spacing w:after="0" w:line="221" w:lineRule="atLeast"/>
    </w:pPr>
    <w:rPr>
      <w:rFonts w:ascii="Times New Roman PS" w:hAnsi="Times New Roman PS"/>
      <w:sz w:val="24"/>
      <w:szCs w:val="24"/>
    </w:rPr>
  </w:style>
  <w:style w:type="paragraph" w:customStyle="1" w:styleId="Default">
    <w:name w:val="Default"/>
    <w:rsid w:val="009A7341"/>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5F738C"/>
  </w:style>
  <w:style w:type="character" w:styleId="Strong">
    <w:name w:val="Strong"/>
    <w:basedOn w:val="DefaultParagraphFont"/>
    <w:uiPriority w:val="22"/>
    <w:qFormat/>
    <w:rsid w:val="00C3564C"/>
    <w:rPr>
      <w:b/>
      <w:bCs/>
    </w:rPr>
  </w:style>
  <w:style w:type="character" w:styleId="Emphasis">
    <w:name w:val="Emphasis"/>
    <w:basedOn w:val="DefaultParagraphFont"/>
    <w:uiPriority w:val="20"/>
    <w:qFormat/>
    <w:rsid w:val="00C3564C"/>
    <w:rPr>
      <w:i/>
      <w:iCs/>
    </w:rPr>
  </w:style>
  <w:style w:type="character" w:styleId="Hyperlink">
    <w:name w:val="Hyperlink"/>
    <w:basedOn w:val="DefaultParagraphFont"/>
    <w:unhideWhenUsed/>
    <w:rsid w:val="00C3564C"/>
    <w:rPr>
      <w:color w:val="0000FF"/>
      <w:u w:val="single"/>
    </w:rPr>
  </w:style>
  <w:style w:type="paragraph" w:styleId="ListParagraph">
    <w:name w:val="List Paragraph"/>
    <w:basedOn w:val="Normal"/>
    <w:uiPriority w:val="34"/>
    <w:qFormat/>
    <w:rsid w:val="007A4DCA"/>
    <w:pPr>
      <w:ind w:left="720"/>
      <w:contextualSpacing/>
    </w:pPr>
  </w:style>
  <w:style w:type="paragraph" w:styleId="Header">
    <w:name w:val="header"/>
    <w:basedOn w:val="Normal"/>
    <w:link w:val="HeaderChar"/>
    <w:uiPriority w:val="99"/>
    <w:rsid w:val="007868B2"/>
    <w:pPr>
      <w:tabs>
        <w:tab w:val="center" w:pos="4320"/>
        <w:tab w:val="right" w:pos="8640"/>
      </w:tabs>
      <w:spacing w:after="0" w:line="240" w:lineRule="auto"/>
      <w:ind w:right="-566"/>
    </w:pPr>
    <w:rPr>
      <w:rFonts w:ascii="Arial" w:eastAsia="Times New Roman" w:hAnsi="Arial" w:cs="Times New Roman"/>
      <w:sz w:val="24"/>
      <w:szCs w:val="20"/>
      <w:lang w:val="en-GB" w:eastAsia="en-US"/>
    </w:rPr>
  </w:style>
  <w:style w:type="character" w:customStyle="1" w:styleId="HeaderChar">
    <w:name w:val="Header Char"/>
    <w:basedOn w:val="DefaultParagraphFont"/>
    <w:link w:val="Header"/>
    <w:uiPriority w:val="99"/>
    <w:rsid w:val="007868B2"/>
    <w:rPr>
      <w:rFonts w:ascii="Arial" w:eastAsia="Times New Roman" w:hAnsi="Arial" w:cs="Times New Roman"/>
      <w:sz w:val="24"/>
      <w:szCs w:val="20"/>
      <w:lang w:val="en-GB" w:eastAsia="en-US"/>
    </w:rPr>
  </w:style>
  <w:style w:type="character" w:customStyle="1" w:styleId="Heading3Char">
    <w:name w:val="Heading 3 Char"/>
    <w:basedOn w:val="DefaultParagraphFont"/>
    <w:link w:val="Heading3"/>
    <w:rsid w:val="002179A0"/>
    <w:rPr>
      <w:rFonts w:ascii="Times New Roman" w:eastAsia="Times New Roman" w:hAnsi="Times New Roman" w:cs="Times New Roman"/>
      <w:i/>
      <w:sz w:val="24"/>
      <w:szCs w:val="20"/>
      <w:lang w:val="en-GB" w:eastAsia="en-US"/>
    </w:rPr>
  </w:style>
  <w:style w:type="paragraph" w:styleId="BodyText">
    <w:name w:val="Body Text"/>
    <w:basedOn w:val="Normal"/>
    <w:link w:val="BodyTextChar"/>
    <w:rsid w:val="002179A0"/>
    <w:pPr>
      <w:spacing w:after="0" w:line="240" w:lineRule="auto"/>
      <w:jc w:val="both"/>
    </w:pPr>
    <w:rPr>
      <w:rFonts w:ascii="Arial" w:eastAsia="Times New Roman" w:hAnsi="Arial" w:cs="Times New Roman"/>
      <w:color w:val="FF0000"/>
      <w:sz w:val="24"/>
      <w:szCs w:val="20"/>
      <w:lang w:val="en-GB" w:eastAsia="en-US"/>
    </w:rPr>
  </w:style>
  <w:style w:type="character" w:customStyle="1" w:styleId="BodyTextChar">
    <w:name w:val="Body Text Char"/>
    <w:basedOn w:val="DefaultParagraphFont"/>
    <w:link w:val="BodyText"/>
    <w:rsid w:val="002179A0"/>
    <w:rPr>
      <w:rFonts w:ascii="Arial" w:eastAsia="Times New Roman" w:hAnsi="Arial" w:cs="Times New Roman"/>
      <w:color w:val="FF0000"/>
      <w:sz w:val="24"/>
      <w:szCs w:val="20"/>
      <w:lang w:val="en-GB" w:eastAsia="en-US"/>
    </w:rPr>
  </w:style>
  <w:style w:type="character" w:customStyle="1" w:styleId="Heading30">
    <w:name w:val="Heading #3_"/>
    <w:link w:val="Heading31"/>
    <w:rsid w:val="002179A0"/>
    <w:rPr>
      <w:b/>
      <w:bCs/>
      <w:shd w:val="clear" w:color="auto" w:fill="FFFFFF"/>
    </w:rPr>
  </w:style>
  <w:style w:type="paragraph" w:customStyle="1" w:styleId="Heading31">
    <w:name w:val="Heading #3"/>
    <w:basedOn w:val="Normal"/>
    <w:link w:val="Heading30"/>
    <w:rsid w:val="002179A0"/>
    <w:pPr>
      <w:widowControl w:val="0"/>
      <w:shd w:val="clear" w:color="auto" w:fill="FFFFFF"/>
      <w:spacing w:before="360" w:after="0" w:line="418" w:lineRule="exact"/>
      <w:jc w:val="both"/>
      <w:outlineLvl w:val="2"/>
    </w:pPr>
    <w:rPr>
      <w:b/>
      <w:bCs/>
    </w:rPr>
  </w:style>
  <w:style w:type="paragraph" w:customStyle="1" w:styleId="BodyText7">
    <w:name w:val="Body Text7"/>
    <w:basedOn w:val="Normal"/>
    <w:rsid w:val="002179A0"/>
    <w:pPr>
      <w:widowControl w:val="0"/>
      <w:shd w:val="clear" w:color="auto" w:fill="FFFFFF"/>
      <w:spacing w:before="60" w:after="180" w:line="0" w:lineRule="atLeast"/>
      <w:ind w:hanging="920"/>
    </w:pPr>
    <w:rPr>
      <w:rFonts w:ascii="Times New Roman" w:eastAsia="Times New Roman" w:hAnsi="Times New Roman" w:cs="Times New Roman"/>
      <w:lang w:val="en-US" w:eastAsia="en-US"/>
    </w:rPr>
  </w:style>
  <w:style w:type="paragraph" w:styleId="NormalIndent">
    <w:name w:val="Normal Indent"/>
    <w:basedOn w:val="Normal"/>
    <w:uiPriority w:val="99"/>
    <w:semiHidden/>
    <w:unhideWhenUsed/>
    <w:rsid w:val="002179A0"/>
    <w:pPr>
      <w:ind w:left="708"/>
    </w:pPr>
  </w:style>
  <w:style w:type="character" w:customStyle="1" w:styleId="Bodytext0">
    <w:name w:val="Body text_"/>
    <w:link w:val="BodyText4"/>
    <w:rsid w:val="002179A0"/>
    <w:rPr>
      <w:shd w:val="clear" w:color="auto" w:fill="FFFFFF"/>
    </w:rPr>
  </w:style>
  <w:style w:type="paragraph" w:customStyle="1" w:styleId="BodyText4">
    <w:name w:val="Body Text4"/>
    <w:basedOn w:val="Normal"/>
    <w:link w:val="Bodytext0"/>
    <w:rsid w:val="002179A0"/>
    <w:pPr>
      <w:widowControl w:val="0"/>
      <w:shd w:val="clear" w:color="auto" w:fill="FFFFFF"/>
      <w:spacing w:before="180" w:after="720" w:line="0" w:lineRule="atLeast"/>
      <w:ind w:hanging="360"/>
      <w:jc w:val="center"/>
    </w:pPr>
  </w:style>
  <w:style w:type="paragraph" w:customStyle="1" w:styleId="Heading21">
    <w:name w:val="Heading 21"/>
    <w:basedOn w:val="Normal"/>
    <w:rsid w:val="002179A0"/>
    <w:pPr>
      <w:spacing w:after="0" w:line="240" w:lineRule="auto"/>
    </w:pPr>
    <w:rPr>
      <w:rFonts w:ascii="Arial" w:eastAsia="Times New Roman" w:hAnsi="Arial" w:cs="Times New Roman"/>
      <w:b/>
      <w:bCs/>
      <w:sz w:val="28"/>
      <w:szCs w:val="28"/>
      <w:lang w:val="it-IT" w:eastAsia="en-US"/>
    </w:rPr>
  </w:style>
  <w:style w:type="paragraph" w:styleId="BodyText2">
    <w:name w:val="Body Text 2"/>
    <w:basedOn w:val="Normal"/>
    <w:link w:val="BodyText2Char"/>
    <w:uiPriority w:val="99"/>
    <w:semiHidden/>
    <w:unhideWhenUsed/>
    <w:rsid w:val="00487100"/>
    <w:pPr>
      <w:spacing w:after="120" w:line="480" w:lineRule="auto"/>
    </w:pPr>
  </w:style>
  <w:style w:type="character" w:customStyle="1" w:styleId="BodyText2Char">
    <w:name w:val="Body Text 2 Char"/>
    <w:basedOn w:val="DefaultParagraphFont"/>
    <w:link w:val="BodyText2"/>
    <w:uiPriority w:val="99"/>
    <w:semiHidden/>
    <w:rsid w:val="00487100"/>
  </w:style>
  <w:style w:type="character" w:customStyle="1" w:styleId="BodytextItalic">
    <w:name w:val="Body text + Italic"/>
    <w:rsid w:val="00487100"/>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ing1Char">
    <w:name w:val="Heading 1 Char"/>
    <w:basedOn w:val="DefaultParagraphFont"/>
    <w:link w:val="Heading1"/>
    <w:rsid w:val="00E47A91"/>
    <w:rPr>
      <w:rFonts w:ascii="Arial" w:eastAsia="Times New Roman" w:hAnsi="Arial" w:cs="Arial"/>
      <w:b/>
      <w:bCs/>
      <w:kern w:val="32"/>
      <w:sz w:val="32"/>
      <w:szCs w:val="32"/>
      <w:lang w:val="en-US" w:eastAsia="ar-SA"/>
    </w:rPr>
  </w:style>
  <w:style w:type="paragraph" w:styleId="Footer">
    <w:name w:val="footer"/>
    <w:basedOn w:val="Normal"/>
    <w:link w:val="FooterChar"/>
    <w:uiPriority w:val="99"/>
    <w:unhideWhenUsed/>
    <w:rsid w:val="006D6160"/>
    <w:pPr>
      <w:tabs>
        <w:tab w:val="center" w:pos="4535"/>
        <w:tab w:val="right" w:pos="9071"/>
      </w:tabs>
      <w:spacing w:after="0" w:line="240" w:lineRule="auto"/>
    </w:pPr>
  </w:style>
  <w:style w:type="character" w:customStyle="1" w:styleId="FooterChar">
    <w:name w:val="Footer Char"/>
    <w:basedOn w:val="DefaultParagraphFont"/>
    <w:link w:val="Footer"/>
    <w:uiPriority w:val="99"/>
    <w:rsid w:val="006D6160"/>
  </w:style>
  <w:style w:type="paragraph" w:customStyle="1" w:styleId="Pa26">
    <w:name w:val="Pa26"/>
    <w:basedOn w:val="Default"/>
    <w:next w:val="Default"/>
    <w:uiPriority w:val="99"/>
    <w:rsid w:val="00B61458"/>
    <w:pPr>
      <w:spacing w:line="161" w:lineRule="atLeast"/>
    </w:pPr>
    <w:rPr>
      <w:rFonts w:ascii="Gill Sans MT" w:hAnsi="Gill Sans MT" w:cstheme="minorBidi"/>
      <w:color w:val="auto"/>
    </w:rPr>
  </w:style>
</w:styles>
</file>

<file path=word/webSettings.xml><?xml version="1.0" encoding="utf-8"?>
<w:webSettings xmlns:r="http://schemas.openxmlformats.org/officeDocument/2006/relationships" xmlns:w="http://schemas.openxmlformats.org/wordprocessingml/2006/main">
  <w:divs>
    <w:div w:id="716441772">
      <w:bodyDiv w:val="1"/>
      <w:marLeft w:val="0"/>
      <w:marRight w:val="0"/>
      <w:marTop w:val="0"/>
      <w:marBottom w:val="0"/>
      <w:divBdr>
        <w:top w:val="none" w:sz="0" w:space="0" w:color="auto"/>
        <w:left w:val="none" w:sz="0" w:space="0" w:color="auto"/>
        <w:bottom w:val="none" w:sz="0" w:space="0" w:color="auto"/>
        <w:right w:val="none" w:sz="0" w:space="0" w:color="auto"/>
      </w:divBdr>
    </w:div>
    <w:div w:id="8342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ssachuset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Massachusetts" TargetMode="External"/><Relationship Id="rId4" Type="http://schemas.openxmlformats.org/officeDocument/2006/relationships/settings" Target="settings.xml"/><Relationship Id="rId9" Type="http://schemas.openxmlformats.org/officeDocument/2006/relationships/hyperlink" Target="https://en.wikipedia.org/wiki/Massachusett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4D347-8EF8-4F6C-AFF1-6A9819C2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Vma</Company>
  <LinksUpToDate>false</LinksUpToDate>
  <CharactersWithSpaces>13715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c:creator>
  <cp:lastModifiedBy>Vesna J</cp:lastModifiedBy>
  <cp:revision>6</cp:revision>
  <dcterms:created xsi:type="dcterms:W3CDTF">2022-06-03T07:50:00Z</dcterms:created>
  <dcterms:modified xsi:type="dcterms:W3CDTF">2022-06-03T07:59:00Z</dcterms:modified>
</cp:coreProperties>
</file>