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27EEE6" w14:textId="77777777" w:rsidR="00654E8F" w:rsidRPr="001549D3" w:rsidRDefault="00654E8F" w:rsidP="00FE4721">
      <w:pPr>
        <w:pStyle w:val="SupplementaryMaterial"/>
        <w:rPr>
          <w:b w:val="0"/>
        </w:rPr>
      </w:pPr>
      <w:r w:rsidRPr="001549D3">
        <w:t>Supplementary Material</w:t>
      </w:r>
    </w:p>
    <w:p w14:paraId="51D3BF8A" w14:textId="77777777" w:rsidR="009D45AD" w:rsidRPr="009D45AD" w:rsidRDefault="009D45AD" w:rsidP="0012790B">
      <w:pPr>
        <w:pStyle w:val="1"/>
        <w:jc w:val="both"/>
      </w:pPr>
      <w:r w:rsidRPr="009D45AD">
        <w:t>Supplementary Methods</w:t>
      </w:r>
    </w:p>
    <w:p w14:paraId="4367E042" w14:textId="77777777" w:rsidR="009D45AD" w:rsidRPr="009D45AD" w:rsidRDefault="009D45AD" w:rsidP="0012790B">
      <w:pPr>
        <w:pStyle w:val="2"/>
        <w:jc w:val="both"/>
      </w:pPr>
      <w:bookmarkStart w:id="0" w:name="OLE_LINK34"/>
      <w:r w:rsidRPr="009D45AD">
        <w:t>HPLC analysis of STDP</w:t>
      </w:r>
    </w:p>
    <w:p w14:paraId="777D1C37" w14:textId="5696C64F" w:rsidR="009D45AD" w:rsidRPr="009D45AD" w:rsidRDefault="009D45AD" w:rsidP="00BA09D6">
      <w:pPr>
        <w:jc w:val="both"/>
        <w:rPr>
          <w:rFonts w:cs="Times New Roman"/>
          <w:szCs w:val="24"/>
        </w:rPr>
      </w:pPr>
      <w:bookmarkStart w:id="1" w:name="OLE_LINK8"/>
      <w:bookmarkStart w:id="2" w:name="OLE_LINK9"/>
      <w:bookmarkEnd w:id="0"/>
      <w:r w:rsidRPr="009D45AD">
        <w:rPr>
          <w:rFonts w:cs="Times New Roman"/>
          <w:szCs w:val="24"/>
          <w:lang w:eastAsia="zh-CN"/>
        </w:rPr>
        <w:t>STPD samples (40 pills) were ground into fine powder without the film coating and thoroughly mixed</w:t>
      </w:r>
      <w:bookmarkEnd w:id="1"/>
      <w:bookmarkEnd w:id="2"/>
      <w:r w:rsidRPr="009D45AD">
        <w:rPr>
          <w:rFonts w:cs="Times New Roman"/>
          <w:szCs w:val="24"/>
          <w:lang w:eastAsia="zh-CN"/>
        </w:rPr>
        <w:t>.</w:t>
      </w:r>
      <w:r w:rsidRPr="009D45AD">
        <w:rPr>
          <w:rFonts w:cs="Times New Roman" w:hint="eastAsia"/>
          <w:szCs w:val="24"/>
          <w:lang w:eastAsia="zh-CN"/>
        </w:rPr>
        <w:t xml:space="preserve"> </w:t>
      </w:r>
      <w:r w:rsidRPr="009D45AD">
        <w:rPr>
          <w:rFonts w:cs="Times New Roman"/>
          <w:szCs w:val="24"/>
          <w:lang w:eastAsia="zh-CN"/>
        </w:rPr>
        <w:t xml:space="preserve">Subsequently, STDP powder was accurately weighed, extracted with 10 mL methanol in an ultrasonic water bath at room temperature for 30 min, and the extract was filtered (0.22 µm, </w:t>
      </w:r>
      <w:proofErr w:type="spellStart"/>
      <w:r w:rsidRPr="009D45AD">
        <w:rPr>
          <w:rFonts w:cs="Times New Roman"/>
          <w:szCs w:val="24"/>
          <w:lang w:eastAsia="zh-CN"/>
        </w:rPr>
        <w:t>Millex</w:t>
      </w:r>
      <w:proofErr w:type="spellEnd"/>
      <w:r w:rsidRPr="009D45AD">
        <w:rPr>
          <w:rFonts w:cs="Times New Roman"/>
          <w:szCs w:val="24"/>
          <w:lang w:eastAsia="zh-CN"/>
        </w:rPr>
        <w:t xml:space="preserve">-GN Nylon, Millipore). The filtrate was collected and analyzed for HPLC analysis. The HPLC analysis was performed on an Agilent HPLC 1260 series instrument (Agilent, </w:t>
      </w:r>
      <w:proofErr w:type="spellStart"/>
      <w:r w:rsidRPr="009D45AD">
        <w:rPr>
          <w:rFonts w:cs="Times New Roman"/>
          <w:szCs w:val="24"/>
          <w:lang w:eastAsia="zh-CN"/>
        </w:rPr>
        <w:t>Waldbronn</w:t>
      </w:r>
      <w:proofErr w:type="spellEnd"/>
      <w:r w:rsidRPr="009D45AD">
        <w:rPr>
          <w:rFonts w:cs="Times New Roman"/>
          <w:szCs w:val="24"/>
          <w:lang w:eastAsia="zh-CN"/>
        </w:rPr>
        <w:t>, Germany), equipped with an auto sampler, a binary pump, a thermostatic column compartment, a degasser, and a DAD.</w:t>
      </w:r>
      <w:r w:rsidRPr="009D45AD">
        <w:rPr>
          <w:rFonts w:cs="Times New Roman"/>
          <w:szCs w:val="24"/>
        </w:rPr>
        <w:t xml:space="preserve"> </w:t>
      </w:r>
      <w:r w:rsidRPr="009D45AD">
        <w:rPr>
          <w:rFonts w:cs="Times New Roman"/>
          <w:szCs w:val="24"/>
          <w:lang w:eastAsia="zh-CN"/>
        </w:rPr>
        <w:t xml:space="preserve">The separation was carried out on a </w:t>
      </w:r>
      <w:bookmarkStart w:id="3" w:name="OLE_LINK6"/>
      <w:bookmarkStart w:id="4" w:name="OLE_LINK7"/>
      <w:proofErr w:type="spellStart"/>
      <w:r w:rsidRPr="009D45AD">
        <w:rPr>
          <w:rFonts w:cs="Times New Roman"/>
          <w:szCs w:val="24"/>
          <w:lang w:eastAsia="zh-CN"/>
        </w:rPr>
        <w:t>Synerg</w:t>
      </w:r>
      <w:r w:rsidRPr="009D45AD">
        <w:rPr>
          <w:rFonts w:cs="Times New Roman" w:hint="eastAsia"/>
          <w:szCs w:val="24"/>
          <w:lang w:eastAsia="zh-CN"/>
        </w:rPr>
        <w:t>i</w:t>
      </w:r>
      <w:r w:rsidRPr="009D45AD">
        <w:rPr>
          <w:rFonts w:cs="Times New Roman"/>
          <w:szCs w:val="24"/>
          <w:vertAlign w:val="superscript"/>
          <w:lang w:eastAsia="zh-CN"/>
        </w:rPr>
        <w:t>TM</w:t>
      </w:r>
      <w:proofErr w:type="spellEnd"/>
      <w:r w:rsidRPr="009D45AD">
        <w:rPr>
          <w:rFonts w:cs="Times New Roman"/>
          <w:szCs w:val="24"/>
          <w:lang w:eastAsia="zh-CN"/>
        </w:rPr>
        <w:t xml:space="preserve"> Hydro-RP column </w:t>
      </w:r>
      <w:bookmarkEnd w:id="3"/>
      <w:bookmarkEnd w:id="4"/>
      <w:r w:rsidRPr="009D45AD">
        <w:rPr>
          <w:rFonts w:cs="Times New Roman"/>
          <w:szCs w:val="24"/>
          <w:lang w:eastAsia="zh-CN"/>
        </w:rPr>
        <w:t xml:space="preserve">(250 mm × 4.6 mm, 4 µm particle size). The mobile phase was composed of acetonitrile with 0.02% phosphoric acid (A) and water with 0.02% phosphoric acid (B) according to pre-set gradient program: 0 to 5 min, 5% (A), 95% (B); 5 to 13 min, linear gradient 5% to 20% (A), 95% to 80% (B); 13 to 40 min, linear gradient 20% to 22% (A), 80% to 78% (B); </w:t>
      </w:r>
      <w:bookmarkStart w:id="5" w:name="OLE_LINK3"/>
      <w:r w:rsidRPr="009D45AD">
        <w:rPr>
          <w:rFonts w:cs="Times New Roman"/>
          <w:szCs w:val="24"/>
          <w:lang w:eastAsia="zh-CN"/>
        </w:rPr>
        <w:t xml:space="preserve">40 to 60 min, linear gradient 22% to 45% (A), 78% to 55% (B); </w:t>
      </w:r>
      <w:bookmarkEnd w:id="5"/>
      <w:r w:rsidRPr="009D45AD">
        <w:rPr>
          <w:rFonts w:cs="Times New Roman"/>
          <w:szCs w:val="24"/>
          <w:lang w:eastAsia="zh-CN"/>
        </w:rPr>
        <w:t xml:space="preserve">60 to 75 min, linear gradient 45% to 70% (A), 55% to 30% (B). The column temperature was 30°C, the injection volume was 10 </w:t>
      </w:r>
      <w:proofErr w:type="spellStart"/>
      <w:r w:rsidRPr="009D45AD">
        <w:rPr>
          <w:rFonts w:cs="Times New Roman"/>
          <w:szCs w:val="24"/>
          <w:lang w:eastAsia="zh-CN"/>
        </w:rPr>
        <w:t>μL</w:t>
      </w:r>
      <w:proofErr w:type="spellEnd"/>
      <w:r w:rsidRPr="009D45AD">
        <w:rPr>
          <w:rFonts w:cs="Times New Roman"/>
          <w:szCs w:val="24"/>
          <w:lang w:eastAsia="zh-CN"/>
        </w:rPr>
        <w:t>, and the flow rate was 1.3 mL/min. The detection wavelength was set to 220 nm.</w:t>
      </w:r>
      <w:r w:rsidRPr="009D45AD">
        <w:rPr>
          <w:rFonts w:cs="Times New Roman" w:hint="eastAsia"/>
          <w:szCs w:val="24"/>
          <w:lang w:eastAsia="zh-CN"/>
        </w:rPr>
        <w:t xml:space="preserve"> </w:t>
      </w:r>
      <w:r w:rsidRPr="009D45AD">
        <w:rPr>
          <w:rFonts w:cs="Times New Roman"/>
          <w:szCs w:val="24"/>
          <w:lang w:eastAsia="zh-CN"/>
        </w:rPr>
        <w:t xml:space="preserve">The </w:t>
      </w:r>
      <w:bookmarkStart w:id="6" w:name="OLE_LINK1"/>
      <w:bookmarkStart w:id="7" w:name="OLE_LINK4"/>
      <w:bookmarkStart w:id="8" w:name="OLE_LINK5"/>
      <w:r w:rsidRPr="009D45AD">
        <w:rPr>
          <w:rFonts w:cs="Times New Roman"/>
          <w:szCs w:val="24"/>
        </w:rPr>
        <w:t>HPLC</w:t>
      </w:r>
      <w:r w:rsidRPr="009D45AD">
        <w:rPr>
          <w:lang w:eastAsia="zh-CN"/>
        </w:rPr>
        <w:t xml:space="preserve"> chromatograms</w:t>
      </w:r>
      <w:r w:rsidRPr="009D45AD">
        <w:rPr>
          <w:rFonts w:cs="Times New Roman"/>
          <w:szCs w:val="24"/>
        </w:rPr>
        <w:t xml:space="preserve"> </w:t>
      </w:r>
      <w:bookmarkEnd w:id="6"/>
      <w:bookmarkEnd w:id="7"/>
      <w:bookmarkEnd w:id="8"/>
      <w:r w:rsidRPr="009D45AD">
        <w:rPr>
          <w:rFonts w:cs="Times New Roman"/>
          <w:szCs w:val="24"/>
        </w:rPr>
        <w:t>of STDP</w:t>
      </w:r>
      <w:r w:rsidRPr="009D45AD">
        <w:rPr>
          <w:rFonts w:cs="Times New Roman"/>
          <w:szCs w:val="24"/>
          <w:lang w:eastAsia="zh-CN"/>
        </w:rPr>
        <w:t xml:space="preserve"> was recorded and the main peaks were identified by comparing with reference standards.</w:t>
      </w:r>
    </w:p>
    <w:p w14:paraId="324D7F07" w14:textId="2083042E" w:rsidR="00F473CF" w:rsidRDefault="00F473CF" w:rsidP="0012790B">
      <w:pPr>
        <w:pStyle w:val="2"/>
        <w:jc w:val="both"/>
        <w:rPr>
          <w:lang w:eastAsia="zh-CN"/>
        </w:rPr>
      </w:pPr>
      <w:bookmarkStart w:id="9" w:name="OLE_LINK61"/>
      <w:r w:rsidRPr="00F473CF">
        <w:rPr>
          <w:lang w:eastAsia="zh-CN"/>
        </w:rPr>
        <w:t>Network construction and analysis using the main constituents and the targets which presented a recovery trend after STDP treatment.</w:t>
      </w:r>
    </w:p>
    <w:p w14:paraId="254C2473" w14:textId="456AC477" w:rsidR="00F473CF" w:rsidRDefault="00F473CF" w:rsidP="0012790B">
      <w:pPr>
        <w:pStyle w:val="aa"/>
        <w:spacing w:beforeLines="50" w:before="120"/>
        <w:jc w:val="both"/>
        <w:rPr>
          <w:color w:val="000000" w:themeColor="text1"/>
          <w:szCs w:val="24"/>
        </w:rPr>
      </w:pPr>
      <w:r w:rsidRPr="00F473CF">
        <w:rPr>
          <w:color w:val="000000" w:themeColor="text1"/>
          <w:szCs w:val="24"/>
        </w:rPr>
        <w:t>The molecular structures of 13 main constituents of STDP (</w:t>
      </w:r>
      <w:r w:rsidRPr="00F473CF">
        <w:rPr>
          <w:i/>
          <w:color w:val="000000" w:themeColor="text1"/>
          <w:szCs w:val="24"/>
        </w:rPr>
        <w:t>i.e.,</w:t>
      </w:r>
      <w:r w:rsidRPr="00F473CF">
        <w:rPr>
          <w:color w:val="000000" w:themeColor="text1"/>
          <w:szCs w:val="24"/>
        </w:rPr>
        <w:t xml:space="preserve"> </w:t>
      </w:r>
      <w:proofErr w:type="spellStart"/>
      <w:r w:rsidRPr="00F473CF">
        <w:rPr>
          <w:color w:val="000000" w:themeColor="text1"/>
          <w:szCs w:val="24"/>
        </w:rPr>
        <w:t>gentisic</w:t>
      </w:r>
      <w:proofErr w:type="spellEnd"/>
      <w:r w:rsidRPr="00F473CF">
        <w:rPr>
          <w:color w:val="000000" w:themeColor="text1"/>
          <w:szCs w:val="24"/>
        </w:rPr>
        <w:t xml:space="preserve"> acid, taurine, </w:t>
      </w:r>
      <w:proofErr w:type="spellStart"/>
      <w:r w:rsidRPr="00F473CF">
        <w:rPr>
          <w:color w:val="000000" w:themeColor="text1"/>
          <w:szCs w:val="24"/>
        </w:rPr>
        <w:t>tanshinone</w:t>
      </w:r>
      <w:proofErr w:type="spellEnd"/>
      <w:r w:rsidRPr="00F473CF">
        <w:rPr>
          <w:color w:val="000000" w:themeColor="text1"/>
          <w:szCs w:val="24"/>
        </w:rPr>
        <w:t xml:space="preserve"> IIA, </w:t>
      </w:r>
      <w:proofErr w:type="spellStart"/>
      <w:r w:rsidRPr="00F473CF">
        <w:rPr>
          <w:color w:val="000000" w:themeColor="text1"/>
          <w:szCs w:val="24"/>
        </w:rPr>
        <w:t>danshensu</w:t>
      </w:r>
      <w:proofErr w:type="spellEnd"/>
      <w:r w:rsidRPr="00F473CF">
        <w:rPr>
          <w:color w:val="000000" w:themeColor="text1"/>
          <w:szCs w:val="24"/>
        </w:rPr>
        <w:t xml:space="preserve">, </w:t>
      </w:r>
      <w:proofErr w:type="spellStart"/>
      <w:r w:rsidRPr="00F473CF">
        <w:rPr>
          <w:color w:val="000000" w:themeColor="text1"/>
          <w:szCs w:val="24"/>
        </w:rPr>
        <w:t>protocatechualdehyde</w:t>
      </w:r>
      <w:proofErr w:type="spellEnd"/>
      <w:r w:rsidRPr="00F473CF">
        <w:rPr>
          <w:color w:val="000000" w:themeColor="text1"/>
          <w:szCs w:val="24"/>
        </w:rPr>
        <w:t xml:space="preserve">, </w:t>
      </w:r>
      <w:proofErr w:type="spellStart"/>
      <w:r w:rsidRPr="00F473CF">
        <w:rPr>
          <w:color w:val="000000" w:themeColor="text1"/>
          <w:szCs w:val="24"/>
        </w:rPr>
        <w:t>salvianolic</w:t>
      </w:r>
      <w:proofErr w:type="spellEnd"/>
      <w:r w:rsidRPr="00F473CF">
        <w:rPr>
          <w:color w:val="000000" w:themeColor="text1"/>
          <w:szCs w:val="24"/>
        </w:rPr>
        <w:t xml:space="preserve"> acid D, </w:t>
      </w:r>
      <w:proofErr w:type="spellStart"/>
      <w:r w:rsidRPr="00F473CF">
        <w:rPr>
          <w:color w:val="000000" w:themeColor="text1"/>
          <w:szCs w:val="24"/>
        </w:rPr>
        <w:t>salvianolic</w:t>
      </w:r>
      <w:proofErr w:type="spellEnd"/>
      <w:r w:rsidRPr="00F473CF">
        <w:rPr>
          <w:color w:val="000000" w:themeColor="text1"/>
          <w:szCs w:val="24"/>
        </w:rPr>
        <w:t xml:space="preserve"> acid B, </w:t>
      </w:r>
      <w:proofErr w:type="spellStart"/>
      <w:r w:rsidRPr="00F473CF">
        <w:rPr>
          <w:color w:val="000000" w:themeColor="text1"/>
          <w:szCs w:val="24"/>
        </w:rPr>
        <w:t>salvianolic</w:t>
      </w:r>
      <w:proofErr w:type="spellEnd"/>
      <w:r w:rsidRPr="00F473CF">
        <w:rPr>
          <w:color w:val="000000" w:themeColor="text1"/>
          <w:szCs w:val="24"/>
        </w:rPr>
        <w:t xml:space="preserve"> acid A, </w:t>
      </w:r>
      <w:proofErr w:type="spellStart"/>
      <w:r w:rsidRPr="00F473CF">
        <w:rPr>
          <w:color w:val="000000" w:themeColor="text1"/>
          <w:szCs w:val="24"/>
        </w:rPr>
        <w:t>taurodeoxycholic</w:t>
      </w:r>
      <w:proofErr w:type="spellEnd"/>
      <w:r w:rsidRPr="00F473CF">
        <w:rPr>
          <w:color w:val="000000" w:themeColor="text1"/>
          <w:szCs w:val="24"/>
        </w:rPr>
        <w:t xml:space="preserve"> acid, </w:t>
      </w:r>
      <w:proofErr w:type="spellStart"/>
      <w:r w:rsidRPr="00F473CF">
        <w:rPr>
          <w:color w:val="000000" w:themeColor="text1"/>
          <w:szCs w:val="24"/>
        </w:rPr>
        <w:t>cinobufotalin</w:t>
      </w:r>
      <w:proofErr w:type="spellEnd"/>
      <w:r w:rsidRPr="00F473CF">
        <w:rPr>
          <w:color w:val="000000" w:themeColor="text1"/>
          <w:szCs w:val="24"/>
        </w:rPr>
        <w:t xml:space="preserve">, </w:t>
      </w:r>
      <w:proofErr w:type="spellStart"/>
      <w:r w:rsidRPr="00F473CF">
        <w:rPr>
          <w:color w:val="000000" w:themeColor="text1"/>
          <w:szCs w:val="24"/>
        </w:rPr>
        <w:t>bufalin</w:t>
      </w:r>
      <w:proofErr w:type="spellEnd"/>
      <w:r w:rsidRPr="00F473CF">
        <w:rPr>
          <w:color w:val="000000" w:themeColor="text1"/>
          <w:szCs w:val="24"/>
        </w:rPr>
        <w:t xml:space="preserve">, </w:t>
      </w:r>
      <w:proofErr w:type="spellStart"/>
      <w:r w:rsidRPr="00F473CF">
        <w:rPr>
          <w:color w:val="000000" w:themeColor="text1"/>
          <w:szCs w:val="24"/>
        </w:rPr>
        <w:t>cinobufagin</w:t>
      </w:r>
      <w:proofErr w:type="spellEnd"/>
      <w:r w:rsidRPr="00F473CF">
        <w:rPr>
          <w:color w:val="000000" w:themeColor="text1"/>
          <w:szCs w:val="24"/>
        </w:rPr>
        <w:t xml:space="preserve">, and </w:t>
      </w:r>
      <w:proofErr w:type="spellStart"/>
      <w:r w:rsidRPr="00F473CF">
        <w:rPr>
          <w:color w:val="000000" w:themeColor="text1"/>
          <w:szCs w:val="24"/>
        </w:rPr>
        <w:t>resibufogenin</w:t>
      </w:r>
      <w:proofErr w:type="spellEnd"/>
      <w:r w:rsidRPr="00F473CF">
        <w:rPr>
          <w:color w:val="000000" w:themeColor="text1"/>
          <w:szCs w:val="24"/>
        </w:rPr>
        <w:t xml:space="preserve">) were first collected using PubChem (https://pubchem.ncbi.nlm.nih.gov/) and Traditional Chinese Medicine Systems Pharmacology (TCMSP, https://old.tcmsp-e.com/tcmsp.php) and further imported into </w:t>
      </w:r>
      <w:proofErr w:type="spellStart"/>
      <w:r w:rsidRPr="00F473CF">
        <w:rPr>
          <w:color w:val="000000" w:themeColor="text1"/>
          <w:szCs w:val="24"/>
        </w:rPr>
        <w:t>PharmMapper</w:t>
      </w:r>
      <w:proofErr w:type="spellEnd"/>
      <w:r w:rsidRPr="00F473CF">
        <w:rPr>
          <w:color w:val="000000" w:themeColor="text1"/>
          <w:szCs w:val="24"/>
        </w:rPr>
        <w:t xml:space="preserve"> (http://lilab-ecust.cn/pharmmapper/) to predict the potential targets.</w:t>
      </w:r>
      <w:r w:rsidR="00073A15">
        <w:rPr>
          <w:color w:val="000000" w:themeColor="text1"/>
          <w:szCs w:val="24"/>
        </w:rPr>
        <w:t xml:space="preserve"> </w:t>
      </w:r>
      <w:r w:rsidRPr="00F473CF">
        <w:rPr>
          <w:color w:val="000000" w:themeColor="text1"/>
          <w:szCs w:val="24"/>
        </w:rPr>
        <w:t xml:space="preserve">Then, the </w:t>
      </w:r>
      <w:proofErr w:type="spellStart"/>
      <w:r w:rsidRPr="00F473CF">
        <w:rPr>
          <w:color w:val="000000" w:themeColor="text1"/>
          <w:szCs w:val="24"/>
        </w:rPr>
        <w:t>Uniprot</w:t>
      </w:r>
      <w:proofErr w:type="spellEnd"/>
      <w:r w:rsidRPr="00F473CF">
        <w:rPr>
          <w:color w:val="000000" w:themeColor="text1"/>
          <w:szCs w:val="24"/>
        </w:rPr>
        <w:t xml:space="preserve"> Retrieve/ID mapping tool (https://www.uniprot.org/uploadlists/) was used to convert the </w:t>
      </w:r>
      <w:proofErr w:type="spellStart"/>
      <w:r w:rsidRPr="00F473CF">
        <w:rPr>
          <w:color w:val="000000" w:themeColor="text1"/>
          <w:szCs w:val="24"/>
        </w:rPr>
        <w:t>UniProtKB</w:t>
      </w:r>
      <w:proofErr w:type="spellEnd"/>
      <w:r w:rsidRPr="00F473CF">
        <w:rPr>
          <w:color w:val="000000" w:themeColor="text1"/>
          <w:szCs w:val="24"/>
        </w:rPr>
        <w:t xml:space="preserve"> AC/ID to Gene Name. Next, the intersection of these potential targets (169 genes) and the genes with the recovery efficiency </w:t>
      </w:r>
      <w:proofErr w:type="spellStart"/>
      <w:r w:rsidRPr="00F473CF">
        <w:rPr>
          <w:color w:val="000000" w:themeColor="text1"/>
          <w:szCs w:val="24"/>
        </w:rPr>
        <w:t>EoR</w:t>
      </w:r>
      <w:proofErr w:type="spellEnd"/>
      <w:r w:rsidRPr="00F473CF">
        <w:rPr>
          <w:color w:val="000000" w:themeColor="text1"/>
          <w:szCs w:val="24"/>
        </w:rPr>
        <w:t xml:space="preserve"> &gt; 0 (395 genes) after STDP treatment was obtained and 28 genes were induced in common. Finally, the protein-protein interactions (PPI) analysis and KEGG enrichment analysis was performed on these 28 genes in the String database (https://string-db.org/), and the network visualization was conducted using the CytoscapeV3.8.0 software.</w:t>
      </w:r>
    </w:p>
    <w:p w14:paraId="26EDC198" w14:textId="26B3E0F9" w:rsidR="00BA09D6" w:rsidRDefault="00BA09D6">
      <w:pPr>
        <w:spacing w:before="0" w:after="200" w:line="276" w:lineRule="auto"/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br w:type="page"/>
      </w:r>
    </w:p>
    <w:p w14:paraId="49BCAD05" w14:textId="77777777" w:rsidR="00BA09D6" w:rsidRPr="009D45AD" w:rsidRDefault="00BA09D6" w:rsidP="00BA09D6">
      <w:pPr>
        <w:keepNext/>
        <w:jc w:val="both"/>
        <w:rPr>
          <w:rFonts w:cs="Times New Roman"/>
          <w:szCs w:val="24"/>
        </w:rPr>
      </w:pPr>
      <w:r w:rsidRPr="009D45AD">
        <w:rPr>
          <w:b/>
          <w:noProof/>
          <w:lang w:eastAsia="zh-CN"/>
        </w:rPr>
        <w:lastRenderedPageBreak/>
        <w:drawing>
          <wp:inline distT="0" distB="0" distL="0" distR="0" wp14:anchorId="37F9E515" wp14:editId="08D62FB9">
            <wp:extent cx="6145922" cy="2112661"/>
            <wp:effectExtent l="0" t="0" r="7620" b="1905"/>
            <wp:docPr id="2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aine.Scott\Documents\LaTex\____TEST____Frontiers_LaTeX_Templates_V2.5\Frontiers LaTeX (Science, Health and Engineering) V2.5 - with Supplementary material (V1.2)\logo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5922" cy="2112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4674C0" w14:textId="4E0EA638" w:rsidR="00BA09D6" w:rsidRPr="009D45AD" w:rsidRDefault="00BA09D6" w:rsidP="00BA09D6">
      <w:pPr>
        <w:keepNext/>
        <w:jc w:val="both"/>
        <w:rPr>
          <w:rFonts w:cs="Times New Roman"/>
          <w:szCs w:val="24"/>
        </w:rPr>
      </w:pPr>
      <w:r w:rsidRPr="009D45AD">
        <w:rPr>
          <w:rFonts w:cs="Times New Roman"/>
          <w:b/>
          <w:szCs w:val="24"/>
        </w:rPr>
        <w:t>Supplementary Fig.</w:t>
      </w:r>
      <w:r>
        <w:rPr>
          <w:rFonts w:cs="Times New Roman"/>
          <w:b/>
          <w:szCs w:val="24"/>
        </w:rPr>
        <w:t xml:space="preserve">1 </w:t>
      </w:r>
      <w:r w:rsidRPr="00C27336">
        <w:rPr>
          <w:rFonts w:cs="Times New Roman"/>
          <w:szCs w:val="24"/>
        </w:rPr>
        <w:t>R</w:t>
      </w:r>
      <w:r w:rsidRPr="009D45AD">
        <w:rPr>
          <w:rFonts w:cs="Times New Roman"/>
          <w:szCs w:val="24"/>
        </w:rPr>
        <w:t xml:space="preserve">epresentative </w:t>
      </w:r>
      <w:bookmarkStart w:id="10" w:name="OLE_LINK155"/>
      <w:bookmarkStart w:id="11" w:name="OLE_LINK156"/>
      <w:r w:rsidRPr="009D45AD">
        <w:rPr>
          <w:rFonts w:cs="Times New Roman"/>
          <w:szCs w:val="24"/>
        </w:rPr>
        <w:t>HPLC</w:t>
      </w:r>
      <w:r w:rsidR="001776F2">
        <w:rPr>
          <w:lang w:eastAsia="zh-CN"/>
        </w:rPr>
        <w:t xml:space="preserve"> chromatogram</w:t>
      </w:r>
      <w:r w:rsidRPr="009D45AD">
        <w:rPr>
          <w:rFonts w:cs="Times New Roman"/>
          <w:szCs w:val="24"/>
        </w:rPr>
        <w:t xml:space="preserve"> </w:t>
      </w:r>
      <w:bookmarkEnd w:id="10"/>
      <w:bookmarkEnd w:id="11"/>
      <w:r w:rsidRPr="009D45AD">
        <w:rPr>
          <w:rFonts w:cs="Times New Roman"/>
          <w:szCs w:val="24"/>
        </w:rPr>
        <w:t>of STDP.</w:t>
      </w:r>
      <w:r w:rsidRPr="009D45AD">
        <w:t xml:space="preserve"> </w:t>
      </w:r>
      <w:r w:rsidRPr="009D45AD">
        <w:rPr>
          <w:rFonts w:cs="Times New Roman"/>
          <w:szCs w:val="24"/>
        </w:rPr>
        <w:t xml:space="preserve">Ten chromatographic peaks were identified: </w:t>
      </w:r>
      <w:r w:rsidRPr="009D45AD">
        <w:t xml:space="preserve">(1) </w:t>
      </w:r>
      <w:proofErr w:type="spellStart"/>
      <w:r w:rsidRPr="009D45AD">
        <w:rPr>
          <w:rFonts w:cs="Times New Roman"/>
          <w:szCs w:val="24"/>
        </w:rPr>
        <w:t>danshensu</w:t>
      </w:r>
      <w:proofErr w:type="spellEnd"/>
      <w:r w:rsidRPr="009D45AD">
        <w:rPr>
          <w:rFonts w:cs="Times New Roman"/>
          <w:szCs w:val="24"/>
        </w:rPr>
        <w:t xml:space="preserve">, (2) </w:t>
      </w:r>
      <w:proofErr w:type="spellStart"/>
      <w:r w:rsidRPr="009D45AD">
        <w:rPr>
          <w:rFonts w:cs="Times New Roman"/>
          <w:szCs w:val="24"/>
        </w:rPr>
        <w:t>protocatechualdehyde</w:t>
      </w:r>
      <w:proofErr w:type="spellEnd"/>
      <w:r w:rsidRPr="009D45AD">
        <w:rPr>
          <w:rFonts w:cs="Times New Roman"/>
          <w:szCs w:val="24"/>
        </w:rPr>
        <w:t xml:space="preserve">, (3) salvianolic acid D, (4) salvianolic acid B, (5) salvianolic acid A, (6) </w:t>
      </w:r>
      <w:proofErr w:type="spellStart"/>
      <w:r w:rsidRPr="009D45AD">
        <w:rPr>
          <w:rFonts w:cs="Times New Roman"/>
          <w:szCs w:val="24"/>
        </w:rPr>
        <w:t>taurodeoxycholic</w:t>
      </w:r>
      <w:proofErr w:type="spellEnd"/>
      <w:r w:rsidRPr="009D45AD">
        <w:rPr>
          <w:rFonts w:cs="Times New Roman"/>
          <w:szCs w:val="24"/>
        </w:rPr>
        <w:t xml:space="preserve"> acid, (7) </w:t>
      </w:r>
      <w:proofErr w:type="spellStart"/>
      <w:r w:rsidRPr="009D45AD">
        <w:rPr>
          <w:rFonts w:cs="Times New Roman"/>
          <w:szCs w:val="24"/>
        </w:rPr>
        <w:t>cinobufotalin</w:t>
      </w:r>
      <w:proofErr w:type="spellEnd"/>
      <w:r w:rsidRPr="009D45AD">
        <w:rPr>
          <w:rFonts w:cs="Times New Roman"/>
          <w:szCs w:val="24"/>
        </w:rPr>
        <w:t xml:space="preserve">, (8) </w:t>
      </w:r>
      <w:proofErr w:type="spellStart"/>
      <w:r w:rsidRPr="009D45AD">
        <w:rPr>
          <w:rFonts w:cs="Times New Roman"/>
          <w:szCs w:val="24"/>
        </w:rPr>
        <w:t>bufalin</w:t>
      </w:r>
      <w:proofErr w:type="spellEnd"/>
      <w:r w:rsidRPr="009D45AD">
        <w:rPr>
          <w:rFonts w:cs="Times New Roman"/>
          <w:szCs w:val="24"/>
        </w:rPr>
        <w:t xml:space="preserve">, (9) </w:t>
      </w:r>
      <w:proofErr w:type="spellStart"/>
      <w:r w:rsidRPr="009D45AD">
        <w:rPr>
          <w:rFonts w:cs="Times New Roman"/>
          <w:szCs w:val="24"/>
        </w:rPr>
        <w:t>cinobufagin</w:t>
      </w:r>
      <w:proofErr w:type="spellEnd"/>
      <w:r w:rsidRPr="009D45AD">
        <w:rPr>
          <w:rFonts w:cs="Times New Roman"/>
          <w:szCs w:val="24"/>
        </w:rPr>
        <w:t xml:space="preserve">, (10) </w:t>
      </w:r>
      <w:proofErr w:type="spellStart"/>
      <w:r w:rsidRPr="009D45AD">
        <w:rPr>
          <w:rFonts w:cs="Times New Roman"/>
          <w:szCs w:val="24"/>
        </w:rPr>
        <w:t>resibufogenin</w:t>
      </w:r>
      <w:proofErr w:type="spellEnd"/>
      <w:r w:rsidRPr="009D45AD">
        <w:rPr>
          <w:rFonts w:cs="Times New Roman"/>
          <w:szCs w:val="24"/>
        </w:rPr>
        <w:t>.</w:t>
      </w:r>
    </w:p>
    <w:p w14:paraId="5DCA7DB5" w14:textId="77777777" w:rsidR="00BA09D6" w:rsidRPr="00F473CF" w:rsidRDefault="00BA09D6" w:rsidP="0012790B">
      <w:pPr>
        <w:pStyle w:val="aa"/>
        <w:spacing w:beforeLines="50" w:before="120"/>
        <w:jc w:val="both"/>
        <w:rPr>
          <w:color w:val="000000" w:themeColor="text1"/>
          <w:szCs w:val="24"/>
        </w:rPr>
      </w:pPr>
      <w:bookmarkStart w:id="12" w:name="_GoBack"/>
      <w:bookmarkEnd w:id="12"/>
    </w:p>
    <w:bookmarkEnd w:id="9"/>
    <w:p w14:paraId="5741A0D1" w14:textId="36A54EF1" w:rsidR="009D45AD" w:rsidRPr="009D45AD" w:rsidRDefault="00F473CF" w:rsidP="00100E5C">
      <w:pPr>
        <w:jc w:val="center"/>
        <w:rPr>
          <w:lang w:eastAsia="zh-CN"/>
        </w:rPr>
      </w:pPr>
      <w:r w:rsidRPr="004E50B0">
        <w:rPr>
          <w:noProof/>
          <w:lang w:eastAsia="zh-CN"/>
        </w:rPr>
        <w:lastRenderedPageBreak/>
        <w:drawing>
          <wp:inline distT="0" distB="0" distL="0" distR="0" wp14:anchorId="6DFC31BF" wp14:editId="51AFEAF0">
            <wp:extent cx="4772025" cy="6384925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90" r="117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2025" cy="638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65BC41" w14:textId="20525ED3" w:rsidR="00DE23E8" w:rsidRPr="001549D3" w:rsidRDefault="00100E5C" w:rsidP="0012790B">
      <w:pPr>
        <w:jc w:val="both"/>
        <w:rPr>
          <w:lang w:eastAsia="zh-CN"/>
        </w:rPr>
      </w:pPr>
      <w:r w:rsidRPr="00100E5C">
        <w:rPr>
          <w:b/>
          <w:lang w:eastAsia="zh-CN"/>
        </w:rPr>
        <w:t>Supplementary Fig. 2</w:t>
      </w:r>
      <w:r w:rsidRPr="00100E5C">
        <w:rPr>
          <w:lang w:eastAsia="zh-CN"/>
        </w:rPr>
        <w:t xml:space="preserve"> Network construction and analysis using the main constituents and the targets which presented a recovery trend after STDP treatment. (A) The compound-target network was established using </w:t>
      </w:r>
      <w:proofErr w:type="spellStart"/>
      <w:r w:rsidRPr="00100E5C">
        <w:rPr>
          <w:lang w:eastAsia="zh-CN"/>
        </w:rPr>
        <w:t>Cytoscape</w:t>
      </w:r>
      <w:proofErr w:type="spellEnd"/>
      <w:r w:rsidRPr="00100E5C">
        <w:rPr>
          <w:lang w:eastAsia="zh-CN"/>
        </w:rPr>
        <w:t xml:space="preserve"> 3.8.0 software. The blue squares represent the main constituents of STDP. The orange circles indicate the potential targets of CHF regulated by the main bioactive compounds of STDP with the recovery efficiency </w:t>
      </w:r>
      <w:proofErr w:type="spellStart"/>
      <w:r w:rsidRPr="00100E5C">
        <w:rPr>
          <w:lang w:eastAsia="zh-CN"/>
        </w:rPr>
        <w:t>EoR</w:t>
      </w:r>
      <w:proofErr w:type="spellEnd"/>
      <w:r w:rsidRPr="00100E5C">
        <w:rPr>
          <w:lang w:eastAsia="zh-CN"/>
        </w:rPr>
        <w:t xml:space="preserve"> &gt; 0. The size of orange circles represents the efficiency of recovery regulation. (B) The KEGG pathway enrichment analysis of the 28 potential targets of STDP main constituents.</w:t>
      </w:r>
    </w:p>
    <w:sectPr w:rsidR="00DE23E8" w:rsidRPr="001549D3" w:rsidSect="0093429D">
      <w:headerReference w:type="even" r:id="rId10"/>
      <w:footerReference w:type="even" r:id="rId11"/>
      <w:footerReference w:type="default" r:id="rId12"/>
      <w:headerReference w:type="first" r:id="rId13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59ADBF" w14:textId="77777777" w:rsidR="0039616A" w:rsidRDefault="0039616A" w:rsidP="00117666">
      <w:pPr>
        <w:spacing w:after="0"/>
      </w:pPr>
      <w:r>
        <w:separator/>
      </w:r>
    </w:p>
  </w:endnote>
  <w:endnote w:type="continuationSeparator" w:id="0">
    <w:p w14:paraId="5A070128" w14:textId="77777777" w:rsidR="0039616A" w:rsidRDefault="0039616A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384D88BF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1776F2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50BC4D33" w14:textId="384D88BF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1776F2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32DFA1A9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1776F2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570F0D09" w14:textId="32DFA1A9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1776F2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F27D34" w14:textId="77777777" w:rsidR="0039616A" w:rsidRDefault="0039616A" w:rsidP="00117666">
      <w:pPr>
        <w:spacing w:after="0"/>
      </w:pPr>
      <w:r>
        <w:separator/>
      </w:r>
    </w:p>
  </w:footnote>
  <w:footnote w:type="continuationSeparator" w:id="0">
    <w:p w14:paraId="5933FCA3" w14:textId="77777777" w:rsidR="0039616A" w:rsidRDefault="0039616A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eastAsia="zh-CN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attachedTemplate r:id="rId1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Frontiers-Science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</w:docVars>
  <w:rsids>
    <w:rsidRoot w:val="00ED20B5"/>
    <w:rsid w:val="0001436A"/>
    <w:rsid w:val="00034304"/>
    <w:rsid w:val="00035434"/>
    <w:rsid w:val="00052A14"/>
    <w:rsid w:val="00073A15"/>
    <w:rsid w:val="00077D53"/>
    <w:rsid w:val="000E364C"/>
    <w:rsid w:val="00100E5C"/>
    <w:rsid w:val="00105FD9"/>
    <w:rsid w:val="00117666"/>
    <w:rsid w:val="0012790B"/>
    <w:rsid w:val="001549D3"/>
    <w:rsid w:val="00160065"/>
    <w:rsid w:val="001776F2"/>
    <w:rsid w:val="00177D84"/>
    <w:rsid w:val="001A03B6"/>
    <w:rsid w:val="00233F3B"/>
    <w:rsid w:val="00267D18"/>
    <w:rsid w:val="00274347"/>
    <w:rsid w:val="002868E2"/>
    <w:rsid w:val="002869C3"/>
    <w:rsid w:val="002936E4"/>
    <w:rsid w:val="002B4A57"/>
    <w:rsid w:val="002C74CA"/>
    <w:rsid w:val="003123F4"/>
    <w:rsid w:val="003544FB"/>
    <w:rsid w:val="0039616A"/>
    <w:rsid w:val="003D2F2D"/>
    <w:rsid w:val="003E4613"/>
    <w:rsid w:val="00401590"/>
    <w:rsid w:val="00407488"/>
    <w:rsid w:val="00447801"/>
    <w:rsid w:val="00452E9C"/>
    <w:rsid w:val="004735C8"/>
    <w:rsid w:val="004947A6"/>
    <w:rsid w:val="004961FF"/>
    <w:rsid w:val="004C27FE"/>
    <w:rsid w:val="004C3FCC"/>
    <w:rsid w:val="00517A89"/>
    <w:rsid w:val="005250F2"/>
    <w:rsid w:val="00593EEA"/>
    <w:rsid w:val="005A593E"/>
    <w:rsid w:val="005A5EEE"/>
    <w:rsid w:val="005E0240"/>
    <w:rsid w:val="006375C7"/>
    <w:rsid w:val="00654E8F"/>
    <w:rsid w:val="00660D05"/>
    <w:rsid w:val="006820B1"/>
    <w:rsid w:val="006B7D14"/>
    <w:rsid w:val="006D35B6"/>
    <w:rsid w:val="00701727"/>
    <w:rsid w:val="0070566C"/>
    <w:rsid w:val="00714C50"/>
    <w:rsid w:val="00725A7D"/>
    <w:rsid w:val="007501BE"/>
    <w:rsid w:val="00790BB3"/>
    <w:rsid w:val="007C206C"/>
    <w:rsid w:val="00817DD6"/>
    <w:rsid w:val="0083759F"/>
    <w:rsid w:val="00885156"/>
    <w:rsid w:val="009151AA"/>
    <w:rsid w:val="00920B61"/>
    <w:rsid w:val="0093429D"/>
    <w:rsid w:val="00943573"/>
    <w:rsid w:val="00964134"/>
    <w:rsid w:val="00970F7D"/>
    <w:rsid w:val="00994A3D"/>
    <w:rsid w:val="009C2B12"/>
    <w:rsid w:val="009D45AD"/>
    <w:rsid w:val="00A174D9"/>
    <w:rsid w:val="00A43A4E"/>
    <w:rsid w:val="00AA4D24"/>
    <w:rsid w:val="00AB6715"/>
    <w:rsid w:val="00B1671E"/>
    <w:rsid w:val="00B25EB8"/>
    <w:rsid w:val="00B37F4D"/>
    <w:rsid w:val="00BA09D6"/>
    <w:rsid w:val="00C27336"/>
    <w:rsid w:val="00C52A7B"/>
    <w:rsid w:val="00C56BAF"/>
    <w:rsid w:val="00C679AA"/>
    <w:rsid w:val="00C75972"/>
    <w:rsid w:val="00CD066B"/>
    <w:rsid w:val="00CE4FEE"/>
    <w:rsid w:val="00CF4C63"/>
    <w:rsid w:val="00D060CF"/>
    <w:rsid w:val="00DB59C3"/>
    <w:rsid w:val="00DC259A"/>
    <w:rsid w:val="00DE23E8"/>
    <w:rsid w:val="00E25A13"/>
    <w:rsid w:val="00E52377"/>
    <w:rsid w:val="00E537AD"/>
    <w:rsid w:val="00E64E17"/>
    <w:rsid w:val="00E866C9"/>
    <w:rsid w:val="00E87C9C"/>
    <w:rsid w:val="00EA3D3C"/>
    <w:rsid w:val="00EC090A"/>
    <w:rsid w:val="00ED20B5"/>
    <w:rsid w:val="00F46900"/>
    <w:rsid w:val="00F473CF"/>
    <w:rsid w:val="00F61D89"/>
    <w:rsid w:val="00FD3C66"/>
    <w:rsid w:val="00FE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0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0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0">
    <w:name w:val="标题 2 字符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a5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a5">
    <w:name w:val="副标题 字符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6">
    <w:name w:val="Balloon Text"/>
    <w:basedOn w:val="a0"/>
    <w:link w:val="a7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批注框文本 字符"/>
    <w:basedOn w:val="a1"/>
    <w:link w:val="a6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8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9">
    <w:name w:val="caption"/>
    <w:basedOn w:val="a0"/>
    <w:next w:val="aa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a">
    <w:name w:val="No Spacing"/>
    <w:uiPriority w:val="1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b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AB6715"/>
    <w:rPr>
      <w:sz w:val="20"/>
      <w:szCs w:val="20"/>
    </w:rPr>
  </w:style>
  <w:style w:type="character" w:customStyle="1" w:styleId="ad">
    <w:name w:val="批注文字 字符"/>
    <w:basedOn w:val="a1"/>
    <w:link w:val="ac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B6715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f0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f1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endnote text"/>
    <w:basedOn w:val="a0"/>
    <w:link w:val="af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3">
    <w:name w:val="尾注文本 字符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4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5">
    <w:name w:val="footer"/>
    <w:basedOn w:val="a0"/>
    <w:link w:val="af6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af6">
    <w:name w:val="页脚 字符"/>
    <w:basedOn w:val="a1"/>
    <w:link w:val="af5"/>
    <w:uiPriority w:val="99"/>
    <w:rsid w:val="00AB6715"/>
    <w:rPr>
      <w:rFonts w:ascii="Times New Roman" w:hAnsi="Times New Roman"/>
      <w:sz w:val="24"/>
    </w:rPr>
  </w:style>
  <w:style w:type="character" w:styleId="af7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8">
    <w:name w:val="footnote text"/>
    <w:basedOn w:val="a0"/>
    <w:link w:val="af9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9">
    <w:name w:val="脚注文本 字符"/>
    <w:basedOn w:val="a1"/>
    <w:link w:val="af8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a">
    <w:name w:val="header"/>
    <w:basedOn w:val="a0"/>
    <w:link w:val="afb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afb">
    <w:name w:val="页眉 字符"/>
    <w:basedOn w:val="a1"/>
    <w:link w:val="afa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c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d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afe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f">
    <w:name w:val="line number"/>
    <w:basedOn w:val="a1"/>
    <w:uiPriority w:val="99"/>
    <w:semiHidden/>
    <w:unhideWhenUsed/>
    <w:rsid w:val="00AB6715"/>
  </w:style>
  <w:style w:type="character" w:customStyle="1" w:styleId="30">
    <w:name w:val="标题 3 字符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0">
    <w:name w:val="标题 4 字符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0">
    <w:name w:val="标题 5 字符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f0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f1">
    <w:name w:val="Quote"/>
    <w:basedOn w:val="a0"/>
    <w:next w:val="a0"/>
    <w:link w:val="aff2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2">
    <w:name w:val="引用 字符"/>
    <w:basedOn w:val="a1"/>
    <w:link w:val="aff1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f3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f4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f5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6">
    <w:name w:val="Title"/>
    <w:basedOn w:val="a0"/>
    <w:next w:val="a0"/>
    <w:link w:val="aff7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ff7">
    <w:name w:val="标题 字符"/>
    <w:basedOn w:val="a1"/>
    <w:link w:val="aff6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f6"/>
    <w:next w:val="aff6"/>
    <w:qFormat/>
    <w:rsid w:val="0001436A"/>
    <w:pPr>
      <w:spacing w:after="120"/>
    </w:pPr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6F7C1E35-9767-4D4B-BAD9-CA9F510F01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17</TotalTime>
  <Pages>3</Pages>
  <Words>542</Words>
  <Characters>3091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1361623148@qq.com</cp:lastModifiedBy>
  <cp:revision>28</cp:revision>
  <cp:lastPrinted>2013-10-03T12:51:00Z</cp:lastPrinted>
  <dcterms:created xsi:type="dcterms:W3CDTF">2018-11-23T08:58:00Z</dcterms:created>
  <dcterms:modified xsi:type="dcterms:W3CDTF">2021-11-12T03:06:00Z</dcterms:modified>
</cp:coreProperties>
</file>