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C6E6" w14:textId="0B27156F" w:rsidR="005177FB" w:rsidRDefault="001A5294">
      <w:pPr>
        <w:pStyle w:val="Heading2"/>
        <w:widowControl/>
        <w:numPr>
          <w:ilvl w:val="0"/>
          <w:numId w:val="0"/>
        </w:numPr>
        <w:tabs>
          <w:tab w:val="left" w:pos="567"/>
        </w:tabs>
        <w:ind w:left="567" w:hanging="567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Supplemental Figure </w:t>
      </w:r>
      <w:r w:rsidR="00CD5AE1">
        <w:rPr>
          <w:rFonts w:ascii="Times New Roman" w:hAnsi="Times New Roman"/>
          <w:kern w:val="0"/>
          <w:sz w:val="24"/>
        </w:rPr>
        <w:t>6</w:t>
      </w:r>
    </w:p>
    <w:p w14:paraId="0F2E4B16" w14:textId="52E6E2DF" w:rsidR="005177FB" w:rsidRDefault="00CD5AE1" w:rsidP="00B76925">
      <w:pPr>
        <w:jc w:val="center"/>
      </w:pPr>
      <w:r w:rsidRPr="00CD5AE1">
        <w:rPr>
          <w:noProof/>
        </w:rPr>
        <w:drawing>
          <wp:inline distT="0" distB="0" distL="0" distR="0" wp14:anchorId="6CE6F9A8" wp14:editId="29CC467C">
            <wp:extent cx="5274310" cy="54768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56B1E" w14:textId="64724491" w:rsidR="001A5294" w:rsidRPr="00432E87" w:rsidRDefault="001A5294" w:rsidP="00432E87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Supplementary Figure </w:t>
      </w:r>
      <w:r w:rsidR="00CD5AE1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CD5AE1" w:rsidRPr="00CD5AE1">
        <w:rPr>
          <w:rFonts w:ascii="Times New Roman" w:hAnsi="Times New Roman"/>
          <w:sz w:val="24"/>
        </w:rPr>
        <w:t xml:space="preserve">Targeted bisulfite sequencing reveals changes of DNA methylation at the overall region of </w:t>
      </w:r>
      <w:r w:rsidR="00CD5AE1" w:rsidRPr="00CD5AE1">
        <w:rPr>
          <w:rFonts w:ascii="Times New Roman" w:hAnsi="Times New Roman"/>
          <w:i/>
          <w:iCs/>
          <w:sz w:val="24"/>
        </w:rPr>
        <w:t>SlIRT1;1</w:t>
      </w:r>
      <w:r w:rsidR="00CD5AE1" w:rsidRPr="00CD5AE1">
        <w:rPr>
          <w:rFonts w:ascii="Times New Roman" w:hAnsi="Times New Roman"/>
          <w:sz w:val="24"/>
        </w:rPr>
        <w:t xml:space="preserve"> (Solyc02g069190), </w:t>
      </w:r>
      <w:r w:rsidR="00CD5AE1" w:rsidRPr="00CD5AE1">
        <w:rPr>
          <w:rFonts w:ascii="Times New Roman" w:hAnsi="Times New Roman"/>
          <w:i/>
          <w:iCs/>
          <w:sz w:val="24"/>
        </w:rPr>
        <w:t>SlIRT1;2</w:t>
      </w:r>
      <w:r w:rsidR="00CD5AE1" w:rsidRPr="00CD5AE1">
        <w:rPr>
          <w:rFonts w:ascii="Times New Roman" w:hAnsi="Times New Roman"/>
          <w:sz w:val="24"/>
        </w:rPr>
        <w:t xml:space="preserve"> (Solyc02g069200), </w:t>
      </w:r>
      <w:r w:rsidR="00CD5AE1" w:rsidRPr="00CD5AE1">
        <w:rPr>
          <w:rFonts w:ascii="Times New Roman" w:hAnsi="Times New Roman"/>
          <w:i/>
          <w:iCs/>
          <w:sz w:val="24"/>
        </w:rPr>
        <w:t>SlbHLH066</w:t>
      </w:r>
      <w:r w:rsidR="00CD5AE1" w:rsidRPr="00CD5AE1">
        <w:rPr>
          <w:rFonts w:ascii="Times New Roman" w:hAnsi="Times New Roman"/>
          <w:sz w:val="24"/>
        </w:rPr>
        <w:t xml:space="preserve"> (Solyc10g079650), </w:t>
      </w:r>
      <w:r w:rsidR="00CD5AE1" w:rsidRPr="00CD5AE1">
        <w:rPr>
          <w:rFonts w:ascii="Times New Roman" w:hAnsi="Times New Roman"/>
          <w:i/>
          <w:iCs/>
          <w:sz w:val="24"/>
        </w:rPr>
        <w:t>SlS8H</w:t>
      </w:r>
      <w:r w:rsidR="00CD5AE1" w:rsidRPr="00CD5AE1">
        <w:rPr>
          <w:rFonts w:ascii="Times New Roman" w:hAnsi="Times New Roman"/>
          <w:sz w:val="24"/>
        </w:rPr>
        <w:t xml:space="preserve"> (Solyc11g045520), </w:t>
      </w:r>
      <w:r w:rsidR="00CD5AE1" w:rsidRPr="00CD5AE1">
        <w:rPr>
          <w:rFonts w:ascii="Times New Roman" w:hAnsi="Times New Roman"/>
          <w:i/>
          <w:iCs/>
          <w:sz w:val="24"/>
        </w:rPr>
        <w:t xml:space="preserve">Ring finger protein 38 </w:t>
      </w:r>
      <w:r w:rsidR="00CD5AE1" w:rsidRPr="00CD5AE1">
        <w:rPr>
          <w:rFonts w:ascii="Times New Roman" w:hAnsi="Times New Roman"/>
          <w:sz w:val="24"/>
        </w:rPr>
        <w:t xml:space="preserve">(Solyc10g081780) and </w:t>
      </w:r>
      <w:r w:rsidR="00CD5AE1" w:rsidRPr="00CD5AE1">
        <w:rPr>
          <w:rFonts w:ascii="Times New Roman" w:hAnsi="Times New Roman"/>
          <w:i/>
          <w:iCs/>
          <w:sz w:val="24"/>
        </w:rPr>
        <w:t>SlPIN5</w:t>
      </w:r>
      <w:r w:rsidR="00CD5AE1" w:rsidRPr="00CD5AE1">
        <w:rPr>
          <w:rFonts w:ascii="Times New Roman" w:hAnsi="Times New Roman"/>
          <w:sz w:val="24"/>
        </w:rPr>
        <w:t xml:space="preserve"> (Solyc01g068410) in AC and </w:t>
      </w:r>
      <w:proofErr w:type="spellStart"/>
      <w:r w:rsidR="00CD5AE1" w:rsidRPr="00CD5AE1">
        <w:rPr>
          <w:rFonts w:ascii="Times New Roman" w:hAnsi="Times New Roman"/>
          <w:i/>
          <w:iCs/>
          <w:sz w:val="24"/>
        </w:rPr>
        <w:t>Cnr</w:t>
      </w:r>
      <w:proofErr w:type="spellEnd"/>
      <w:r w:rsidR="00CD5AE1" w:rsidRPr="00CD5AE1">
        <w:rPr>
          <w:rFonts w:ascii="Times New Roman" w:hAnsi="Times New Roman"/>
          <w:sz w:val="24"/>
        </w:rPr>
        <w:t xml:space="preserve"> roots under +Fe condition</w:t>
      </w:r>
      <w:r w:rsidR="00CD5AE1">
        <w:rPr>
          <w:rFonts w:ascii="Times New Roman" w:hAnsi="Times New Roman"/>
          <w:sz w:val="24"/>
        </w:rPr>
        <w:t xml:space="preserve"> for 3 d</w:t>
      </w:r>
      <w:r w:rsidR="00CD5AE1" w:rsidRPr="00CD5AE1">
        <w:rPr>
          <w:rFonts w:ascii="Times New Roman" w:hAnsi="Times New Roman"/>
          <w:sz w:val="24"/>
        </w:rPr>
        <w:t>. Bar-chart shows the methylation levels in the gene locus.</w:t>
      </w:r>
    </w:p>
    <w:sectPr w:rsidR="001A5294" w:rsidRPr="00432E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4A02" w14:textId="77777777" w:rsidR="0038018A" w:rsidRDefault="0038018A" w:rsidP="00B87896">
      <w:r>
        <w:separator/>
      </w:r>
    </w:p>
  </w:endnote>
  <w:endnote w:type="continuationSeparator" w:id="0">
    <w:p w14:paraId="27D8DE0D" w14:textId="77777777" w:rsidR="0038018A" w:rsidRDefault="0038018A" w:rsidP="00B8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D0BD" w14:textId="77777777" w:rsidR="0038018A" w:rsidRDefault="0038018A" w:rsidP="00B87896">
      <w:r>
        <w:separator/>
      </w:r>
    </w:p>
  </w:footnote>
  <w:footnote w:type="continuationSeparator" w:id="0">
    <w:p w14:paraId="112EF206" w14:textId="77777777" w:rsidR="0038018A" w:rsidRDefault="0038018A" w:rsidP="00B8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96"/>
    <w:rsid w:val="001A5294"/>
    <w:rsid w:val="0038018A"/>
    <w:rsid w:val="00432E87"/>
    <w:rsid w:val="00456B09"/>
    <w:rsid w:val="005177FB"/>
    <w:rsid w:val="00800A29"/>
    <w:rsid w:val="00840AD0"/>
    <w:rsid w:val="0091703B"/>
    <w:rsid w:val="00B644A0"/>
    <w:rsid w:val="00B76925"/>
    <w:rsid w:val="00B87896"/>
    <w:rsid w:val="00CD5AE1"/>
    <w:rsid w:val="00CF6004"/>
    <w:rsid w:val="00EA0B78"/>
    <w:rsid w:val="00FB4C2F"/>
    <w:rsid w:val="7CD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A8D6B"/>
  <w15:chartTrackingRefBased/>
  <w15:docId w15:val="{9B0F9E0A-38C3-4558-A119-2F80B7B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ListParagraph"/>
    <w:next w:val="Normal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uiPriority w:val="2"/>
    <w:qFormat/>
    <w:pPr>
      <w:numPr>
        <w:ilvl w:val="1"/>
      </w:numPr>
      <w:spacing w:after="2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/>
    </w:rPr>
  </w:style>
  <w:style w:type="paragraph" w:styleId="Header">
    <w:name w:val="header"/>
    <w:basedOn w:val="Normal"/>
    <w:link w:val="HeaderChar"/>
    <w:rsid w:val="00B8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87896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FooterChar"/>
    <w:rsid w:val="00B87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8789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</dc:creator>
  <cp:keywords/>
  <cp:lastModifiedBy>Lucie Senn</cp:lastModifiedBy>
  <cp:revision>2</cp:revision>
  <dcterms:created xsi:type="dcterms:W3CDTF">2021-12-27T10:26:00Z</dcterms:created>
  <dcterms:modified xsi:type="dcterms:W3CDTF">2021-12-27T10:26:00Z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