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1"/>
        </w:tabs>
        <w:spacing w:line="360" w:lineRule="auto"/>
        <w:rPr>
          <w:rFonts w:ascii="Times New Roman" w:hAnsi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UPPLEMENTARY 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szCs w:val="24"/>
          <w:lang w:bidi="ar"/>
        </w:rPr>
        <w:t>T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szCs w:val="24"/>
          <w:lang w:val="en-US" w:eastAsia="zh-CN" w:bidi="ar"/>
        </w:rPr>
        <w:t>ABLE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lang w:val="en-US" w:eastAsia="zh-CN" w:bidi="ar"/>
        </w:rPr>
        <w:t>T</w:t>
      </w:r>
      <w:r>
        <w:rPr>
          <w:rFonts w:hint="eastAsia" w:ascii="Times New Roman" w:hAnsi="Times New Roman" w:cs="Times New Roman"/>
          <w:sz w:val="24"/>
          <w:lang w:val="en-US" w:eastAsia="zh-CN"/>
        </w:rPr>
        <w:t>he primer sequences of s</w:t>
      </w:r>
      <w:r>
        <w:rPr>
          <w:rFonts w:hint="default" w:ascii="Times New Roman" w:hAnsi="Times New Roman" w:cs="Times New Roman"/>
          <w:sz w:val="24"/>
        </w:rPr>
        <w:t>ix immune-related gen</w:t>
      </w:r>
      <w:r>
        <w:rPr>
          <w:rFonts w:hint="default" w:ascii="Times New Roman" w:hAnsi="Times New Roman" w:cs="Times New Roman"/>
          <w:b w:val="0"/>
          <w:bCs w:val="0"/>
          <w:sz w:val="24"/>
        </w:rPr>
        <w:t>es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in gibel carp </w:t>
      </w:r>
      <w:r>
        <w:rPr>
          <w:rFonts w:hint="eastAsia" w:ascii="Times New Roman" w:hAnsi="Times New Roman"/>
          <w:b w:val="0"/>
          <w:bCs w:val="0"/>
          <w:sz w:val="24"/>
        </w:rPr>
        <w:t>(</w:t>
      </w:r>
      <w:r>
        <w:rPr>
          <w:rFonts w:ascii="Times New Roman" w:hAnsi="Times New Roman"/>
          <w:b w:val="0"/>
          <w:bCs w:val="0"/>
          <w:i/>
          <w:iCs/>
          <w:sz w:val="24"/>
        </w:rPr>
        <w:t>Carassius auratus gibelio</w:t>
      </w:r>
      <w:r>
        <w:rPr>
          <w:rFonts w:hint="eastAsia" w:ascii="Times New Roman" w:hAnsi="Times New Roman"/>
          <w:b w:val="0"/>
          <w:bCs w:val="0"/>
          <w:sz w:val="24"/>
        </w:rPr>
        <w:t xml:space="preserve">) 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Gene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  <w:t xml:space="preserve"> name</w:t>
            </w:r>
          </w:p>
        </w:tc>
        <w:tc>
          <w:tcPr>
            <w:tcW w:w="352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Primer seq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ence (5′-3′)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hsp70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-F</w:t>
            </w:r>
          </w:p>
        </w:tc>
        <w:tc>
          <w:tcPr>
            <w:tcW w:w="3527" w:type="pct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TACACGTCCATCACCAGAGCGC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hsp70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-R</w:t>
            </w:r>
          </w:p>
        </w:tc>
        <w:tc>
          <w:tcPr>
            <w:tcW w:w="3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CCCTGCCGTTGAAGAAATCCT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JAK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-F</w:t>
            </w:r>
          </w:p>
        </w:tc>
        <w:tc>
          <w:tcPr>
            <w:tcW w:w="3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CGCTCTCCGTGTAGACCTGATCC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JAK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-R</w:t>
            </w:r>
          </w:p>
        </w:tc>
        <w:tc>
          <w:tcPr>
            <w:tcW w:w="3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GTGGCAGCGGTGAGCAAGTG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PIK3R1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-F</w:t>
            </w:r>
          </w:p>
        </w:tc>
        <w:tc>
          <w:tcPr>
            <w:tcW w:w="3527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AACATTAACCGCATCCAGGCAGAG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PIK3R1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-R</w:t>
            </w:r>
          </w:p>
        </w:tc>
        <w:tc>
          <w:tcPr>
            <w:tcW w:w="3527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TGACCTCACCATCCACAACAACAC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mTOR-F</w:t>
            </w:r>
          </w:p>
        </w:tc>
        <w:tc>
          <w:tcPr>
            <w:tcW w:w="3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GAGAGGCCTGTGTCAAGCAA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mTOR-R</w:t>
            </w:r>
          </w:p>
        </w:tc>
        <w:tc>
          <w:tcPr>
            <w:tcW w:w="3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GACGAGCCACAGACAAGTGG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IL-11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-F</w:t>
            </w:r>
          </w:p>
        </w:tc>
        <w:tc>
          <w:tcPr>
            <w:tcW w:w="3527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AGAGAGACGAACTTTGGAGCACG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IL-11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-R</w:t>
            </w:r>
          </w:p>
        </w:tc>
        <w:tc>
          <w:tcPr>
            <w:tcW w:w="3527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GAGGAGTCACCCAGCAATTTCATAT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ITLN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-F</w:t>
            </w:r>
          </w:p>
        </w:tc>
        <w:tc>
          <w:tcPr>
            <w:tcW w:w="3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CGCTTCATTTTCTTCCTGATGTGTC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ITLN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-R</w:t>
            </w:r>
          </w:p>
        </w:tc>
        <w:tc>
          <w:tcPr>
            <w:tcW w:w="35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TTCTGGGTTTATGTAGGTGCCATTTAT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F, forword primer; R, reverse primer; </w:t>
      </w:r>
      <w:r>
        <w:rPr>
          <w:rFonts w:hint="default" w:ascii="Times New Roman" w:hAnsi="Times New Roman" w:cs="Times New Roman"/>
          <w:sz w:val="24"/>
          <w:lang w:bidi="ar"/>
        </w:rPr>
        <w:t>hsp70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, </w:t>
      </w:r>
      <w:r>
        <w:rPr>
          <w:rFonts w:hint="default" w:ascii="Times New Roman" w:hAnsi="Times New Roman" w:cs="Times New Roman"/>
          <w:sz w:val="24"/>
          <w:lang w:bidi="ar"/>
        </w:rPr>
        <w:t>heat shock protein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sz w:val="24"/>
          <w:lang w:bidi="ar"/>
        </w:rPr>
        <w:t>7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; </w:t>
      </w:r>
      <w:r>
        <w:rPr>
          <w:rFonts w:hint="default" w:ascii="Times New Roman" w:hAnsi="Times New Roman" w:cs="Times New Roman"/>
          <w:sz w:val="24"/>
          <w:lang w:bidi="ar"/>
        </w:rPr>
        <w:t>JAK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, </w:t>
      </w:r>
      <w:r>
        <w:rPr>
          <w:rFonts w:hint="default" w:ascii="Times New Roman" w:hAnsi="Times New Roman" w:cs="Times New Roman"/>
          <w:sz w:val="24"/>
          <w:lang w:bidi="ar"/>
        </w:rPr>
        <w:t>tyrosine-protein kinase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; </w:t>
      </w:r>
      <w:r>
        <w:rPr>
          <w:rFonts w:hint="default" w:ascii="Times New Roman" w:hAnsi="Times New Roman" w:cs="Times New Roman"/>
          <w:sz w:val="24"/>
          <w:lang w:bidi="ar"/>
        </w:rPr>
        <w:t>PIK3R1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, </w:t>
      </w:r>
      <w:r>
        <w:rPr>
          <w:rFonts w:hint="default" w:ascii="Times New Roman" w:hAnsi="Times New Roman" w:cs="Times New Roman"/>
          <w:sz w:val="24"/>
          <w:lang w:bidi="ar"/>
        </w:rPr>
        <w:t>phosphatidylinositol 3-kinase regulatory subunit alpha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; </w:t>
      </w:r>
      <w:r>
        <w:rPr>
          <w:rFonts w:hint="default" w:ascii="Times New Roman" w:hAnsi="Times New Roman" w:cs="Times New Roman"/>
          <w:sz w:val="24"/>
          <w:lang w:bidi="ar"/>
        </w:rPr>
        <w:t>mTOR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>,</w:t>
      </w:r>
      <w:r>
        <w:rPr>
          <w:rFonts w:hint="default" w:ascii="Times New Roman" w:hAnsi="Times New Roman" w:cs="Times New Roman"/>
          <w:sz w:val="24"/>
          <w:lang w:bidi="ar"/>
        </w:rPr>
        <w:t xml:space="preserve"> serine/threonine-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sz w:val="24"/>
          <w:lang w:bidi="ar"/>
        </w:rPr>
        <w:t>protein kinase Mtor</w:t>
      </w:r>
      <w:r>
        <w:rPr>
          <w:rFonts w:hint="eastAsia" w:ascii="Times New Roman" w:hAnsi="Times New Roman" w:cs="Times New Roman"/>
          <w:sz w:val="24"/>
          <w:lang w:val="en-US" w:eastAsia="zh-CN" w:bidi="ar"/>
        </w:rPr>
        <w:t xml:space="preserve">;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IL11: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Interleukin11;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ITLN1: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Intelectin1.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UPPLEMENTARY 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szCs w:val="24"/>
          <w:lang w:bidi="ar"/>
        </w:rPr>
        <w:t>T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szCs w:val="24"/>
          <w:lang w:val="en-US" w:eastAsia="zh-CN" w:bidi="ar"/>
        </w:rPr>
        <w:t xml:space="preserve">ABLE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Proximate composition (as a percentage of dry matter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n=3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)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suspended solids (SS)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1483"/>
        <w:gridCol w:w="2060"/>
        <w:gridCol w:w="231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Proximate composition</w:t>
            </w:r>
          </w:p>
        </w:tc>
        <w:tc>
          <w:tcPr>
            <w:tcW w:w="148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SS</w:t>
            </w:r>
          </w:p>
        </w:tc>
        <w:tc>
          <w:tcPr>
            <w:tcW w:w="206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PHB-enriched SS</w:t>
            </w:r>
          </w:p>
        </w:tc>
        <w:tc>
          <w:tcPr>
            <w:tcW w:w="23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Crude protein</w:t>
            </w:r>
          </w:p>
        </w:tc>
        <w:tc>
          <w:tcPr>
            <w:tcW w:w="148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TTa9c1b374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29.84±3.62</w:t>
            </w:r>
          </w:p>
        </w:tc>
        <w:tc>
          <w:tcPr>
            <w:tcW w:w="206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23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Zhang et al., 2018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Crude lipid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TTa9c1b374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3.16±0.64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Zhang et al., 2018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Ash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AdvTTa9c1b374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19.09±0.41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Zhang et al., 2018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3" w:hRule="atLeast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Total amino acids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14.96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Zhang et al., 2018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PHB content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17.34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4.75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This study</w:t>
            </w: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SS were collected from the indoor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B0F0"/>
          <w:sz w:val="24"/>
          <w:szCs w:val="24"/>
          <w:vertAlign w:val="baseline"/>
          <w:lang w:val="en-US" w:eastAsia="zh-CN"/>
        </w:rPr>
        <w:t>concrete</w:t>
      </w:r>
      <w:r>
        <w:rPr>
          <w:rFonts w:hint="default" w:ascii="Times New Roman" w:hAnsi="Times New Roman" w:cs="Times New Roman"/>
          <w:color w:val="00B0F0"/>
          <w:sz w:val="24"/>
          <w:szCs w:val="24"/>
          <w:vertAlign w:val="baseline"/>
          <w:lang w:val="en-US" w:eastAsia="zh-CN"/>
        </w:rPr>
        <w:t xml:space="preserve"> tank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cultured gible carp.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Values are shown as mean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  <w:t>±</w:t>
      </w:r>
      <w:r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  <w:t>SD. PHB, poly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  <w:t>-</w:t>
      </w:r>
      <w:r>
        <w:rPr>
          <w:rFonts w:hint="default" w:ascii="Arial" w:hAnsi="Arial" w:cs="Arial"/>
          <w:b w:val="0"/>
          <w:bCs/>
          <w:kern w:val="0"/>
          <w:sz w:val="24"/>
          <w:szCs w:val="24"/>
          <w:vertAlign w:val="baseline"/>
          <w:lang w:val="en-US" w:eastAsia="zh-CN" w:bidi="ar"/>
        </w:rPr>
        <w:t>β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  <w:t>-hydroxybutyrate</w:t>
      </w:r>
      <w:r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  <w:t>. ND, not detected.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/>
          <w:kern w:val="0"/>
          <w:sz w:val="24"/>
          <w:szCs w:val="24"/>
          <w:vertAlign w:val="baseline"/>
          <w:lang w:val="en-US" w:eastAsia="zh-CN" w:bidi="ar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382010" cy="2673350"/>
            <wp:effectExtent l="12700" t="12700" r="2159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26733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385185" cy="2376805"/>
            <wp:effectExtent l="12700" t="12700" r="18415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3768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386455" cy="2310765"/>
            <wp:effectExtent l="12700" t="12700" r="1714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3107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UPPLEMENTARY 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F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 xml:space="preserve">IGURE 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| </w:t>
      </w:r>
      <w:r>
        <w:rPr>
          <w:rFonts w:hint="eastAsia" w:ascii="Times New Roman" w:hAnsi="Times New Roman"/>
          <w:sz w:val="24"/>
        </w:rPr>
        <w:t xml:space="preserve">Rarefaction curve (A), relative abundance (B) and </w:t>
      </w:r>
      <w:r>
        <w:rPr>
          <w:rFonts w:hint="eastAsia" w:ascii="Times New Roman" w:hAnsi="Times New Roman"/>
          <w:sz w:val="24"/>
          <w:lang w:val="en-US" w:eastAsia="zh-CN"/>
        </w:rPr>
        <w:t>S</w:t>
      </w:r>
      <w:r>
        <w:rPr>
          <w:rFonts w:hint="eastAsia" w:ascii="Times New Roman" w:hAnsi="Times New Roman"/>
          <w:sz w:val="24"/>
        </w:rPr>
        <w:t>hannon diversity (C) of operation taxonomic unites (OUTs) from quadruple SS samples</w:t>
      </w:r>
      <w:r>
        <w:rPr>
          <w:rFonts w:hint="eastAsia" w:ascii="Times New Roman" w:hAnsi="Times New Roman"/>
          <w:sz w:val="24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TTa9c1b37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507BB"/>
    <w:rsid w:val="01EA1237"/>
    <w:rsid w:val="07A111B9"/>
    <w:rsid w:val="0E961AD7"/>
    <w:rsid w:val="1E0B1012"/>
    <w:rsid w:val="1F961683"/>
    <w:rsid w:val="227948DB"/>
    <w:rsid w:val="27B9339D"/>
    <w:rsid w:val="2C7124AA"/>
    <w:rsid w:val="322F554F"/>
    <w:rsid w:val="336E6D90"/>
    <w:rsid w:val="342507BB"/>
    <w:rsid w:val="372A4E59"/>
    <w:rsid w:val="3BDC004C"/>
    <w:rsid w:val="48D04F3E"/>
    <w:rsid w:val="49435EA6"/>
    <w:rsid w:val="4EA71536"/>
    <w:rsid w:val="5E2603BE"/>
    <w:rsid w:val="5E9145C0"/>
    <w:rsid w:val="634265E1"/>
    <w:rsid w:val="6EEA2A32"/>
    <w:rsid w:val="74D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1260</Characters>
  <Lines>0</Lines>
  <Paragraphs>0</Paragraphs>
  <TotalTime>6</TotalTime>
  <ScaleCrop>false</ScaleCrop>
  <LinksUpToDate>false</LinksUpToDate>
  <CharactersWithSpaces>1385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2022-01-17T01:08:00Z</dcterms:created>
  <dc:creator>Qiao</dc:creator>
  <cp:lastModifiedBy>Qiao</cp:lastModifiedBy>
  <dcterms:modified xsi:type="dcterms:W3CDTF">2022-04-08T04:40:02Z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2F2C872221184C4D978D50CE2061E2A1</vt:lpwstr>
  </property>
</Properties>
</file>