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cs="Arial"/>
          <w:lang w:val="en-US" w:eastAsia="zh-CN"/>
        </w:rPr>
      </w:pPr>
      <w:r>
        <w:rPr>
          <w:rFonts w:hint="default" w:ascii="Arial" w:hAnsi="Arial" w:cs="Arial"/>
        </w:rPr>
        <w:t>Supplementary Table 4： 21 drugs with reported and experimentally verified the therapeutic potential from previous studies</w:t>
      </w:r>
      <w:r>
        <w:rPr>
          <w:rFonts w:hint="eastAsia" w:ascii="Arial" w:hAnsi="Arial" w:cs="Arial"/>
          <w:lang w:val="en-US" w:eastAsia="zh-CN"/>
        </w:rPr>
        <w:t>.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0"/>
        <w:gridCol w:w="2851"/>
        <w:gridCol w:w="36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22" w:type="pct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Name</w:t>
            </w:r>
          </w:p>
        </w:tc>
        <w:tc>
          <w:tcPr>
            <w:tcW w:w="1711" w:type="pct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biological function</w:t>
            </w:r>
          </w:p>
        </w:tc>
        <w:tc>
          <w:tcPr>
            <w:tcW w:w="2166" w:type="pct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source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22" w:type="pct"/>
            <w:tcBorders>
              <w:top w:val="single" w:color="auto" w:sz="18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Obatoclax.Mesylate</w:t>
            </w:r>
          </w:p>
        </w:tc>
        <w:tc>
          <w:tcPr>
            <w:tcW w:w="1711" w:type="pct"/>
            <w:tcBorders>
              <w:top w:val="single" w:color="auto" w:sz="18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pan-Bcl-2 inhibitor</w:t>
            </w:r>
          </w:p>
        </w:tc>
        <w:tc>
          <w:tcPr>
            <w:tcW w:w="2166" w:type="pct"/>
            <w:tcBorders>
              <w:top w:val="single" w:color="auto" w:sz="18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doi: 10.1016/j.tranon.2021.101116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doi:10.1016/j.canlet.2012.03.023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Doxorubicin</w:t>
            </w:r>
          </w:p>
        </w:tc>
        <w:tc>
          <w:tcPr>
            <w:tcW w:w="1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interacts with the DNA and generate free radicals that induce DNA and cell membrane damage</w:t>
            </w:r>
          </w:p>
        </w:tc>
        <w:tc>
          <w:tcPr>
            <w:tcW w:w="2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doi:10.4103/0973-1482.139267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doi:10.1021/acsami.1c09610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ABT.888(Veliparib)</w:t>
            </w:r>
          </w:p>
        </w:tc>
        <w:tc>
          <w:tcPr>
            <w:tcW w:w="1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inhibitors of PARP and potentiate DNA-damaging agents by blocking BER and DNA restoration</w:t>
            </w:r>
          </w:p>
        </w:tc>
        <w:tc>
          <w:tcPr>
            <w:tcW w:w="2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doi:10.1016/j.clinre.2020.09.014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doi:10.1007/s00280-015-2852-2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Vorinostat</w:t>
            </w:r>
          </w:p>
        </w:tc>
        <w:tc>
          <w:tcPr>
            <w:tcW w:w="1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Histone Deacetylase inhibition</w:t>
            </w:r>
          </w:p>
        </w:tc>
        <w:tc>
          <w:tcPr>
            <w:tcW w:w="2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doi:10.3892/ijo.2014.2423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doi:10.1002/cam4.1278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Camptothecin</w:t>
            </w:r>
          </w:p>
        </w:tc>
        <w:tc>
          <w:tcPr>
            <w:tcW w:w="1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inhibit topoisomerase I in tumor cells</w:t>
            </w:r>
          </w:p>
        </w:tc>
        <w:tc>
          <w:tcPr>
            <w:tcW w:w="2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doi:10.3389/fonc.2021.661157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Shikonin</w:t>
            </w:r>
          </w:p>
        </w:tc>
        <w:tc>
          <w:tcPr>
            <w:tcW w:w="1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induces signaling pathways that regulate oxidative stress responses, mitochondrial function, and cytoskeleton formation</w:t>
            </w:r>
          </w:p>
        </w:tc>
        <w:tc>
          <w:tcPr>
            <w:tcW w:w="2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doi:10.2147/JHC.S237614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doi:10.1016/j.lfs.2020.118796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doi.org/10.1016/j.canlet.2019.04.033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Epothilone.B</w:t>
            </w:r>
          </w:p>
        </w:tc>
        <w:tc>
          <w:tcPr>
            <w:tcW w:w="1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inhibit the depolymerization of tubulin, form stable microtubules and the division of cancer cells</w:t>
            </w:r>
          </w:p>
        </w:tc>
        <w:tc>
          <w:tcPr>
            <w:tcW w:w="2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doi:10.1016/j.ejmech.2018.08.055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doi:10.1159/000106450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Gemcitabine</w:t>
            </w:r>
          </w:p>
        </w:tc>
        <w:tc>
          <w:tcPr>
            <w:tcW w:w="1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inhibits DNA synthesis through interfering with DNA chain elongation and depleting deoxynucleotide stores</w:t>
            </w:r>
          </w:p>
        </w:tc>
        <w:tc>
          <w:tcPr>
            <w:tcW w:w="2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doi:10.3390/pharmaceutics12100985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doi:10.1002/cam4.1138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doi:10.3389/fonc.2017.00035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GDC.0449</w:t>
            </w:r>
          </w:p>
        </w:tc>
        <w:tc>
          <w:tcPr>
            <w:tcW w:w="1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hedgehog (Hh) signaling pathway antagonist</w:t>
            </w:r>
          </w:p>
        </w:tc>
        <w:tc>
          <w:tcPr>
            <w:tcW w:w="2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doi:10.1371/journal.pone.0023943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doi:10.1177/2050640613496605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doi:10.1016/j.amjsurg.2015.03.001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Vinblastine</w:t>
            </w:r>
          </w:p>
        </w:tc>
        <w:tc>
          <w:tcPr>
            <w:tcW w:w="1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microtubule-destabilizing agent</w:t>
            </w:r>
          </w:p>
        </w:tc>
        <w:tc>
          <w:tcPr>
            <w:tcW w:w="2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doi:10.14670/HH-22.285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doi:10.1016/j.bcp.2012.01.013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Methotrexate</w:t>
            </w:r>
          </w:p>
        </w:tc>
        <w:tc>
          <w:tcPr>
            <w:tcW w:w="1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cytotoxic agent</w:t>
            </w:r>
          </w:p>
        </w:tc>
        <w:tc>
          <w:tcPr>
            <w:tcW w:w="2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doi:10.1080/01635581.2019.1614199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ATRA</w:t>
            </w:r>
          </w:p>
        </w:tc>
        <w:tc>
          <w:tcPr>
            <w:tcW w:w="1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induce differentiation of several types of tumor cells</w:t>
            </w:r>
          </w:p>
        </w:tc>
        <w:tc>
          <w:tcPr>
            <w:tcW w:w="2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doi:10.1186/s13063-019-3349-9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AZD.2281 (Olaparib)</w:t>
            </w:r>
          </w:p>
        </w:tc>
        <w:tc>
          <w:tcPr>
            <w:tcW w:w="1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PARP inhibitor</w:t>
            </w:r>
          </w:p>
        </w:tc>
        <w:tc>
          <w:tcPr>
            <w:tcW w:w="2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doi:10.1073/pnas.2002917117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doi:10.1096/fj.201903045RR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doi:10.1186/s12943-021-01315-9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BI.2536</w:t>
            </w:r>
          </w:p>
        </w:tc>
        <w:tc>
          <w:tcPr>
            <w:tcW w:w="1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PLK inhibitor</w:t>
            </w:r>
          </w:p>
        </w:tc>
        <w:tc>
          <w:tcPr>
            <w:tcW w:w="2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doi:10.2174/1871520616666160926111911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MS.275</w:t>
            </w:r>
          </w:p>
        </w:tc>
        <w:tc>
          <w:tcPr>
            <w:tcW w:w="1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histone deacetylase (HDAC) inhibitor</w:t>
            </w:r>
          </w:p>
        </w:tc>
        <w:tc>
          <w:tcPr>
            <w:tcW w:w="2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doi:10.3892/mmr.2012.858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Bleomycin</w:t>
            </w:r>
          </w:p>
        </w:tc>
        <w:tc>
          <w:tcPr>
            <w:tcW w:w="1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lead to extended cell cycle arrest, apoptosis, and mitotic cell death</w:t>
            </w:r>
          </w:p>
        </w:tc>
        <w:tc>
          <w:tcPr>
            <w:tcW w:w="2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doi:10.3760/cma.j.issn.0376-2491.2018.39.008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doi:10.3390/ijms19051372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IPA.3</w:t>
            </w:r>
          </w:p>
        </w:tc>
        <w:tc>
          <w:tcPr>
            <w:tcW w:w="1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enhancement of apoptosis and blockage of activation of NF-κB</w:t>
            </w:r>
          </w:p>
        </w:tc>
        <w:tc>
          <w:tcPr>
            <w:tcW w:w="2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doi:10.1371/journal.pone.0068843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Mitomycin.C</w:t>
            </w:r>
          </w:p>
        </w:tc>
        <w:tc>
          <w:tcPr>
            <w:tcW w:w="1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primarily alkylation and subsequent crosslinking of DNA strands, which results in cell death</w:t>
            </w:r>
          </w:p>
        </w:tc>
        <w:tc>
          <w:tcPr>
            <w:tcW w:w="2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doi:10.21037/jgo.2019.01.07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doi:10.21037/jgo.2019.01.01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Vinorelbine</w:t>
            </w:r>
          </w:p>
        </w:tc>
        <w:tc>
          <w:tcPr>
            <w:tcW w:w="1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inhibition of microtubule dynamics leading to a mitotic arrest and cell death</w:t>
            </w:r>
          </w:p>
        </w:tc>
        <w:tc>
          <w:tcPr>
            <w:tcW w:w="2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doi:10.3390/cancers12040872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doi:10.1038/s12276-020-00524-4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Nilotinib</w:t>
            </w:r>
          </w:p>
        </w:tc>
        <w:tc>
          <w:tcPr>
            <w:tcW w:w="1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tyrosine kinase inhibitors (TKIs)</w:t>
            </w:r>
          </w:p>
        </w:tc>
        <w:tc>
          <w:tcPr>
            <w:tcW w:w="2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doi:10.1074/jbc.M112.446385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22" w:type="pct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AZD8055</w:t>
            </w:r>
          </w:p>
        </w:tc>
        <w:tc>
          <w:tcPr>
            <w:tcW w:w="1711" w:type="pct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MTOR inhibitor</w:t>
            </w:r>
          </w:p>
        </w:tc>
        <w:tc>
          <w:tcPr>
            <w:tcW w:w="2166" w:type="pct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doi:10.12659/MSM.907514</w:t>
            </w:r>
          </w:p>
        </w:tc>
      </w:tr>
    </w:tbl>
    <w:p>
      <w:pPr>
        <w:rPr>
          <w:rFonts w:hint="eastAsia" w:ascii="Arial" w:hAnsi="Arial" w:cs="Arial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37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2021-10-16T10:15:35Z</dcterms:created>
  <dc:creator>15938</dc:creator>
  <cp:lastModifiedBy>Qian Yeben</cp:lastModifiedBy>
  <dcterms:modified xsi:type="dcterms:W3CDTF">2021-10-16T10:15:51Z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