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1E058" w14:textId="77777777" w:rsidR="006C0E2D" w:rsidRDefault="00DF0243">
      <w:pPr>
        <w:pStyle w:val="SupplementaryMaterial"/>
        <w:rPr>
          <w:lang w:eastAsia="zh-CN"/>
        </w:rPr>
      </w:pPr>
      <w:r>
        <w:t>Supplementary Material</w:t>
      </w:r>
    </w:p>
    <w:p w14:paraId="188867F1" w14:textId="77777777" w:rsidR="006C0E2D" w:rsidRDefault="00DF0243">
      <w:pPr>
        <w:pStyle w:val="1"/>
        <w:rPr>
          <w:rFonts w:eastAsiaTheme="minorEastAsia"/>
          <w:bCs/>
          <w:lang w:eastAsia="zh-CN"/>
        </w:rPr>
      </w:pPr>
      <w:r>
        <w:t>Supplementary</w:t>
      </w:r>
      <w:r>
        <w:rPr>
          <w:bCs/>
        </w:rPr>
        <w:t xml:space="preserve"> Fig</w:t>
      </w:r>
      <w:r>
        <w:rPr>
          <w:rFonts w:hint="eastAsia"/>
          <w:bCs/>
          <w:lang w:eastAsia="zh-CN"/>
        </w:rPr>
        <w:t>ure</w:t>
      </w:r>
      <w:r>
        <w:rPr>
          <w:rFonts w:eastAsiaTheme="minorEastAsia" w:hint="eastAsia"/>
          <w:bCs/>
          <w:lang w:eastAsia="zh-CN"/>
        </w:rPr>
        <w:t>s</w:t>
      </w:r>
    </w:p>
    <w:p w14:paraId="29828808" w14:textId="77777777" w:rsidR="004D3907" w:rsidRPr="00995DCE" w:rsidRDefault="004D3907" w:rsidP="004D3907">
      <w:pPr>
        <w:jc w:val="both"/>
        <w:rPr>
          <w:b/>
          <w:szCs w:val="24"/>
        </w:rPr>
      </w:pPr>
      <w:r w:rsidRPr="00C22AE0">
        <w:rPr>
          <w:b/>
          <w:szCs w:val="24"/>
        </w:rPr>
        <w:t xml:space="preserve">Supplementary Figure S1. </w:t>
      </w:r>
      <w:r w:rsidRPr="000157C6">
        <w:rPr>
          <w:rFonts w:eastAsia="宋体"/>
        </w:rPr>
        <w:t xml:space="preserve">Phylogenetic relationships, gene structures, domain organizations, and motif compositions of </w:t>
      </w:r>
      <w:r w:rsidRPr="000157C6">
        <w:rPr>
          <w:rFonts w:eastAsia="宋体"/>
          <w:i/>
        </w:rPr>
        <w:t>SPL</w:t>
      </w:r>
      <w:r w:rsidRPr="000157C6">
        <w:rPr>
          <w:rFonts w:eastAsia="宋体"/>
        </w:rPr>
        <w:t xml:space="preserve"> genes in </w:t>
      </w:r>
      <w:r w:rsidRPr="000157C6">
        <w:rPr>
          <w:rFonts w:eastAsia="宋体"/>
          <w:i/>
        </w:rPr>
        <w:t>Ipomoea</w:t>
      </w:r>
      <w:r w:rsidRPr="000157C6">
        <w:rPr>
          <w:rFonts w:eastAsia="宋体"/>
        </w:rPr>
        <w:t xml:space="preserve"> </w:t>
      </w:r>
      <w:r w:rsidRPr="000157C6">
        <w:t>species</w:t>
      </w:r>
    </w:p>
    <w:p w14:paraId="581FB9B2" w14:textId="53DE9416" w:rsidR="005736E7" w:rsidRPr="00426BD9" w:rsidRDefault="00B42A92" w:rsidP="00C22AE0">
      <w:pPr>
        <w:jc w:val="both"/>
        <w:rPr>
          <w:rFonts w:eastAsia="宋体"/>
        </w:rPr>
      </w:pPr>
      <w:r w:rsidRPr="001A3F53">
        <w:rPr>
          <w:rFonts w:eastAsia="宋体"/>
        </w:rPr>
        <w:t xml:space="preserve">(a) </w:t>
      </w:r>
      <w:r>
        <w:rPr>
          <w:rFonts w:eastAsia="宋体"/>
        </w:rPr>
        <w:t>The p</w:t>
      </w:r>
      <w:r w:rsidRPr="001A3F53">
        <w:rPr>
          <w:rFonts w:eastAsia="宋体"/>
        </w:rPr>
        <w:t xml:space="preserve">hylogenetic tree of 105 </w:t>
      </w:r>
      <w:r w:rsidRPr="001A3F53">
        <w:rPr>
          <w:rFonts w:eastAsia="宋体"/>
          <w:i/>
        </w:rPr>
        <w:t>Ipomoea</w:t>
      </w:r>
      <w:r w:rsidRPr="001A3F53">
        <w:rPr>
          <w:rFonts w:eastAsia="宋体"/>
        </w:rPr>
        <w:t xml:space="preserve"> S</w:t>
      </w:r>
      <w:r w:rsidRPr="001A3F53">
        <w:rPr>
          <w:rFonts w:eastAsia="宋体"/>
          <w:szCs w:val="21"/>
        </w:rPr>
        <w:t xml:space="preserve">PL proteins. </w:t>
      </w:r>
      <w:r w:rsidRPr="001A3F53">
        <w:rPr>
          <w:rFonts w:eastAsia="宋体" w:hint="eastAsia"/>
          <w:szCs w:val="21"/>
        </w:rPr>
        <w:t>(</w:t>
      </w:r>
      <w:r w:rsidRPr="001A3F53">
        <w:rPr>
          <w:rFonts w:eastAsia="宋体"/>
          <w:szCs w:val="21"/>
        </w:rPr>
        <w:t xml:space="preserve">b) </w:t>
      </w:r>
      <w:r>
        <w:rPr>
          <w:rFonts w:eastAsia="宋体"/>
          <w:szCs w:val="21"/>
        </w:rPr>
        <w:t>The i</w:t>
      </w:r>
      <w:r w:rsidRPr="001A3F53">
        <w:rPr>
          <w:rFonts w:eastAsia="宋体"/>
          <w:szCs w:val="21"/>
        </w:rPr>
        <w:t xml:space="preserve">ntron-exon structures of </w:t>
      </w:r>
      <w:r w:rsidRPr="001A3F53">
        <w:rPr>
          <w:rFonts w:eastAsia="宋体"/>
          <w:i/>
          <w:szCs w:val="21"/>
        </w:rPr>
        <w:t>Ipomoea</w:t>
      </w:r>
      <w:r w:rsidRPr="001A3F53">
        <w:rPr>
          <w:rFonts w:eastAsia="宋体"/>
          <w:szCs w:val="21"/>
        </w:rPr>
        <w:t xml:space="preserve"> </w:t>
      </w:r>
      <w:r w:rsidRPr="001A3F53">
        <w:rPr>
          <w:rFonts w:eastAsia="宋体"/>
          <w:i/>
          <w:szCs w:val="21"/>
        </w:rPr>
        <w:t>SPL</w:t>
      </w:r>
      <w:r w:rsidRPr="001A3F53">
        <w:rPr>
          <w:rFonts w:eastAsia="宋体"/>
          <w:szCs w:val="21"/>
        </w:rPr>
        <w:t xml:space="preserve"> genes</w:t>
      </w:r>
      <w:r>
        <w:rPr>
          <w:rFonts w:eastAsia="宋体"/>
          <w:szCs w:val="21"/>
        </w:rPr>
        <w:t>,</w:t>
      </w:r>
      <w:r w:rsidRPr="001A3F53">
        <w:rPr>
          <w:rFonts w:eastAsia="宋体"/>
          <w:szCs w:val="21"/>
        </w:rPr>
        <w:t xml:space="preserve"> </w:t>
      </w:r>
      <w:r>
        <w:rPr>
          <w:rFonts w:eastAsia="宋体"/>
          <w:szCs w:val="21"/>
        </w:rPr>
        <w:t xml:space="preserve">wherein the red </w:t>
      </w:r>
      <w:r w:rsidRPr="001A3F53">
        <w:rPr>
          <w:rFonts w:eastAsia="宋体"/>
          <w:szCs w:val="21"/>
        </w:rPr>
        <w:t xml:space="preserve">box indicates coding sequence and </w:t>
      </w:r>
      <w:r>
        <w:rPr>
          <w:rFonts w:eastAsia="宋体"/>
          <w:szCs w:val="21"/>
        </w:rPr>
        <w:t xml:space="preserve">the </w:t>
      </w:r>
      <w:r w:rsidRPr="001A3F53">
        <w:rPr>
          <w:rFonts w:eastAsia="宋体"/>
          <w:szCs w:val="21"/>
        </w:rPr>
        <w:t xml:space="preserve">black line represents intron. (c) </w:t>
      </w:r>
      <w:r>
        <w:rPr>
          <w:rFonts w:eastAsia="宋体"/>
          <w:szCs w:val="21"/>
        </w:rPr>
        <w:t>The d</w:t>
      </w:r>
      <w:r w:rsidRPr="001A3F53">
        <w:rPr>
          <w:rFonts w:eastAsia="宋体"/>
          <w:szCs w:val="21"/>
        </w:rPr>
        <w:t xml:space="preserve">omain organization of </w:t>
      </w:r>
      <w:r w:rsidRPr="001A3F53">
        <w:rPr>
          <w:rFonts w:eastAsia="宋体"/>
          <w:i/>
          <w:szCs w:val="21"/>
        </w:rPr>
        <w:t>Ipomoea</w:t>
      </w:r>
      <w:r w:rsidRPr="001A3F53">
        <w:rPr>
          <w:rFonts w:eastAsia="宋体"/>
          <w:szCs w:val="21"/>
        </w:rPr>
        <w:t xml:space="preserve"> SPL proteins</w:t>
      </w:r>
      <w:r w:rsidRPr="001A3F53">
        <w:rPr>
          <w:rFonts w:eastAsia="宋体" w:hint="eastAsia"/>
          <w:szCs w:val="21"/>
        </w:rPr>
        <w:t>.</w:t>
      </w:r>
      <w:r w:rsidRPr="001A3F53">
        <w:rPr>
          <w:rFonts w:eastAsia="宋体"/>
          <w:szCs w:val="21"/>
        </w:rPr>
        <w:t xml:space="preserve"> SBP domain, ANK repeat and </w:t>
      </w:r>
      <w:proofErr w:type="spellStart"/>
      <w:r w:rsidRPr="001A3F53">
        <w:rPr>
          <w:rFonts w:eastAsia="宋体"/>
          <w:szCs w:val="21"/>
        </w:rPr>
        <w:t>DEXDc</w:t>
      </w:r>
      <w:proofErr w:type="spellEnd"/>
      <w:r w:rsidRPr="001A3F53">
        <w:rPr>
          <w:rFonts w:eastAsia="宋体"/>
          <w:szCs w:val="21"/>
        </w:rPr>
        <w:t xml:space="preserve"> domain </w:t>
      </w:r>
      <w:r w:rsidRPr="001A3F53">
        <w:rPr>
          <w:rFonts w:cs="Times New Roman"/>
          <w:szCs w:val="21"/>
        </w:rPr>
        <w:t xml:space="preserve">are </w:t>
      </w:r>
      <w:r>
        <w:rPr>
          <w:rFonts w:cs="Times New Roman"/>
          <w:szCs w:val="21"/>
        </w:rPr>
        <w:t xml:space="preserve">represented by </w:t>
      </w:r>
      <w:r w:rsidRPr="001A3F53">
        <w:rPr>
          <w:rFonts w:cs="Times New Roman"/>
          <w:szCs w:val="21"/>
        </w:rPr>
        <w:t xml:space="preserve">blue, purple, and orange boxes, respectively. </w:t>
      </w:r>
      <w:r w:rsidRPr="001A3F53">
        <w:rPr>
          <w:rFonts w:eastAsia="宋体"/>
          <w:szCs w:val="21"/>
        </w:rPr>
        <w:t xml:space="preserve">(d) </w:t>
      </w:r>
      <w:r>
        <w:rPr>
          <w:rFonts w:eastAsia="宋体"/>
          <w:szCs w:val="21"/>
        </w:rPr>
        <w:t>The m</w:t>
      </w:r>
      <w:r w:rsidRPr="001A3F53">
        <w:rPr>
          <w:rFonts w:eastAsia="宋体"/>
          <w:szCs w:val="21"/>
        </w:rPr>
        <w:t xml:space="preserve">otif compositions of </w:t>
      </w:r>
      <w:r w:rsidRPr="001A3F53">
        <w:rPr>
          <w:rFonts w:eastAsia="宋体"/>
          <w:i/>
          <w:szCs w:val="21"/>
        </w:rPr>
        <w:t>Ipomoea</w:t>
      </w:r>
      <w:r w:rsidRPr="001A3F53">
        <w:rPr>
          <w:rFonts w:eastAsia="宋体"/>
          <w:szCs w:val="21"/>
        </w:rPr>
        <w:t xml:space="preserve"> SPL proteins. The ten motifs are </w:t>
      </w:r>
      <w:r>
        <w:rPr>
          <w:rFonts w:eastAsia="宋体"/>
          <w:szCs w:val="21"/>
        </w:rPr>
        <w:t xml:space="preserve">indicated by </w:t>
      </w:r>
      <w:r w:rsidRPr="001A3F53">
        <w:rPr>
          <w:rFonts w:eastAsia="宋体"/>
          <w:szCs w:val="21"/>
        </w:rPr>
        <w:t xml:space="preserve">different colored boxes. The length of </w:t>
      </w:r>
      <w:r>
        <w:rPr>
          <w:rFonts w:eastAsia="宋体"/>
          <w:szCs w:val="21"/>
        </w:rPr>
        <w:t xml:space="preserve">a </w:t>
      </w:r>
      <w:r w:rsidRPr="001A3F53">
        <w:rPr>
          <w:rFonts w:eastAsia="宋体"/>
          <w:szCs w:val="21"/>
        </w:rPr>
        <w:t>gene or pro</w:t>
      </w:r>
      <w:r w:rsidRPr="001A3F53">
        <w:rPr>
          <w:rFonts w:eastAsia="宋体"/>
        </w:rPr>
        <w:t>tein can be estimated using the scale at the bottom.</w:t>
      </w:r>
    </w:p>
    <w:p w14:paraId="133497C9" w14:textId="52117D61" w:rsidR="00C22AE0" w:rsidRPr="00C22AE0" w:rsidRDefault="00C22AE0" w:rsidP="00C22AE0">
      <w:pPr>
        <w:jc w:val="both"/>
        <w:rPr>
          <w:b/>
          <w:szCs w:val="24"/>
        </w:rPr>
      </w:pPr>
      <w:r w:rsidRPr="00C22AE0">
        <w:rPr>
          <w:b/>
          <w:szCs w:val="24"/>
        </w:rPr>
        <w:t>Supplementary Figure S</w:t>
      </w:r>
      <w:r w:rsidR="00687439">
        <w:rPr>
          <w:b/>
          <w:szCs w:val="24"/>
        </w:rPr>
        <w:t>2</w:t>
      </w:r>
      <w:r w:rsidRPr="00C22AE0">
        <w:rPr>
          <w:b/>
          <w:szCs w:val="24"/>
        </w:rPr>
        <w:t xml:space="preserve">. </w:t>
      </w:r>
      <w:r w:rsidRPr="00873072">
        <w:rPr>
          <w:bCs/>
          <w:szCs w:val="24"/>
        </w:rPr>
        <w:t xml:space="preserve">Conserved SBP domain and motifs in </w:t>
      </w:r>
      <w:r w:rsidRPr="00F36450">
        <w:rPr>
          <w:bCs/>
          <w:i/>
          <w:szCs w:val="24"/>
        </w:rPr>
        <w:t>Ipomoea</w:t>
      </w:r>
      <w:r w:rsidRPr="00873072">
        <w:rPr>
          <w:bCs/>
          <w:szCs w:val="24"/>
        </w:rPr>
        <w:t xml:space="preserve"> SPL proteins</w:t>
      </w:r>
    </w:p>
    <w:p w14:paraId="4408361B" w14:textId="649A1E93" w:rsidR="006C0E2D" w:rsidRDefault="00C22AE0" w:rsidP="00C22AE0">
      <w:r w:rsidRPr="00C22AE0">
        <w:t>(a) Sequence logo of the conserved motifs in SBP domain. The motifs were identified by the MEME software. The height of each stack indicates the degree of conservation at each position, and the height of the letters within each stack represents the relative frequency of the corresponding amino acid. (b) Multiple alignment of the conserved SBP domain. The two non-interleaved zinc finger-like structures (Zn-1/2) and one nuclear localization signal (NLS) were indicated on the top. Multiple sequence alignment of the SBP domain were shown on the below.</w:t>
      </w:r>
    </w:p>
    <w:p w14:paraId="3D3A656A" w14:textId="230BF22B" w:rsidR="00C46C03" w:rsidRPr="0085448C" w:rsidRDefault="00C46C03" w:rsidP="00C46C03">
      <w:pPr>
        <w:rPr>
          <w:rFonts w:eastAsia="宋体" w:cs="Times New Roman"/>
          <w:b/>
        </w:rPr>
      </w:pPr>
      <w:r w:rsidRPr="0085448C">
        <w:rPr>
          <w:rFonts w:eastAsia="宋体" w:cs="Times New Roman"/>
          <w:b/>
        </w:rPr>
        <w:t>Supplementary Figure S</w:t>
      </w:r>
      <w:r w:rsidR="00687439">
        <w:rPr>
          <w:rFonts w:eastAsia="宋体" w:cs="Times New Roman"/>
          <w:b/>
        </w:rPr>
        <w:t>3</w:t>
      </w:r>
      <w:r w:rsidRPr="0085448C">
        <w:rPr>
          <w:rFonts w:eastAsia="宋体" w:cs="Times New Roman"/>
          <w:b/>
        </w:rPr>
        <w:t xml:space="preserve">. </w:t>
      </w:r>
      <w:r w:rsidRPr="00C46C03">
        <w:rPr>
          <w:rFonts w:eastAsia="宋体" w:cs="Times New Roman"/>
          <w:bCs/>
        </w:rPr>
        <w:t xml:space="preserve">Conserved </w:t>
      </w:r>
      <w:proofErr w:type="spellStart"/>
      <w:r w:rsidRPr="00C46C03">
        <w:rPr>
          <w:rFonts w:eastAsia="宋体" w:cs="Times New Roman"/>
          <w:bCs/>
        </w:rPr>
        <w:t>DEXDc</w:t>
      </w:r>
      <w:proofErr w:type="spellEnd"/>
      <w:r w:rsidRPr="00C46C03">
        <w:rPr>
          <w:rFonts w:eastAsia="宋体" w:cs="Times New Roman"/>
          <w:bCs/>
        </w:rPr>
        <w:t xml:space="preserve"> domain and motifs in </w:t>
      </w:r>
      <w:r w:rsidRPr="00C46C03">
        <w:rPr>
          <w:rFonts w:eastAsia="宋体" w:cs="Times New Roman"/>
          <w:bCs/>
          <w:i/>
        </w:rPr>
        <w:t>Ipomoea</w:t>
      </w:r>
      <w:r w:rsidRPr="00C46C03">
        <w:rPr>
          <w:rFonts w:eastAsia="宋体" w:cs="Times New Roman"/>
          <w:bCs/>
        </w:rPr>
        <w:t xml:space="preserve"> SPL proteins</w:t>
      </w:r>
    </w:p>
    <w:p w14:paraId="04515C31" w14:textId="77777777" w:rsidR="00C46C03" w:rsidRPr="00AB7BF8" w:rsidRDefault="00C46C03" w:rsidP="00C46C03">
      <w:pPr>
        <w:rPr>
          <w:rFonts w:cs="Times New Roman"/>
          <w:sz w:val="22"/>
        </w:rPr>
      </w:pPr>
      <w:r w:rsidRPr="00AB7BF8">
        <w:rPr>
          <w:rFonts w:eastAsia="宋体" w:cs="Times New Roman" w:hint="eastAsia"/>
          <w:sz w:val="22"/>
        </w:rPr>
        <w:t>(</w:t>
      </w:r>
      <w:r w:rsidRPr="00AB7BF8">
        <w:rPr>
          <w:rFonts w:eastAsia="宋体" w:cs="Times New Roman"/>
          <w:sz w:val="22"/>
        </w:rPr>
        <w:t xml:space="preserve">a) Sequence logo of the conserved motifs in </w:t>
      </w:r>
      <w:proofErr w:type="spellStart"/>
      <w:r w:rsidRPr="00AB7BF8">
        <w:rPr>
          <w:rFonts w:eastAsia="宋体" w:cs="Times New Roman"/>
          <w:sz w:val="22"/>
        </w:rPr>
        <w:t>DEXDc</w:t>
      </w:r>
      <w:proofErr w:type="spellEnd"/>
      <w:r w:rsidRPr="00AB7BF8">
        <w:rPr>
          <w:rFonts w:eastAsia="宋体" w:cs="Times New Roman"/>
          <w:sz w:val="22"/>
        </w:rPr>
        <w:t xml:space="preserve"> domain. The motifs were identified by the MEME software. The height of each stack indicates the degree of conservation at each position, and the height of the letters within each stack </w:t>
      </w:r>
      <w:r w:rsidRPr="00AB7BF8">
        <w:rPr>
          <w:rFonts w:cs="Times New Roman"/>
          <w:sz w:val="22"/>
        </w:rPr>
        <w:t xml:space="preserve">represents </w:t>
      </w:r>
      <w:r w:rsidRPr="00AB7BF8">
        <w:rPr>
          <w:rFonts w:eastAsia="宋体" w:cs="Times New Roman"/>
          <w:sz w:val="22"/>
        </w:rPr>
        <w:t xml:space="preserve">the relative frequency of the corresponding amino acid. (b) </w:t>
      </w:r>
      <w:r w:rsidRPr="00AB7BF8">
        <w:rPr>
          <w:rFonts w:cs="Times New Roman"/>
          <w:sz w:val="22"/>
        </w:rPr>
        <w:t xml:space="preserve">Multiple alignment of the conserved </w:t>
      </w:r>
      <w:proofErr w:type="spellStart"/>
      <w:r w:rsidRPr="00AB7BF8">
        <w:rPr>
          <w:rFonts w:eastAsia="宋体" w:cs="Times New Roman"/>
          <w:sz w:val="22"/>
        </w:rPr>
        <w:t>DEXDc</w:t>
      </w:r>
      <w:proofErr w:type="spellEnd"/>
      <w:r w:rsidRPr="00AB7BF8">
        <w:rPr>
          <w:rFonts w:eastAsia="宋体" w:cs="Times New Roman"/>
          <w:sz w:val="22"/>
        </w:rPr>
        <w:t xml:space="preserve"> </w:t>
      </w:r>
      <w:r w:rsidRPr="00AB7BF8">
        <w:rPr>
          <w:rFonts w:cs="Times New Roman"/>
          <w:sz w:val="22"/>
        </w:rPr>
        <w:t>domain.</w:t>
      </w:r>
    </w:p>
    <w:p w14:paraId="3FFA6A62" w14:textId="30E0B1F7" w:rsidR="00356FD2" w:rsidRPr="0085448C" w:rsidRDefault="00356FD2" w:rsidP="00356FD2">
      <w:pPr>
        <w:rPr>
          <w:rFonts w:eastAsia="宋体" w:cs="Times New Roman"/>
          <w:b/>
        </w:rPr>
      </w:pPr>
      <w:r w:rsidRPr="0085448C">
        <w:rPr>
          <w:rFonts w:eastAsia="宋体" w:cs="Times New Roman"/>
          <w:b/>
        </w:rPr>
        <w:t>Supplementary Figure S</w:t>
      </w:r>
      <w:r w:rsidR="00687439">
        <w:rPr>
          <w:rFonts w:eastAsia="宋体" w:cs="Times New Roman"/>
          <w:b/>
        </w:rPr>
        <w:t>4</w:t>
      </w:r>
      <w:r w:rsidRPr="0085448C">
        <w:rPr>
          <w:rFonts w:eastAsia="宋体" w:cs="Times New Roman"/>
          <w:b/>
        </w:rPr>
        <w:t xml:space="preserve">. </w:t>
      </w:r>
      <w:r w:rsidRPr="00356FD2">
        <w:rPr>
          <w:rFonts w:eastAsia="宋体" w:cs="Times New Roman"/>
          <w:bCs/>
        </w:rPr>
        <w:t xml:space="preserve">Conserved ANK </w:t>
      </w:r>
      <w:r w:rsidRPr="00356FD2">
        <w:rPr>
          <w:rFonts w:eastAsia="宋体" w:cs="Times New Roman" w:hint="eastAsia"/>
          <w:bCs/>
        </w:rPr>
        <w:t>repeats</w:t>
      </w:r>
      <w:r w:rsidRPr="00356FD2">
        <w:rPr>
          <w:rFonts w:eastAsia="宋体" w:cs="Times New Roman"/>
          <w:bCs/>
        </w:rPr>
        <w:t xml:space="preserve"> and motifs in </w:t>
      </w:r>
      <w:r w:rsidRPr="00356FD2">
        <w:rPr>
          <w:rFonts w:eastAsia="宋体" w:cs="Times New Roman"/>
          <w:bCs/>
          <w:i/>
        </w:rPr>
        <w:t>Ipomoea</w:t>
      </w:r>
      <w:r w:rsidRPr="00356FD2">
        <w:rPr>
          <w:rFonts w:eastAsia="宋体" w:cs="Times New Roman"/>
          <w:bCs/>
        </w:rPr>
        <w:t xml:space="preserve"> SPL proteins</w:t>
      </w:r>
    </w:p>
    <w:p w14:paraId="04D00227" w14:textId="77777777" w:rsidR="00356FD2" w:rsidRPr="00AB7BF8" w:rsidRDefault="00356FD2" w:rsidP="00356FD2">
      <w:pPr>
        <w:rPr>
          <w:rFonts w:cs="Times New Roman"/>
          <w:sz w:val="22"/>
        </w:rPr>
      </w:pPr>
      <w:r w:rsidRPr="00AB7BF8">
        <w:rPr>
          <w:rFonts w:eastAsia="宋体" w:cs="Times New Roman" w:hint="eastAsia"/>
          <w:sz w:val="22"/>
        </w:rPr>
        <w:t>(</w:t>
      </w:r>
      <w:r w:rsidRPr="00AB7BF8">
        <w:rPr>
          <w:rFonts w:eastAsia="宋体" w:cs="Times New Roman"/>
          <w:sz w:val="22"/>
        </w:rPr>
        <w:t xml:space="preserve">a) Sequence logo of the conserved motifs in ANK </w:t>
      </w:r>
      <w:r w:rsidRPr="00AB7BF8">
        <w:rPr>
          <w:rFonts w:eastAsia="宋体" w:cs="Times New Roman" w:hint="eastAsia"/>
          <w:sz w:val="22"/>
        </w:rPr>
        <w:t>repeats</w:t>
      </w:r>
      <w:r w:rsidRPr="00AB7BF8">
        <w:rPr>
          <w:rFonts w:eastAsia="宋体" w:cs="Times New Roman"/>
          <w:sz w:val="22"/>
        </w:rPr>
        <w:t xml:space="preserve">. The motifs were identified by the MEME software. The height of each stack indicates the degree of conservation at each position, and the height of the letters within each stack </w:t>
      </w:r>
      <w:r w:rsidRPr="00AB7BF8">
        <w:rPr>
          <w:rFonts w:cs="Times New Roman"/>
          <w:sz w:val="22"/>
        </w:rPr>
        <w:t xml:space="preserve">represents </w:t>
      </w:r>
      <w:r w:rsidRPr="00AB7BF8">
        <w:rPr>
          <w:rFonts w:eastAsia="宋体" w:cs="Times New Roman"/>
          <w:sz w:val="22"/>
        </w:rPr>
        <w:t xml:space="preserve">the relative frequency of the corresponding amino acid. (b) </w:t>
      </w:r>
      <w:r w:rsidRPr="00AB7BF8">
        <w:rPr>
          <w:rFonts w:cs="Times New Roman"/>
          <w:sz w:val="22"/>
        </w:rPr>
        <w:t xml:space="preserve">Multiple alignment of the conserved </w:t>
      </w:r>
      <w:r w:rsidRPr="00AB7BF8">
        <w:rPr>
          <w:rFonts w:eastAsia="宋体" w:cs="Times New Roman"/>
          <w:sz w:val="22"/>
        </w:rPr>
        <w:t xml:space="preserve">ANK </w:t>
      </w:r>
      <w:r w:rsidRPr="00AB7BF8">
        <w:rPr>
          <w:rFonts w:eastAsia="宋体" w:cs="Times New Roman" w:hint="eastAsia"/>
          <w:sz w:val="22"/>
        </w:rPr>
        <w:t>repeats</w:t>
      </w:r>
      <w:r w:rsidRPr="00AB7BF8">
        <w:rPr>
          <w:rFonts w:cs="Times New Roman"/>
          <w:sz w:val="22"/>
        </w:rPr>
        <w:t>.</w:t>
      </w:r>
    </w:p>
    <w:p w14:paraId="127247AA" w14:textId="3306AD28" w:rsidR="00CC63BD" w:rsidRPr="00687439" w:rsidRDefault="00CC63BD" w:rsidP="00CC63BD">
      <w:pPr>
        <w:rPr>
          <w:rFonts w:cs="Times New Roman"/>
          <w:b/>
          <w:szCs w:val="24"/>
        </w:rPr>
      </w:pPr>
      <w:r w:rsidRPr="00687439">
        <w:rPr>
          <w:rFonts w:eastAsia="宋体" w:cs="Times New Roman"/>
          <w:b/>
          <w:szCs w:val="24"/>
        </w:rPr>
        <w:t>Supplementary Figure S</w:t>
      </w:r>
      <w:r w:rsidR="00687439" w:rsidRPr="00687439">
        <w:rPr>
          <w:rFonts w:eastAsia="宋体" w:cs="Times New Roman"/>
          <w:b/>
          <w:szCs w:val="24"/>
        </w:rPr>
        <w:t>5</w:t>
      </w:r>
      <w:r w:rsidRPr="00687439">
        <w:rPr>
          <w:rFonts w:eastAsia="宋体" w:cs="Times New Roman"/>
          <w:b/>
          <w:szCs w:val="24"/>
        </w:rPr>
        <w:t xml:space="preserve">. </w:t>
      </w:r>
      <w:r w:rsidRPr="00687439">
        <w:rPr>
          <w:rFonts w:cs="Times New Roman"/>
          <w:bCs/>
          <w:szCs w:val="24"/>
        </w:rPr>
        <w:t>Sequence logo of the ten conserved motifs</w:t>
      </w:r>
    </w:p>
    <w:p w14:paraId="4533F9CF" w14:textId="77777777" w:rsidR="00CC63BD" w:rsidRPr="00AB7BF8" w:rsidRDefault="00CC63BD" w:rsidP="00CC63BD">
      <w:pPr>
        <w:rPr>
          <w:rFonts w:eastAsia="宋体" w:cs="Times New Roman"/>
          <w:sz w:val="22"/>
          <w:szCs w:val="24"/>
        </w:rPr>
      </w:pPr>
      <w:r w:rsidRPr="00AB7BF8">
        <w:rPr>
          <w:rFonts w:eastAsia="宋体" w:cs="Times New Roman"/>
          <w:sz w:val="22"/>
          <w:szCs w:val="24"/>
        </w:rPr>
        <w:t xml:space="preserve">The height of each stack indicates the degree of conservation at each position, and the height of the letters within each stack </w:t>
      </w:r>
      <w:r w:rsidRPr="00AB7BF8">
        <w:rPr>
          <w:rFonts w:cs="Times New Roman"/>
          <w:sz w:val="22"/>
          <w:szCs w:val="24"/>
        </w:rPr>
        <w:t xml:space="preserve">represents </w:t>
      </w:r>
      <w:r w:rsidRPr="00AB7BF8">
        <w:rPr>
          <w:rFonts w:eastAsia="宋体" w:cs="Times New Roman"/>
          <w:sz w:val="22"/>
          <w:szCs w:val="24"/>
        </w:rPr>
        <w:t>the relative frequency of the corresponding amino acid.</w:t>
      </w:r>
    </w:p>
    <w:p w14:paraId="6217840F" w14:textId="49E6EA21" w:rsidR="003E25AD" w:rsidRPr="00FA3DEB" w:rsidRDefault="003E25AD" w:rsidP="003E25AD">
      <w:pPr>
        <w:rPr>
          <w:rFonts w:eastAsia="宋体" w:cs="Times New Roman"/>
          <w:bCs/>
          <w:szCs w:val="24"/>
        </w:rPr>
      </w:pPr>
      <w:r w:rsidRPr="0085448C">
        <w:rPr>
          <w:rFonts w:eastAsia="宋体" w:cs="Times New Roman"/>
          <w:b/>
          <w:szCs w:val="24"/>
        </w:rPr>
        <w:t>Supplementary Figure S</w:t>
      </w:r>
      <w:r w:rsidR="00687439">
        <w:rPr>
          <w:rFonts w:eastAsia="宋体" w:cs="Times New Roman"/>
          <w:b/>
          <w:szCs w:val="24"/>
        </w:rPr>
        <w:t>6</w:t>
      </w:r>
      <w:r w:rsidRPr="0085448C">
        <w:rPr>
          <w:rFonts w:eastAsia="宋体" w:cs="Times New Roman"/>
          <w:b/>
          <w:szCs w:val="24"/>
        </w:rPr>
        <w:t>.</w:t>
      </w:r>
      <w:r>
        <w:rPr>
          <w:rFonts w:eastAsia="宋体" w:cs="Times New Roman"/>
          <w:b/>
          <w:szCs w:val="24"/>
        </w:rPr>
        <w:t xml:space="preserve"> </w:t>
      </w:r>
      <w:r w:rsidRPr="00FA3DEB">
        <w:rPr>
          <w:rFonts w:eastAsia="宋体" w:cs="Times New Roman"/>
          <w:bCs/>
          <w:szCs w:val="24"/>
        </w:rPr>
        <w:t xml:space="preserve">Syntenic relationships of </w:t>
      </w:r>
      <w:r w:rsidRPr="00FA3DEB">
        <w:rPr>
          <w:rFonts w:eastAsia="宋体" w:cs="Times New Roman"/>
          <w:bCs/>
          <w:i/>
          <w:szCs w:val="24"/>
        </w:rPr>
        <w:t>Ipomoea</w:t>
      </w:r>
      <w:r w:rsidRPr="00FA3DEB">
        <w:rPr>
          <w:rFonts w:eastAsia="宋体" w:cs="Times New Roman"/>
          <w:bCs/>
          <w:szCs w:val="24"/>
        </w:rPr>
        <w:t xml:space="preserve"> SPLs</w:t>
      </w:r>
    </w:p>
    <w:p w14:paraId="3B320D83" w14:textId="5DDF9A58" w:rsidR="003E25AD" w:rsidRDefault="003E25AD" w:rsidP="003E25AD">
      <w:pPr>
        <w:rPr>
          <w:rFonts w:eastAsia="宋体" w:cs="Times New Roman"/>
          <w:sz w:val="22"/>
          <w:szCs w:val="24"/>
        </w:rPr>
      </w:pPr>
      <w:r w:rsidRPr="00AB7BF8">
        <w:rPr>
          <w:rFonts w:eastAsia="宋体" w:cs="Times New Roman"/>
          <w:sz w:val="22"/>
          <w:szCs w:val="24"/>
        </w:rPr>
        <w:t xml:space="preserve">(a) The colinear relationship among </w:t>
      </w:r>
      <w:r w:rsidRPr="00AB7BF8">
        <w:rPr>
          <w:rFonts w:eastAsia="宋体" w:cs="Times New Roman"/>
          <w:i/>
          <w:sz w:val="22"/>
          <w:szCs w:val="24"/>
        </w:rPr>
        <w:t>SPL</w:t>
      </w:r>
      <w:r w:rsidRPr="00AB7BF8">
        <w:rPr>
          <w:rFonts w:eastAsia="宋体" w:cs="Times New Roman"/>
          <w:sz w:val="22"/>
          <w:szCs w:val="24"/>
        </w:rPr>
        <w:t xml:space="preserve"> genes in </w:t>
      </w:r>
      <w:r w:rsidRPr="00AB7BF8">
        <w:rPr>
          <w:rFonts w:eastAsia="宋体" w:cs="Times New Roman"/>
          <w:i/>
          <w:sz w:val="22"/>
          <w:szCs w:val="24"/>
        </w:rPr>
        <w:t xml:space="preserve">I. </w:t>
      </w:r>
      <w:proofErr w:type="spellStart"/>
      <w:r w:rsidRPr="00AB7BF8">
        <w:rPr>
          <w:rFonts w:eastAsia="宋体" w:cs="Times New Roman"/>
          <w:i/>
          <w:sz w:val="22"/>
          <w:szCs w:val="24"/>
        </w:rPr>
        <w:t>trifida</w:t>
      </w:r>
      <w:proofErr w:type="spellEnd"/>
      <w:r w:rsidRPr="00AB7BF8">
        <w:rPr>
          <w:rFonts w:eastAsia="宋体" w:cs="Times New Roman"/>
          <w:sz w:val="22"/>
          <w:szCs w:val="24"/>
        </w:rPr>
        <w:t xml:space="preserve">. (b) The colinear relationship among </w:t>
      </w:r>
      <w:r w:rsidRPr="00AB7BF8">
        <w:rPr>
          <w:rFonts w:eastAsia="宋体" w:cs="Times New Roman"/>
          <w:i/>
          <w:sz w:val="22"/>
          <w:szCs w:val="24"/>
        </w:rPr>
        <w:t>SPL</w:t>
      </w:r>
      <w:r w:rsidRPr="00AB7BF8">
        <w:rPr>
          <w:rFonts w:eastAsia="宋体" w:cs="Times New Roman"/>
          <w:sz w:val="22"/>
          <w:szCs w:val="24"/>
        </w:rPr>
        <w:t xml:space="preserve"> genes in </w:t>
      </w:r>
      <w:r w:rsidRPr="00AB7BF8">
        <w:rPr>
          <w:rFonts w:eastAsia="宋体" w:cs="Times New Roman"/>
          <w:i/>
          <w:sz w:val="22"/>
          <w:szCs w:val="24"/>
        </w:rPr>
        <w:t xml:space="preserve">I. </w:t>
      </w:r>
      <w:proofErr w:type="spellStart"/>
      <w:r w:rsidRPr="00AB7BF8">
        <w:rPr>
          <w:rFonts w:eastAsia="宋体" w:cs="Times New Roman"/>
          <w:i/>
          <w:sz w:val="22"/>
          <w:szCs w:val="24"/>
        </w:rPr>
        <w:t>triloba</w:t>
      </w:r>
      <w:proofErr w:type="spellEnd"/>
      <w:r w:rsidRPr="00AB7BF8">
        <w:rPr>
          <w:rFonts w:eastAsia="宋体" w:cs="Times New Roman"/>
          <w:sz w:val="22"/>
          <w:szCs w:val="24"/>
        </w:rPr>
        <w:t xml:space="preserve">. (c) The colinear relationship among </w:t>
      </w:r>
      <w:r w:rsidRPr="00AB7BF8">
        <w:rPr>
          <w:rFonts w:eastAsia="宋体" w:cs="Times New Roman"/>
          <w:i/>
          <w:sz w:val="22"/>
          <w:szCs w:val="24"/>
        </w:rPr>
        <w:t>SPL</w:t>
      </w:r>
      <w:r w:rsidRPr="00AB7BF8">
        <w:rPr>
          <w:rFonts w:eastAsia="宋体" w:cs="Times New Roman"/>
          <w:sz w:val="22"/>
          <w:szCs w:val="24"/>
        </w:rPr>
        <w:t xml:space="preserve"> genes in </w:t>
      </w:r>
      <w:r w:rsidRPr="00AB7BF8">
        <w:rPr>
          <w:rFonts w:eastAsia="宋体" w:cs="Times New Roman"/>
          <w:i/>
          <w:sz w:val="22"/>
          <w:szCs w:val="24"/>
        </w:rPr>
        <w:t>I. nil</w:t>
      </w:r>
      <w:r w:rsidRPr="00AB7BF8">
        <w:rPr>
          <w:rFonts w:eastAsia="宋体" w:cs="Times New Roman"/>
          <w:sz w:val="22"/>
          <w:szCs w:val="24"/>
        </w:rPr>
        <w:t xml:space="preserve">. Colored lines indicate syntenic regions. </w:t>
      </w:r>
      <w:r w:rsidRPr="00AB7BF8">
        <w:rPr>
          <w:rFonts w:eastAsia="宋体" w:cs="Times New Roman"/>
          <w:i/>
          <w:sz w:val="22"/>
          <w:szCs w:val="24"/>
        </w:rPr>
        <w:t>Ipomoea SPL</w:t>
      </w:r>
      <w:r w:rsidRPr="00AB7BF8">
        <w:rPr>
          <w:rFonts w:eastAsia="宋体" w:cs="Times New Roman"/>
          <w:sz w:val="22"/>
          <w:szCs w:val="24"/>
        </w:rPr>
        <w:t xml:space="preserve"> genes can be classified into four duplicated types, and marked as different colors.</w:t>
      </w:r>
    </w:p>
    <w:p w14:paraId="5F850191" w14:textId="77777777" w:rsidR="00E77113" w:rsidRPr="00E77113" w:rsidRDefault="005F47E9" w:rsidP="00E77113">
      <w:pPr>
        <w:pStyle w:val="7"/>
        <w:rPr>
          <w:rFonts w:eastAsiaTheme="minorEastAsia"/>
          <w:b w:val="0"/>
        </w:rPr>
      </w:pPr>
      <w:r w:rsidRPr="0085448C">
        <w:rPr>
          <w:rFonts w:eastAsia="宋体" w:cs="Times New Roman"/>
        </w:rPr>
        <w:lastRenderedPageBreak/>
        <w:t>Supplementary Figure S</w:t>
      </w:r>
      <w:r w:rsidR="003B4C27">
        <w:rPr>
          <w:rFonts w:eastAsia="宋体" w:cs="Times New Roman"/>
          <w:b w:val="0"/>
        </w:rPr>
        <w:t>7</w:t>
      </w:r>
      <w:r w:rsidRPr="0085448C">
        <w:rPr>
          <w:rFonts w:eastAsia="宋体" w:cs="Times New Roman"/>
        </w:rPr>
        <w:t>.</w:t>
      </w:r>
      <w:r w:rsidR="00E77113">
        <w:rPr>
          <w:rFonts w:eastAsia="宋体" w:cs="Times New Roman"/>
          <w:b w:val="0"/>
        </w:rPr>
        <w:t xml:space="preserve"> </w:t>
      </w:r>
      <w:r w:rsidR="00E77113" w:rsidRPr="00E77113">
        <w:rPr>
          <w:rFonts w:eastAsiaTheme="minorEastAsia"/>
          <w:b w:val="0"/>
        </w:rPr>
        <w:t xml:space="preserve">Investigation of </w:t>
      </w:r>
      <w:r w:rsidR="00E77113" w:rsidRPr="00E77113">
        <w:rPr>
          <w:rFonts w:eastAsiaTheme="minorEastAsia"/>
          <w:b w:val="0"/>
          <w:i/>
        </w:rPr>
        <w:t>cis</w:t>
      </w:r>
      <w:r w:rsidR="00E77113" w:rsidRPr="00E77113">
        <w:rPr>
          <w:rFonts w:eastAsiaTheme="minorEastAsia"/>
          <w:b w:val="0"/>
        </w:rPr>
        <w:t xml:space="preserve">-acting elements in the </w:t>
      </w:r>
      <w:r w:rsidR="00E77113" w:rsidRPr="00E77113">
        <w:rPr>
          <w:rFonts w:eastAsia="宋体"/>
          <w:b w:val="0"/>
          <w:i/>
        </w:rPr>
        <w:t>Ipomoea</w:t>
      </w:r>
      <w:r w:rsidR="00E77113" w:rsidRPr="00E77113">
        <w:rPr>
          <w:rFonts w:eastAsia="宋体"/>
          <w:b w:val="0"/>
        </w:rPr>
        <w:t xml:space="preserve"> </w:t>
      </w:r>
      <w:r w:rsidR="00E77113" w:rsidRPr="00E77113">
        <w:rPr>
          <w:rFonts w:eastAsia="宋体"/>
          <w:b w:val="0"/>
          <w:i/>
        </w:rPr>
        <w:t>SPL</w:t>
      </w:r>
      <w:r w:rsidR="00E77113" w:rsidRPr="00E77113">
        <w:rPr>
          <w:rFonts w:eastAsia="宋体"/>
          <w:b w:val="0"/>
        </w:rPr>
        <w:t xml:space="preserve"> gene</w:t>
      </w:r>
      <w:r w:rsidR="00E77113" w:rsidRPr="00E77113">
        <w:rPr>
          <w:rFonts w:eastAsia="宋体" w:hint="eastAsia"/>
          <w:b w:val="0"/>
        </w:rPr>
        <w:t>s</w:t>
      </w:r>
    </w:p>
    <w:p w14:paraId="0C99F770" w14:textId="70C4A892" w:rsidR="00E77113" w:rsidRPr="002D356E" w:rsidRDefault="00E77113" w:rsidP="00E77113">
      <w:pPr>
        <w:jc w:val="both"/>
        <w:rPr>
          <w:b/>
          <w:bCs/>
          <w:sz w:val="28"/>
        </w:rPr>
      </w:pPr>
      <w:r w:rsidRPr="002D356E">
        <w:rPr>
          <w:bCs/>
        </w:rPr>
        <w:t xml:space="preserve">(a) </w:t>
      </w:r>
      <w:r w:rsidRPr="002D356E">
        <w:rPr>
          <w:bCs/>
          <w:i/>
        </w:rPr>
        <w:t>Cis</w:t>
      </w:r>
      <w:r w:rsidRPr="002D356E">
        <w:rPr>
          <w:bCs/>
        </w:rPr>
        <w:t xml:space="preserve">-acting elements in the promoter regions of </w:t>
      </w:r>
      <w:r>
        <w:rPr>
          <w:bCs/>
        </w:rPr>
        <w:t xml:space="preserve">the </w:t>
      </w:r>
      <w:r w:rsidRPr="002D356E">
        <w:rPr>
          <w:bCs/>
          <w:i/>
        </w:rPr>
        <w:t>Ipomoea SPL</w:t>
      </w:r>
      <w:r w:rsidRPr="002D356E">
        <w:rPr>
          <w:bCs/>
        </w:rPr>
        <w:t xml:space="preserve"> genes. (b) Pie charts of</w:t>
      </w:r>
      <w:r>
        <w:rPr>
          <w:bCs/>
        </w:rPr>
        <w:t xml:space="preserve"> the</w:t>
      </w:r>
      <w:r w:rsidRPr="002D356E">
        <w:rPr>
          <w:bCs/>
        </w:rPr>
        <w:t xml:space="preserve"> </w:t>
      </w:r>
      <w:r w:rsidRPr="002D356E">
        <w:rPr>
          <w:bCs/>
          <w:i/>
        </w:rPr>
        <w:t>cis</w:t>
      </w:r>
      <w:r w:rsidRPr="002D356E">
        <w:rPr>
          <w:bCs/>
        </w:rPr>
        <w:t xml:space="preserve">-acting elements in </w:t>
      </w:r>
      <w:r>
        <w:rPr>
          <w:rFonts w:eastAsia="宋体"/>
        </w:rPr>
        <w:t xml:space="preserve">the </w:t>
      </w:r>
      <w:r w:rsidRPr="002D356E">
        <w:rPr>
          <w:rFonts w:eastAsia="宋体"/>
          <w:i/>
        </w:rPr>
        <w:t>SPL</w:t>
      </w:r>
      <w:r w:rsidRPr="002D356E">
        <w:rPr>
          <w:rFonts w:eastAsia="宋体"/>
        </w:rPr>
        <w:t xml:space="preserve"> gene</w:t>
      </w:r>
      <w:r w:rsidRPr="002D356E">
        <w:rPr>
          <w:rFonts w:eastAsia="宋体" w:hint="eastAsia"/>
        </w:rPr>
        <w:t>s</w:t>
      </w:r>
      <w:r>
        <w:rPr>
          <w:rFonts w:eastAsia="宋体"/>
        </w:rPr>
        <w:t>,</w:t>
      </w:r>
      <w:r w:rsidRPr="002D356E">
        <w:rPr>
          <w:rFonts w:eastAsia="宋体"/>
        </w:rPr>
        <w:t xml:space="preserve"> </w:t>
      </w:r>
      <w:r>
        <w:rPr>
          <w:rFonts w:eastAsia="宋体"/>
        </w:rPr>
        <w:t>wherein the</w:t>
      </w:r>
      <w:r w:rsidRPr="002D356E">
        <w:rPr>
          <w:bCs/>
        </w:rPr>
        <w:t xml:space="preserve"> colored boxes represent different categories or </w:t>
      </w:r>
      <w:r w:rsidRPr="002D356E">
        <w:rPr>
          <w:bCs/>
          <w:i/>
        </w:rPr>
        <w:t>cis</w:t>
      </w:r>
      <w:r w:rsidRPr="002D356E">
        <w:rPr>
          <w:bCs/>
        </w:rPr>
        <w:t>-acting elements.</w:t>
      </w:r>
    </w:p>
    <w:p w14:paraId="7842EBAE" w14:textId="47713A8A" w:rsidR="00AE78A4" w:rsidRPr="006E6A05" w:rsidRDefault="00AE78A4" w:rsidP="00AE78A4">
      <w:pPr>
        <w:rPr>
          <w:rFonts w:eastAsia="宋体" w:cs="Times New Roman"/>
          <w:b/>
          <w:szCs w:val="24"/>
        </w:rPr>
      </w:pPr>
      <w:r w:rsidRPr="0085448C">
        <w:rPr>
          <w:rFonts w:eastAsia="宋体" w:cs="Times New Roman"/>
          <w:b/>
          <w:szCs w:val="24"/>
        </w:rPr>
        <w:t>Supplementary Figure S</w:t>
      </w:r>
      <w:r w:rsidR="00AE2AA2">
        <w:rPr>
          <w:rFonts w:eastAsia="宋体" w:cs="Times New Roman"/>
          <w:b/>
          <w:szCs w:val="24"/>
        </w:rPr>
        <w:t>8</w:t>
      </w:r>
      <w:r w:rsidRPr="0085448C">
        <w:rPr>
          <w:rFonts w:eastAsia="宋体" w:cs="Times New Roman"/>
          <w:b/>
          <w:szCs w:val="24"/>
        </w:rPr>
        <w:t>.</w:t>
      </w:r>
      <w:r>
        <w:rPr>
          <w:rFonts w:eastAsia="宋体" w:cs="Times New Roman"/>
          <w:b/>
          <w:szCs w:val="24"/>
        </w:rPr>
        <w:t xml:space="preserve"> </w:t>
      </w:r>
      <w:r w:rsidRPr="003D69F2">
        <w:rPr>
          <w:rFonts w:eastAsia="宋体" w:cs="Times New Roman"/>
          <w:bCs/>
          <w:szCs w:val="24"/>
        </w:rPr>
        <w:t>WGCNA network and module detection</w:t>
      </w:r>
    </w:p>
    <w:p w14:paraId="3A586274" w14:textId="77777777" w:rsidR="00AE78A4" w:rsidRPr="00AB7BF8" w:rsidRDefault="00AE78A4" w:rsidP="00AE78A4">
      <w:pPr>
        <w:rPr>
          <w:rFonts w:eastAsia="宋体" w:cs="Times New Roman"/>
          <w:sz w:val="22"/>
          <w:szCs w:val="24"/>
        </w:rPr>
      </w:pPr>
      <w:r w:rsidRPr="00AB7BF8">
        <w:rPr>
          <w:rFonts w:eastAsia="宋体" w:cs="Times New Roman" w:hint="eastAsia"/>
          <w:sz w:val="22"/>
          <w:szCs w:val="24"/>
        </w:rPr>
        <w:t>(</w:t>
      </w:r>
      <w:r w:rsidRPr="00AB7BF8">
        <w:rPr>
          <w:rFonts w:eastAsia="宋体" w:cs="Times New Roman"/>
          <w:sz w:val="22"/>
          <w:szCs w:val="24"/>
        </w:rPr>
        <w:t xml:space="preserve">a) Sample clustering was performed to detect outliers. CRR022914, CRR022943, and CRR022951 were considered as outlier samples, and were removed from the further analysis. (b, c) Selection of the soft-thresholding powers. Power 9 was </w:t>
      </w:r>
      <w:r w:rsidRPr="00AB7BF8">
        <w:rPr>
          <w:rFonts w:eastAsia="宋体" w:cs="Times New Roman" w:hint="eastAsia"/>
          <w:sz w:val="22"/>
          <w:szCs w:val="24"/>
        </w:rPr>
        <w:t>selected</w:t>
      </w:r>
      <w:r w:rsidRPr="00AB7BF8">
        <w:rPr>
          <w:rFonts w:eastAsia="宋体" w:cs="Times New Roman"/>
          <w:sz w:val="22"/>
          <w:szCs w:val="24"/>
        </w:rPr>
        <w:t>, for which the fit index curve flattens out upon reaching a high value. (d) Cluster dendrogr</w:t>
      </w:r>
      <w:bookmarkStart w:id="0" w:name="_GoBack"/>
      <w:bookmarkEnd w:id="0"/>
      <w:r w:rsidRPr="00AB7BF8">
        <w:rPr>
          <w:rFonts w:eastAsia="宋体" w:cs="Times New Roman"/>
          <w:sz w:val="22"/>
          <w:szCs w:val="24"/>
        </w:rPr>
        <w:t xml:space="preserve">am and module assignment. Each color indicates one </w:t>
      </w:r>
      <w:r w:rsidRPr="00AB7BF8">
        <w:rPr>
          <w:rFonts w:eastAsia="宋体" w:cs="Times New Roman" w:hint="eastAsia"/>
          <w:sz w:val="22"/>
          <w:szCs w:val="24"/>
        </w:rPr>
        <w:t>assigned</w:t>
      </w:r>
      <w:r w:rsidRPr="00AB7BF8">
        <w:rPr>
          <w:rFonts w:eastAsia="宋体" w:cs="Times New Roman"/>
          <w:sz w:val="22"/>
          <w:szCs w:val="24"/>
        </w:rPr>
        <w:t xml:space="preserve"> module, and branches represent genes. 19 modules with 19431 genes were detecte</w:t>
      </w:r>
      <w:r w:rsidRPr="00AB7BF8">
        <w:rPr>
          <w:rFonts w:eastAsia="宋体" w:cs="Times New Roman" w:hint="eastAsia"/>
          <w:sz w:val="22"/>
          <w:szCs w:val="24"/>
        </w:rPr>
        <w:t>d</w:t>
      </w:r>
      <w:r w:rsidRPr="00AB7BF8">
        <w:rPr>
          <w:rFonts w:eastAsia="宋体" w:cs="Times New Roman"/>
          <w:sz w:val="22"/>
          <w:szCs w:val="24"/>
        </w:rPr>
        <w:t xml:space="preserve">. (e) Heatmap </w:t>
      </w:r>
      <w:r w:rsidRPr="00AB7BF8">
        <w:rPr>
          <w:rFonts w:eastAsia="宋体" w:cs="Times New Roman" w:hint="eastAsia"/>
          <w:sz w:val="22"/>
          <w:szCs w:val="24"/>
        </w:rPr>
        <w:t>shows</w:t>
      </w:r>
      <w:r w:rsidRPr="00AB7BF8">
        <w:rPr>
          <w:rFonts w:eastAsia="宋体" w:cs="Times New Roman"/>
          <w:sz w:val="22"/>
          <w:szCs w:val="24"/>
        </w:rPr>
        <w:t xml:space="preserve"> the Topological Overlap Matrix (TOM) of 1000 genes selected randomly for WGCNA. (f) The cluster dendrogram constructed based on the eigengenes of the modules (exclud</w:t>
      </w:r>
      <w:r w:rsidRPr="00AB7BF8">
        <w:rPr>
          <w:rFonts w:eastAsia="宋体" w:cs="Times New Roman" w:hint="eastAsia"/>
          <w:sz w:val="22"/>
          <w:szCs w:val="24"/>
        </w:rPr>
        <w:t>ing</w:t>
      </w:r>
      <w:r w:rsidRPr="00AB7BF8">
        <w:rPr>
          <w:rFonts w:eastAsia="宋体" w:cs="Times New Roman"/>
          <w:sz w:val="22"/>
          <w:szCs w:val="24"/>
        </w:rPr>
        <w:t xml:space="preserve"> grey module) (above) and the heatmap for the correlation coefficient between the modules (below).</w:t>
      </w:r>
    </w:p>
    <w:p w14:paraId="71CCE60D" w14:textId="77777777" w:rsidR="006C0E2D" w:rsidRDefault="00DF0243">
      <w:pPr>
        <w:pStyle w:val="1"/>
        <w:rPr>
          <w:rFonts w:eastAsiaTheme="minorEastAsia"/>
          <w:bCs/>
          <w:lang w:eastAsia="zh-CN"/>
        </w:rPr>
      </w:pPr>
      <w:r>
        <w:t>Supplementary</w:t>
      </w:r>
      <w:r>
        <w:rPr>
          <w:bCs/>
        </w:rPr>
        <w:t xml:space="preserve"> </w:t>
      </w:r>
      <w:r>
        <w:rPr>
          <w:rFonts w:eastAsiaTheme="minorEastAsia" w:hint="eastAsia"/>
          <w:bCs/>
          <w:lang w:eastAsia="zh-CN"/>
        </w:rPr>
        <w:t>Tables</w:t>
      </w:r>
    </w:p>
    <w:p w14:paraId="69EFF912" w14:textId="77777777" w:rsidR="00EF09F6" w:rsidRDefault="000343BC" w:rsidP="00566762">
      <w:pPr>
        <w:jc w:val="both"/>
        <w:rPr>
          <w:b/>
          <w:szCs w:val="24"/>
        </w:rPr>
      </w:pPr>
      <w:r w:rsidRPr="000343BC">
        <w:rPr>
          <w:b/>
          <w:szCs w:val="24"/>
        </w:rPr>
        <w:t xml:space="preserve">Supplementary Table S1. </w:t>
      </w:r>
      <w:r w:rsidRPr="009B5729">
        <w:rPr>
          <w:bCs/>
          <w:szCs w:val="24"/>
        </w:rPr>
        <w:t xml:space="preserve">Summary of </w:t>
      </w:r>
      <w:r w:rsidRPr="00B02E5D">
        <w:rPr>
          <w:bCs/>
          <w:i/>
          <w:szCs w:val="24"/>
        </w:rPr>
        <w:t>SPL</w:t>
      </w:r>
      <w:r w:rsidRPr="009B5729">
        <w:rPr>
          <w:bCs/>
          <w:szCs w:val="24"/>
        </w:rPr>
        <w:t xml:space="preserve"> family members in genus </w:t>
      </w:r>
      <w:r w:rsidRPr="00940BB9">
        <w:rPr>
          <w:bCs/>
          <w:i/>
          <w:szCs w:val="24"/>
        </w:rPr>
        <w:t>Ipomoea</w:t>
      </w:r>
    </w:p>
    <w:p w14:paraId="261019BD" w14:textId="7C4273E6" w:rsidR="00FE77F8" w:rsidRPr="00931CB9" w:rsidRDefault="009B5729" w:rsidP="00566762">
      <w:pPr>
        <w:jc w:val="both"/>
        <w:rPr>
          <w:bCs/>
          <w:szCs w:val="24"/>
        </w:rPr>
      </w:pPr>
      <w:r w:rsidRPr="009B5729">
        <w:rPr>
          <w:b/>
          <w:szCs w:val="24"/>
        </w:rPr>
        <w:t xml:space="preserve">Supplementary Table S2. </w:t>
      </w:r>
      <w:r w:rsidR="006860E1" w:rsidRPr="006860E1">
        <w:rPr>
          <w:bCs/>
          <w:szCs w:val="24"/>
        </w:rPr>
        <w:t xml:space="preserve">List of </w:t>
      </w:r>
      <w:r w:rsidR="006860E1" w:rsidRPr="00AE16C6">
        <w:rPr>
          <w:bCs/>
          <w:i/>
          <w:szCs w:val="24"/>
        </w:rPr>
        <w:t>SPL</w:t>
      </w:r>
      <w:r w:rsidR="006860E1" w:rsidRPr="006860E1">
        <w:rPr>
          <w:bCs/>
          <w:szCs w:val="24"/>
        </w:rPr>
        <w:t xml:space="preserve"> genes from </w:t>
      </w:r>
      <w:r w:rsidR="006860E1" w:rsidRPr="00AE16C6">
        <w:rPr>
          <w:bCs/>
          <w:i/>
          <w:szCs w:val="24"/>
        </w:rPr>
        <w:t>A. thaliana</w:t>
      </w:r>
      <w:r w:rsidR="006860E1" w:rsidRPr="006860E1">
        <w:rPr>
          <w:bCs/>
          <w:szCs w:val="24"/>
        </w:rPr>
        <w:t xml:space="preserve">, </w:t>
      </w:r>
      <w:r w:rsidR="006860E1" w:rsidRPr="00AE16C6">
        <w:rPr>
          <w:bCs/>
          <w:i/>
          <w:szCs w:val="24"/>
        </w:rPr>
        <w:t>O. sativa</w:t>
      </w:r>
      <w:r w:rsidR="006860E1" w:rsidRPr="006860E1">
        <w:rPr>
          <w:bCs/>
          <w:szCs w:val="24"/>
        </w:rPr>
        <w:t xml:space="preserve">, </w:t>
      </w:r>
      <w:r w:rsidR="006860E1" w:rsidRPr="00AE16C6">
        <w:rPr>
          <w:bCs/>
          <w:i/>
          <w:szCs w:val="24"/>
        </w:rPr>
        <w:t xml:space="preserve">S. </w:t>
      </w:r>
      <w:proofErr w:type="spellStart"/>
      <w:r w:rsidR="006860E1" w:rsidRPr="00AE16C6">
        <w:rPr>
          <w:bCs/>
          <w:i/>
          <w:szCs w:val="24"/>
        </w:rPr>
        <w:t>lycopersicum</w:t>
      </w:r>
      <w:proofErr w:type="spellEnd"/>
      <w:r w:rsidR="006860E1" w:rsidRPr="006860E1">
        <w:rPr>
          <w:bCs/>
          <w:szCs w:val="24"/>
        </w:rPr>
        <w:t xml:space="preserve">, </w:t>
      </w:r>
      <w:r w:rsidR="006860E1" w:rsidRPr="00AE16C6">
        <w:rPr>
          <w:bCs/>
          <w:i/>
          <w:szCs w:val="24"/>
        </w:rPr>
        <w:t xml:space="preserve">P. </w:t>
      </w:r>
      <w:proofErr w:type="spellStart"/>
      <w:r w:rsidR="006860E1" w:rsidRPr="00AE16C6">
        <w:rPr>
          <w:bCs/>
          <w:i/>
          <w:szCs w:val="24"/>
        </w:rPr>
        <w:t>trichocarpa</w:t>
      </w:r>
      <w:proofErr w:type="spellEnd"/>
      <w:r w:rsidR="006860E1" w:rsidRPr="006860E1">
        <w:rPr>
          <w:bCs/>
          <w:szCs w:val="24"/>
        </w:rPr>
        <w:t xml:space="preserve">, </w:t>
      </w:r>
      <w:r w:rsidR="006860E1" w:rsidRPr="00AE16C6">
        <w:rPr>
          <w:bCs/>
          <w:i/>
          <w:szCs w:val="24"/>
        </w:rPr>
        <w:t xml:space="preserve">M. </w:t>
      </w:r>
      <w:proofErr w:type="spellStart"/>
      <w:r w:rsidR="006860E1" w:rsidRPr="00AE16C6">
        <w:rPr>
          <w:bCs/>
          <w:i/>
          <w:szCs w:val="24"/>
        </w:rPr>
        <w:t>domestica</w:t>
      </w:r>
      <w:proofErr w:type="spellEnd"/>
      <w:r w:rsidR="006860E1" w:rsidRPr="006860E1">
        <w:rPr>
          <w:bCs/>
          <w:szCs w:val="24"/>
        </w:rPr>
        <w:t xml:space="preserve">, </w:t>
      </w:r>
      <w:r w:rsidR="006860E1" w:rsidRPr="00AE16C6">
        <w:rPr>
          <w:bCs/>
          <w:i/>
          <w:szCs w:val="24"/>
        </w:rPr>
        <w:t xml:space="preserve">J. </w:t>
      </w:r>
      <w:proofErr w:type="spellStart"/>
      <w:r w:rsidR="006860E1" w:rsidRPr="00AE16C6">
        <w:rPr>
          <w:bCs/>
          <w:i/>
          <w:szCs w:val="24"/>
        </w:rPr>
        <w:t>curcas</w:t>
      </w:r>
      <w:proofErr w:type="spellEnd"/>
      <w:r w:rsidR="006860E1" w:rsidRPr="006860E1">
        <w:rPr>
          <w:bCs/>
          <w:szCs w:val="24"/>
        </w:rPr>
        <w:t xml:space="preserve"> and </w:t>
      </w:r>
      <w:r w:rsidR="006860E1" w:rsidRPr="00AE16C6">
        <w:rPr>
          <w:bCs/>
          <w:i/>
          <w:szCs w:val="24"/>
        </w:rPr>
        <w:t xml:space="preserve">C. </w:t>
      </w:r>
      <w:proofErr w:type="spellStart"/>
      <w:r w:rsidR="006860E1" w:rsidRPr="00AE16C6">
        <w:rPr>
          <w:bCs/>
          <w:i/>
          <w:szCs w:val="24"/>
        </w:rPr>
        <w:t>reinhardii</w:t>
      </w:r>
      <w:proofErr w:type="spellEnd"/>
    </w:p>
    <w:p w14:paraId="6253DD7D" w14:textId="77777777" w:rsidR="009F2891" w:rsidRPr="00605B92" w:rsidRDefault="00E55E56" w:rsidP="00566762">
      <w:pPr>
        <w:jc w:val="both"/>
        <w:rPr>
          <w:bCs/>
          <w:szCs w:val="24"/>
        </w:rPr>
      </w:pPr>
      <w:r w:rsidRPr="00E55E56">
        <w:rPr>
          <w:b/>
          <w:szCs w:val="24"/>
        </w:rPr>
        <w:t xml:space="preserve">Supplementary Table S3. </w:t>
      </w:r>
      <w:r w:rsidRPr="00605B92">
        <w:rPr>
          <w:bCs/>
          <w:szCs w:val="24"/>
        </w:rPr>
        <w:t xml:space="preserve">The orthologous groups among </w:t>
      </w:r>
      <w:r w:rsidRPr="00605B92">
        <w:rPr>
          <w:bCs/>
          <w:i/>
          <w:iCs/>
          <w:szCs w:val="24"/>
        </w:rPr>
        <w:t xml:space="preserve">O. sativa, A. thaliana, S. </w:t>
      </w:r>
      <w:proofErr w:type="spellStart"/>
      <w:r w:rsidRPr="00605B92">
        <w:rPr>
          <w:bCs/>
          <w:i/>
          <w:iCs/>
          <w:szCs w:val="24"/>
        </w:rPr>
        <w:t>lycopersicum</w:t>
      </w:r>
      <w:proofErr w:type="spellEnd"/>
      <w:r w:rsidRPr="00605B92">
        <w:rPr>
          <w:bCs/>
          <w:i/>
          <w:iCs/>
          <w:szCs w:val="24"/>
        </w:rPr>
        <w:t xml:space="preserve"> </w:t>
      </w:r>
      <w:r w:rsidRPr="00605B92">
        <w:rPr>
          <w:bCs/>
          <w:szCs w:val="24"/>
        </w:rPr>
        <w:t xml:space="preserve">and the four </w:t>
      </w:r>
      <w:r w:rsidRPr="00605B92">
        <w:rPr>
          <w:bCs/>
          <w:i/>
          <w:iCs/>
          <w:szCs w:val="24"/>
        </w:rPr>
        <w:t>Ipomoea</w:t>
      </w:r>
      <w:r w:rsidRPr="00605B92">
        <w:rPr>
          <w:bCs/>
          <w:szCs w:val="24"/>
        </w:rPr>
        <w:t xml:space="preserve"> species</w:t>
      </w:r>
    </w:p>
    <w:p w14:paraId="5915C6EC" w14:textId="3F46F7E3" w:rsidR="006C0E2D" w:rsidRDefault="007714AA" w:rsidP="00566762">
      <w:pPr>
        <w:jc w:val="both"/>
        <w:rPr>
          <w:b/>
          <w:szCs w:val="24"/>
        </w:rPr>
      </w:pPr>
      <w:r w:rsidRPr="007714AA">
        <w:rPr>
          <w:b/>
          <w:szCs w:val="24"/>
        </w:rPr>
        <w:t xml:space="preserve">Supplementary Table S4. </w:t>
      </w:r>
      <w:r w:rsidRPr="00566762">
        <w:rPr>
          <w:bCs/>
          <w:szCs w:val="24"/>
        </w:rPr>
        <w:t>The Ka, Ks and Ka/Ks ratio for all orthologous groups</w:t>
      </w:r>
    </w:p>
    <w:p w14:paraId="20A09543" w14:textId="64BEB861" w:rsidR="00756C8A" w:rsidRDefault="000B3382" w:rsidP="00566762">
      <w:pPr>
        <w:jc w:val="both"/>
        <w:rPr>
          <w:szCs w:val="24"/>
          <w:lang w:eastAsia="zh-CN"/>
        </w:rPr>
      </w:pPr>
      <w:r w:rsidRPr="00566762">
        <w:rPr>
          <w:b/>
          <w:bCs/>
          <w:szCs w:val="24"/>
          <w:lang w:eastAsia="zh-CN"/>
        </w:rPr>
        <w:t>Supplementary Table S5.</w:t>
      </w:r>
      <w:r w:rsidRPr="000B3382">
        <w:rPr>
          <w:szCs w:val="24"/>
          <w:lang w:eastAsia="zh-CN"/>
        </w:rPr>
        <w:t xml:space="preserve"> List of transcriptomic data that were used for miR156 target site prediction</w:t>
      </w:r>
    </w:p>
    <w:p w14:paraId="03B453E2" w14:textId="7512F4FF" w:rsidR="006F4155" w:rsidRDefault="004004E7" w:rsidP="00566762">
      <w:pPr>
        <w:jc w:val="both"/>
        <w:rPr>
          <w:szCs w:val="24"/>
          <w:lang w:eastAsia="zh-CN"/>
        </w:rPr>
      </w:pPr>
      <w:r w:rsidRPr="00566762">
        <w:rPr>
          <w:b/>
          <w:bCs/>
          <w:szCs w:val="24"/>
          <w:lang w:eastAsia="zh-CN"/>
        </w:rPr>
        <w:t>Supplementary Table S6.</w:t>
      </w:r>
      <w:r w:rsidRPr="004004E7">
        <w:rPr>
          <w:szCs w:val="24"/>
          <w:lang w:eastAsia="zh-CN"/>
        </w:rPr>
        <w:t xml:space="preserve"> The composition of cis-regulatory elements in promoter region of </w:t>
      </w:r>
      <w:r w:rsidRPr="00566762">
        <w:rPr>
          <w:i/>
          <w:iCs/>
          <w:szCs w:val="24"/>
          <w:lang w:eastAsia="zh-CN"/>
        </w:rPr>
        <w:t>SPL</w:t>
      </w:r>
      <w:r w:rsidRPr="004004E7">
        <w:rPr>
          <w:szCs w:val="24"/>
          <w:lang w:eastAsia="zh-CN"/>
        </w:rPr>
        <w:t xml:space="preserve"> genes among four </w:t>
      </w:r>
      <w:r w:rsidRPr="00566762">
        <w:rPr>
          <w:i/>
          <w:iCs/>
          <w:szCs w:val="24"/>
          <w:lang w:eastAsia="zh-CN"/>
        </w:rPr>
        <w:t>Ipomoea</w:t>
      </w:r>
      <w:r w:rsidRPr="004004E7">
        <w:rPr>
          <w:szCs w:val="24"/>
          <w:lang w:eastAsia="zh-CN"/>
        </w:rPr>
        <w:t xml:space="preserve"> species</w:t>
      </w:r>
    </w:p>
    <w:p w14:paraId="3B91358F" w14:textId="72076E62" w:rsidR="00BD3F8E" w:rsidRDefault="00BD3F8E" w:rsidP="00566762">
      <w:pPr>
        <w:jc w:val="both"/>
        <w:rPr>
          <w:szCs w:val="24"/>
          <w:lang w:eastAsia="zh-CN"/>
        </w:rPr>
      </w:pPr>
      <w:r w:rsidRPr="00566762">
        <w:rPr>
          <w:b/>
          <w:bCs/>
          <w:szCs w:val="24"/>
          <w:lang w:eastAsia="zh-CN"/>
        </w:rPr>
        <w:t>Supplementary Table S7.</w:t>
      </w:r>
      <w:r w:rsidRPr="00BD3F8E">
        <w:rPr>
          <w:szCs w:val="24"/>
          <w:lang w:eastAsia="zh-CN"/>
        </w:rPr>
        <w:t xml:space="preserve"> The cis-regulatory elements identified in more than ten </w:t>
      </w:r>
      <w:r w:rsidRPr="00566762">
        <w:rPr>
          <w:i/>
          <w:iCs/>
          <w:szCs w:val="24"/>
          <w:lang w:eastAsia="zh-CN"/>
        </w:rPr>
        <w:t>Ipomoea</w:t>
      </w:r>
      <w:r w:rsidRPr="00BD3F8E">
        <w:rPr>
          <w:szCs w:val="24"/>
          <w:lang w:eastAsia="zh-CN"/>
        </w:rPr>
        <w:t xml:space="preserve"> </w:t>
      </w:r>
      <w:r w:rsidRPr="00566762">
        <w:rPr>
          <w:i/>
          <w:iCs/>
          <w:szCs w:val="24"/>
          <w:lang w:eastAsia="zh-CN"/>
        </w:rPr>
        <w:t>SPL</w:t>
      </w:r>
      <w:r w:rsidRPr="00BD3F8E">
        <w:rPr>
          <w:szCs w:val="24"/>
          <w:lang w:eastAsia="zh-CN"/>
        </w:rPr>
        <w:t xml:space="preserve"> genes</w:t>
      </w:r>
    </w:p>
    <w:p w14:paraId="22228FDA" w14:textId="1CE05D36" w:rsidR="00AB1DC0" w:rsidRDefault="00AB1DC0" w:rsidP="00566762">
      <w:pPr>
        <w:jc w:val="both"/>
        <w:rPr>
          <w:szCs w:val="24"/>
          <w:lang w:eastAsia="zh-CN"/>
        </w:rPr>
      </w:pPr>
      <w:r w:rsidRPr="00566762">
        <w:rPr>
          <w:b/>
          <w:bCs/>
          <w:szCs w:val="24"/>
          <w:lang w:eastAsia="zh-CN"/>
        </w:rPr>
        <w:t>Supplementary Table S8.</w:t>
      </w:r>
      <w:r w:rsidRPr="00AB1DC0">
        <w:rPr>
          <w:szCs w:val="24"/>
          <w:lang w:eastAsia="zh-CN"/>
        </w:rPr>
        <w:t xml:space="preserve"> List of transcriptomic data that were used for expression analysis</w:t>
      </w:r>
    </w:p>
    <w:p w14:paraId="6664A733" w14:textId="193D6563" w:rsidR="007C6439" w:rsidRDefault="007C6439" w:rsidP="00566762">
      <w:pPr>
        <w:jc w:val="both"/>
        <w:rPr>
          <w:szCs w:val="24"/>
          <w:lang w:eastAsia="zh-CN"/>
        </w:rPr>
      </w:pPr>
      <w:r w:rsidRPr="00566762">
        <w:rPr>
          <w:b/>
          <w:bCs/>
          <w:szCs w:val="24"/>
          <w:lang w:eastAsia="zh-CN"/>
        </w:rPr>
        <w:t>Supplementary Table S9.</w:t>
      </w:r>
      <w:r w:rsidRPr="007C6439">
        <w:rPr>
          <w:szCs w:val="24"/>
          <w:lang w:eastAsia="zh-CN"/>
        </w:rPr>
        <w:t xml:space="preserve"> The FPKM values for </w:t>
      </w:r>
      <w:proofErr w:type="spellStart"/>
      <w:r w:rsidRPr="00566762">
        <w:rPr>
          <w:i/>
          <w:iCs/>
          <w:szCs w:val="24"/>
          <w:lang w:eastAsia="zh-CN"/>
        </w:rPr>
        <w:t>IbSPL</w:t>
      </w:r>
      <w:proofErr w:type="spellEnd"/>
      <w:r w:rsidRPr="007C6439">
        <w:rPr>
          <w:szCs w:val="24"/>
          <w:lang w:eastAsia="zh-CN"/>
        </w:rPr>
        <w:t xml:space="preserve"> genes in different tissues</w:t>
      </w:r>
    </w:p>
    <w:p w14:paraId="6367545D" w14:textId="642191C6" w:rsidR="007C6439" w:rsidRDefault="007C6439" w:rsidP="00566762">
      <w:pPr>
        <w:jc w:val="both"/>
        <w:rPr>
          <w:szCs w:val="24"/>
          <w:lang w:eastAsia="zh-CN"/>
        </w:rPr>
      </w:pPr>
      <w:r w:rsidRPr="00566762">
        <w:rPr>
          <w:b/>
          <w:bCs/>
          <w:szCs w:val="24"/>
          <w:lang w:eastAsia="zh-CN"/>
        </w:rPr>
        <w:t>Supplementary Table S10.</w:t>
      </w:r>
      <w:r w:rsidRPr="007C6439">
        <w:rPr>
          <w:szCs w:val="24"/>
          <w:lang w:eastAsia="zh-CN"/>
        </w:rPr>
        <w:t xml:space="preserve"> Primers used for </w:t>
      </w:r>
      <w:proofErr w:type="spellStart"/>
      <w:r w:rsidRPr="007C6439">
        <w:rPr>
          <w:szCs w:val="24"/>
          <w:lang w:eastAsia="zh-CN"/>
        </w:rPr>
        <w:t>qRT</w:t>
      </w:r>
      <w:proofErr w:type="spellEnd"/>
      <w:r w:rsidRPr="007C6439">
        <w:rPr>
          <w:szCs w:val="24"/>
          <w:lang w:eastAsia="zh-CN"/>
        </w:rPr>
        <w:t>-PCR</w:t>
      </w:r>
    </w:p>
    <w:p w14:paraId="76E238FC" w14:textId="734DCDA6" w:rsidR="007C6439" w:rsidRDefault="007C6439" w:rsidP="00566762">
      <w:pPr>
        <w:jc w:val="both"/>
        <w:rPr>
          <w:szCs w:val="24"/>
          <w:lang w:eastAsia="zh-CN"/>
        </w:rPr>
      </w:pPr>
      <w:r w:rsidRPr="00566762">
        <w:rPr>
          <w:b/>
          <w:bCs/>
          <w:szCs w:val="24"/>
          <w:lang w:eastAsia="zh-CN"/>
        </w:rPr>
        <w:t>Supplementary Table S11.</w:t>
      </w:r>
      <w:r w:rsidRPr="007C6439">
        <w:rPr>
          <w:szCs w:val="24"/>
          <w:lang w:eastAsia="zh-CN"/>
        </w:rPr>
        <w:t xml:space="preserve"> List of transcriptomic data that were used for co-expression sub-network construction</w:t>
      </w:r>
    </w:p>
    <w:p w14:paraId="0D67A2D3" w14:textId="0AD7529E" w:rsidR="007C6439" w:rsidRPr="00566762" w:rsidRDefault="007C6439" w:rsidP="00566762">
      <w:pPr>
        <w:jc w:val="both"/>
        <w:rPr>
          <w:szCs w:val="24"/>
          <w:lang w:eastAsia="zh-CN"/>
        </w:rPr>
      </w:pPr>
      <w:r w:rsidRPr="00566762">
        <w:rPr>
          <w:b/>
          <w:bCs/>
          <w:szCs w:val="24"/>
          <w:lang w:eastAsia="zh-CN"/>
        </w:rPr>
        <w:t xml:space="preserve">Supplementary Table S12. </w:t>
      </w:r>
      <w:r w:rsidRPr="00566762">
        <w:rPr>
          <w:szCs w:val="24"/>
          <w:lang w:eastAsia="zh-CN"/>
        </w:rPr>
        <w:t xml:space="preserve">List of genes co-expressed with </w:t>
      </w:r>
      <w:proofErr w:type="spellStart"/>
      <w:r w:rsidRPr="00566762">
        <w:rPr>
          <w:i/>
          <w:iCs/>
          <w:szCs w:val="24"/>
          <w:lang w:eastAsia="zh-CN"/>
        </w:rPr>
        <w:t>IbSPLs</w:t>
      </w:r>
      <w:proofErr w:type="spellEnd"/>
    </w:p>
    <w:p w14:paraId="0F6E36DD" w14:textId="6A42ACA5" w:rsidR="007D719E" w:rsidRDefault="007D719E" w:rsidP="00566762">
      <w:pPr>
        <w:jc w:val="both"/>
        <w:rPr>
          <w:szCs w:val="24"/>
          <w:lang w:eastAsia="zh-CN"/>
        </w:rPr>
      </w:pPr>
      <w:r w:rsidRPr="00566762">
        <w:rPr>
          <w:b/>
          <w:bCs/>
          <w:szCs w:val="24"/>
          <w:lang w:eastAsia="zh-CN"/>
        </w:rPr>
        <w:t>Supplementary Table S13.</w:t>
      </w:r>
      <w:r w:rsidRPr="007D719E">
        <w:rPr>
          <w:szCs w:val="24"/>
          <w:lang w:eastAsia="zh-CN"/>
        </w:rPr>
        <w:t xml:space="preserve"> GO enrichment analysis of genes co-expressed with </w:t>
      </w:r>
      <w:proofErr w:type="spellStart"/>
      <w:r w:rsidRPr="00566762">
        <w:rPr>
          <w:i/>
          <w:iCs/>
          <w:szCs w:val="24"/>
          <w:lang w:eastAsia="zh-CN"/>
        </w:rPr>
        <w:t>IbSPLs</w:t>
      </w:r>
      <w:proofErr w:type="spellEnd"/>
    </w:p>
    <w:sectPr w:rsidR="007D719E">
      <w:headerReference w:type="even" r:id="rId9"/>
      <w:footerReference w:type="even" r:id="rId10"/>
      <w:footerReference w:type="default" r:id="rId11"/>
      <w:headerReference w:type="first" r:id="rId12"/>
      <w:pgSz w:w="12240" w:h="15840"/>
      <w:pgMar w:top="1138" w:right="1181" w:bottom="1138" w:left="128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176AC" w14:textId="77777777" w:rsidR="004B659C" w:rsidRDefault="004B659C">
      <w:r>
        <w:separator/>
      </w:r>
    </w:p>
  </w:endnote>
  <w:endnote w:type="continuationSeparator" w:id="0">
    <w:p w14:paraId="4558A023" w14:textId="77777777" w:rsidR="004B659C" w:rsidRDefault="004B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17D71" w14:textId="77777777" w:rsidR="006C0E2D" w:rsidRDefault="00DF0243">
    <w:pPr>
      <w:rPr>
        <w:color w:val="C00000"/>
        <w:szCs w:val="24"/>
      </w:rPr>
    </w:pPr>
    <w:r>
      <w:rPr>
        <w:noProof/>
        <w:lang w:eastAsia="zh-CN"/>
      </w:rPr>
      <mc:AlternateContent>
        <mc:Choice Requires="wps">
          <w:drawing>
            <wp:anchor distT="0" distB="0" distL="114300" distR="114300" simplePos="0" relativeHeight="251660288" behindDoc="0" locked="0" layoutInCell="1" allowOverlap="1" wp14:anchorId="329B8850" wp14:editId="13C92EB8">
              <wp:simplePos x="0" y="0"/>
              <wp:positionH relativeFrom="margin">
                <wp:align>right</wp:align>
              </wp:positionH>
              <wp:positionV relativeFrom="bottomMargin">
                <wp:align>top</wp:align>
              </wp:positionV>
              <wp:extent cx="1508760" cy="395605"/>
              <wp:effectExtent l="0" t="0" r="0" b="0"/>
              <wp:wrapNone/>
              <wp:docPr id="1" name="Text Box 1"/>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3121B7F7" w14:textId="77777777" w:rsidR="006C0E2D" w:rsidRDefault="00DF0243">
                          <w:pPr>
                            <w:jc w:val="right"/>
                            <w:rPr>
                              <w:color w:val="000000" w:themeColor="text1"/>
                              <w:szCs w:val="40"/>
                            </w:rPr>
                          </w:pPr>
                          <w:r>
                            <w:rPr>
                              <w:color w:val="000000" w:themeColor="text1"/>
                              <w:szCs w:val="40"/>
                            </w:rPr>
                            <w:fldChar w:fldCharType="begin"/>
                          </w:r>
                          <w:r>
                            <w:rPr>
                              <w:color w:val="000000" w:themeColor="text1"/>
                              <w:szCs w:val="40"/>
                            </w:rPr>
                            <w:instrText xml:space="preserve"> PAGE  \* Arabic  \* MERGEFORMAT </w:instrText>
                          </w:r>
                          <w:r>
                            <w:rPr>
                              <w:color w:val="000000" w:themeColor="text1"/>
                              <w:szCs w:val="40"/>
                            </w:rPr>
                            <w:fldChar w:fldCharType="separate"/>
                          </w:r>
                          <w:r>
                            <w:rPr>
                              <w:color w:val="000000" w:themeColor="text1"/>
                              <w:szCs w:val="40"/>
                            </w:rPr>
                            <w:t>2</w:t>
                          </w:r>
                          <w:r>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type w14:anchorId="329B8850" id="_x0000_t202" coordsize="21600,21600" o:spt="202" path="m,l,21600r21600,l21600,xe">
              <v:stroke joinstyle="miter"/>
              <v:path gradientshapeok="t" o:connecttype="rect"/>
            </v:shapetype>
            <v:shape id="Text Box 1" o:spid="_x0000_s1026" type="#_x0000_t202" style="position:absolute;margin-left:67.6pt;margin-top:0;width:118.8pt;height:31.15pt;z-index:251660288;visibility:visible;mso-wrap-style:square;mso-wrap-distance-left:9pt;mso-wrap-distance-top:0;mso-wrap-distance-right:9pt;mso-wrap-distance-bottom:0;mso-position-horizontal:right;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6fnGwIAACUEAAAOAAAAZHJzL2Uyb0RvYy54bWysU11v2jAUfZ+0/2D5fSRQoG1EqFgrpklo&#10;rUSrPRvHJpFsX882JOzX79oJFG17mvbi3K8c33vu8eKh04ochfMNmJKORzklwnCoGrMv6dvr+tMd&#10;JT4wUzEFRpT0JDx9WH78sGhtISZQg6qEIwhifNHaktYh2CLLPK+FZn4EVhhMSnCaBXTdPqscaxFd&#10;q2yS5/OsBVdZB1x4j9GnPkmXCV9KwcOzlF4EokqKvYV0unTu4pktF6zYO2brhg9tsH/oQrPG4KUX&#10;qCcWGDm45g8o3XAHHmQYcdAZSNlwkWbAacb5b9Nsa2ZFmgXJ8fZCk/9/sPzb8cWRpsLdUWKYxhW9&#10;ii6Qz9CRcWSntb7Aoq3FstBhOFYOcY/BOHQnnY5fHIdgHnk+XbiNYDz+NMvvbueY4pi7uZ/N81mE&#10;yd7/ts6HLwI0iUZJHe4uUcqOGx/60nNJvMzAulEK46xQhrQlnd/M8vTDJYPgysQCkZQwwMSJ+s6j&#10;FbpdN4yzg+qEUzroVeItXzfYyob58MIcygK7R6mHZzykArwSBouSGtzPv8VjPW4Ls5S0KLOS+h8H&#10;5gQl6qvBPd6Pp9Ooy+RMZ7cTdNx1ZnedMQf9CKhk3BV2l8xYH9TZlA70d3wRq3grppjheHdJw9l8&#10;DL348UVxsVqlIlSiZWFjtpZH6EiYt6tDQIIT75GmnhvcV3RQi2lzw7uJYr/2U9X7617+AgAA//8D&#10;AFBLAwQUAAYACAAAACEAOLASw9kAAAAEAQAADwAAAGRycy9kb3ducmV2LnhtbEyPwWrDMBBE74X+&#10;g9hCLyWR44BbXK9DCfgc4uQDFGtju5VWxpJj9++r9tJcFoYZZt4Wu8UacaPR944RNusEBHHjdM8t&#10;wvlUrd5A+KBYK+OYEL7Jw658fChUrt3MR7rVoRWxhH2uELoQhlxK33RklV+7gTh6VzdaFaIcW6lH&#10;Ncdya2SaJJm0que40KmB9h01X/VkEVw6v5hjvan2h/mzSg4TnWpPiM9Py8c7iEBL+A/DL35EhzIy&#10;XdzE2guDEB8Jfzd66fY1A3FByNItyLKQ9/DlDwAAAP//AwBQSwECLQAUAAYACAAAACEAtoM4kv4A&#10;AADhAQAAEwAAAAAAAAAAAAAAAAAAAAAAW0NvbnRlbnRfVHlwZXNdLnhtbFBLAQItABQABgAIAAAA&#10;IQA4/SH/1gAAAJQBAAALAAAAAAAAAAAAAAAAAC8BAABfcmVscy8ucmVsc1BLAQItABQABgAIAAAA&#10;IQCSd6fnGwIAACUEAAAOAAAAAAAAAAAAAAAAAC4CAABkcnMvZTJvRG9jLnhtbFBLAQItABQABgAI&#10;AAAAIQA4sBLD2QAAAAQBAAAPAAAAAAAAAAAAAAAAAHUEAABkcnMvZG93bnJldi54bWxQSwUGAAAA&#10;AAQABADzAAAAewUAAAAA&#10;" filled="f" stroked="f" strokeweight=".5pt">
              <v:textbox style="mso-fit-shape-to-text:t">
                <w:txbxContent>
                  <w:p w14:paraId="3121B7F7" w14:textId="77777777" w:rsidR="006C0E2D" w:rsidRDefault="00DF0243">
                    <w:pPr>
                      <w:jc w:val="right"/>
                      <w:rPr>
                        <w:color w:val="000000" w:themeColor="text1"/>
                        <w:szCs w:val="40"/>
                      </w:rPr>
                    </w:pPr>
                    <w:r>
                      <w:rPr>
                        <w:color w:val="000000" w:themeColor="text1"/>
                        <w:szCs w:val="40"/>
                      </w:rPr>
                      <w:fldChar w:fldCharType="begin"/>
                    </w:r>
                    <w:r>
                      <w:rPr>
                        <w:color w:val="000000" w:themeColor="text1"/>
                        <w:szCs w:val="40"/>
                      </w:rPr>
                      <w:instrText xml:space="preserve"> PAGE  \* Arabic  \* MERGEFORMAT </w:instrText>
                    </w:r>
                    <w:r>
                      <w:rPr>
                        <w:color w:val="000000" w:themeColor="text1"/>
                        <w:szCs w:val="40"/>
                      </w:rPr>
                      <w:fldChar w:fldCharType="separate"/>
                    </w:r>
                    <w:r>
                      <w:rPr>
                        <w:color w:val="000000" w:themeColor="text1"/>
                        <w:szCs w:val="40"/>
                      </w:rPr>
                      <w:t>2</w:t>
                    </w:r>
                    <w:r>
                      <w:rPr>
                        <w:color w:val="000000" w:themeColor="text1"/>
                        <w:szCs w:val="40"/>
                      </w:rPr>
                      <w:fldChar w:fldCharType="end"/>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23A1" w14:textId="77777777" w:rsidR="006C0E2D" w:rsidRDefault="00DF0243">
    <w:pPr>
      <w:rPr>
        <w:b/>
        <w:sz w:val="20"/>
        <w:szCs w:val="24"/>
      </w:rPr>
    </w:pPr>
    <w:r>
      <w:rPr>
        <w:noProof/>
        <w:lang w:eastAsia="zh-CN"/>
      </w:rPr>
      <mc:AlternateContent>
        <mc:Choice Requires="wps">
          <w:drawing>
            <wp:anchor distT="0" distB="0" distL="114300" distR="114300" simplePos="0" relativeHeight="251659264" behindDoc="0" locked="0" layoutInCell="1" allowOverlap="1" wp14:anchorId="28121187" wp14:editId="583722DC">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4A966112" w14:textId="77777777" w:rsidR="006C0E2D" w:rsidRDefault="00DF0243">
                          <w:pPr>
                            <w:jc w:val="right"/>
                            <w:rPr>
                              <w:color w:val="000000" w:themeColor="text1"/>
                              <w:szCs w:val="40"/>
                            </w:rPr>
                          </w:pPr>
                          <w:r>
                            <w:rPr>
                              <w:color w:val="000000" w:themeColor="text1"/>
                              <w:szCs w:val="40"/>
                            </w:rPr>
                            <w:fldChar w:fldCharType="begin"/>
                          </w:r>
                          <w:r>
                            <w:rPr>
                              <w:color w:val="000000" w:themeColor="text1"/>
                              <w:szCs w:val="40"/>
                            </w:rPr>
                            <w:instrText xml:space="preserve"> PAGE  \* Arabic  \* MERGEFORMAT </w:instrText>
                          </w:r>
                          <w:r>
                            <w:rPr>
                              <w:color w:val="000000" w:themeColor="text1"/>
                              <w:szCs w:val="40"/>
                            </w:rPr>
                            <w:fldChar w:fldCharType="separate"/>
                          </w:r>
                          <w:r>
                            <w:rPr>
                              <w:color w:val="000000" w:themeColor="text1"/>
                              <w:szCs w:val="40"/>
                            </w:rPr>
                            <w:t>3</w:t>
                          </w:r>
                          <w:r>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type w14:anchorId="28121187" id="_x0000_t202" coordsize="21600,21600" o:spt="202" path="m,l,21600r21600,l21600,xe">
              <v:stroke joinstyle="miter"/>
              <v:path gradientshapeok="t" o:connecttype="rect"/>
            </v:shapetype>
            <v:shape id="Text Box 56" o:spid="_x0000_s1027" type="#_x0000_t202" style="position:absolute;margin-left:67.6pt;margin-top:0;width:118.8pt;height:31.15pt;z-index:251659264;visibility:visible;mso-wrap-style:square;mso-wrap-distance-left:9pt;mso-wrap-distance-top:0;mso-wrap-distance-right:9pt;mso-wrap-distance-bottom:0;mso-position-horizontal:right;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38HgIAAC4EAAAOAAAAZHJzL2Uyb0RvYy54bWysU02P2jAQvVfqf7B8LwkssLuIsKK7oqqE&#10;uiuxq56N45BI/qptSOiv77MDLGp7qnpx5itvZt7MzB86JclBON8YXdDhIKdEaG7KRu8K+va6+nRH&#10;iQ9Ml0waLQp6FJ4+LD5+mLd2JkamNrIUjgBE+1lrC1qHYGdZ5nktFPMDY4WGszJOsQDV7bLSsRbo&#10;SmajPJ9mrXGldYYL72F96p10kfCrSvDwXFVeBCILitpCel16t/HNFnM22zlm64afymD/UIVijUbS&#10;C9QTC4zsXfMHlGq4M95UYcCNykxVNVykHtDNMP+tm03NrEi9gBxvLzT5/wfLvx1eHGnKgk6mlGim&#10;MKNX0QXy2XQEJvDTWj9D2MYiMHSwY85nu4cxtt1VTsUvGiLwg+njhd2IxuNPk/zudgoXh+/mfjLN&#10;JxEme//bOh++CKNIFArqML1EKjusfehDzyExmTarRso0QalJW9DpzSRPP1w8AJc6xoq0CyeY2FFf&#10;eZRCt+0SA5eutqY8olln+nXxlq8aVLRmPrwwh/1AE9j58IynkgaZzUmipDbu59/sMR5jg5eSFvtW&#10;UP9jz5ygRH7VGOj9cDyOC5qU8eR2BMVde7bXHr1XjwYrPcR1WZ7EGB/kWaycUd9xGsuYFS6mOXIX&#10;NJzFx9BfAU6Li+UyBWElLQtrvbE8QkfevF3uA3hO9Ee2em4wtqhgKdMATwcUt/5aT1HvZ774BQAA&#10;//8DAFBLAwQUAAYACAAAACEAOLASw9kAAAAEAQAADwAAAGRycy9kb3ducmV2LnhtbEyPwWrDMBBE&#10;74X+g9hCLyWR44BbXK9DCfgc4uQDFGtju5VWxpJj9++r9tJcFoYZZt4Wu8UacaPR944RNusEBHHj&#10;dM8twvlUrd5A+KBYK+OYEL7Jw658fChUrt3MR7rVoRWxhH2uELoQhlxK33RklV+7gTh6VzdaFaIc&#10;W6lHNcdya2SaJJm0que40KmB9h01X/VkEVw6v5hjvan2h/mzSg4TnWpPiM9Py8c7iEBL+A/DL35E&#10;hzIyXdzE2guDEB8Jfzd66fY1A3FByNItyLKQ9/DlDwAAAP//AwBQSwECLQAUAAYACAAAACEAtoM4&#10;kv4AAADhAQAAEwAAAAAAAAAAAAAAAAAAAAAAW0NvbnRlbnRfVHlwZXNdLnhtbFBLAQItABQABgAI&#10;AAAAIQA4/SH/1gAAAJQBAAALAAAAAAAAAAAAAAAAAC8BAABfcmVscy8ucmVsc1BLAQItABQABgAI&#10;AAAAIQDHMe38HgIAAC4EAAAOAAAAAAAAAAAAAAAAAC4CAABkcnMvZTJvRG9jLnhtbFBLAQItABQA&#10;BgAIAAAAIQA4sBLD2QAAAAQBAAAPAAAAAAAAAAAAAAAAAHgEAABkcnMvZG93bnJldi54bWxQSwUG&#10;AAAAAAQABADzAAAAfgUAAAAA&#10;" filled="f" stroked="f" strokeweight=".5pt">
              <v:textbox style="mso-fit-shape-to-text:t">
                <w:txbxContent>
                  <w:p w14:paraId="4A966112" w14:textId="77777777" w:rsidR="006C0E2D" w:rsidRDefault="00DF0243">
                    <w:pPr>
                      <w:jc w:val="right"/>
                      <w:rPr>
                        <w:color w:val="000000" w:themeColor="text1"/>
                        <w:szCs w:val="40"/>
                      </w:rPr>
                    </w:pPr>
                    <w:r>
                      <w:rPr>
                        <w:color w:val="000000" w:themeColor="text1"/>
                        <w:szCs w:val="40"/>
                      </w:rPr>
                      <w:fldChar w:fldCharType="begin"/>
                    </w:r>
                    <w:r>
                      <w:rPr>
                        <w:color w:val="000000" w:themeColor="text1"/>
                        <w:szCs w:val="40"/>
                      </w:rPr>
                      <w:instrText xml:space="preserve"> PAGE  \* Arabic  \* MERGEFORMAT </w:instrText>
                    </w:r>
                    <w:r>
                      <w:rPr>
                        <w:color w:val="000000" w:themeColor="text1"/>
                        <w:szCs w:val="40"/>
                      </w:rPr>
                      <w:fldChar w:fldCharType="separate"/>
                    </w:r>
                    <w:r>
                      <w:rPr>
                        <w:color w:val="000000" w:themeColor="text1"/>
                        <w:szCs w:val="40"/>
                      </w:rPr>
                      <w:t>3</w:t>
                    </w:r>
                    <w:r>
                      <w:rPr>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2E75E" w14:textId="77777777" w:rsidR="004B659C" w:rsidRDefault="004B659C">
      <w:pPr>
        <w:spacing w:before="0" w:after="0"/>
      </w:pPr>
      <w:r>
        <w:separator/>
      </w:r>
    </w:p>
  </w:footnote>
  <w:footnote w:type="continuationSeparator" w:id="0">
    <w:p w14:paraId="672E3A41" w14:textId="77777777" w:rsidR="004B659C" w:rsidRDefault="004B659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667D3" w14:textId="77777777" w:rsidR="006C0E2D" w:rsidRDefault="00DF0243">
    <w:pPr>
      <w:rPr>
        <w:rFonts w:cs="Times New Roman"/>
      </w:rPr>
    </w:pPr>
    <w:r>
      <w:rPr>
        <w:rFonts w:cs="Times New Roman"/>
      </w:rPr>
      <w:ptab w:relativeTo="margin" w:alignment="center" w:leader="none"/>
    </w:r>
    <w:r>
      <w:rPr>
        <w:rFonts w:cs="Times New Roman"/>
      </w:rPr>
      <w:ptab w:relativeTo="margin" w:alignment="right" w:leader="none"/>
    </w:r>
    <w:r>
      <w:rPr>
        <w:rFonts w:cs="Times New Roman"/>
      </w:rPr>
      <w:t>Supplementary Material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B0C19" w14:textId="77777777" w:rsidR="006C0E2D" w:rsidRDefault="00DF0243">
    <w:r>
      <w:rPr>
        <w:b/>
        <w:noProof/>
        <w:color w:val="A6A6A6" w:themeColor="background1" w:themeShade="A6"/>
        <w:lang w:eastAsia="zh-CN"/>
      </w:rPr>
      <w:drawing>
        <wp:inline distT="0" distB="0" distL="0" distR="0" wp14:anchorId="56414250" wp14:editId="2099E296">
          <wp:extent cx="1382395" cy="496570"/>
          <wp:effectExtent l="0" t="0" r="0" b="0"/>
          <wp:docPr id="7" name="Picture 7" descr="C:\Users\Elaine.Scott\Documents\LaTex\____TEST____Frontiers_LaTeX_Templates_V2.5\Frontiers LaTeX (Science, Health and Engineering) V2.5 - with Supplementary material (V1.2)\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Elaine.Scott\Documents\LaTex\____TEST____Frontiers_LaTeX_Templates_V2.5\Frontiers LaTeX (Science, Health and Engineering) V2.5 - with Supplementary material (V1.2)\logo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34909" cy="551877"/>
                  </a:xfrm>
                  <a:prstGeom prst="rect">
                    <a:avLst/>
                  </a:prstGeom>
                  <a:noFill/>
                  <a:ln>
                    <a:noFill/>
                  </a:ln>
                </pic:spPr>
              </pic:pic>
            </a:graphicData>
          </a:graphic>
        </wp:inline>
      </w:drawing>
    </w:r>
    <w:r>
      <w:rPr>
        <w:b/>
      </w:rPr>
      <w:ptab w:relativeTo="margin" w:alignment="center" w:leader="none"/>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0601A"/>
    <w:multiLevelType w:val="multilevel"/>
    <w:tmpl w:val="1EC0601A"/>
    <w:lvl w:ilvl="0">
      <w:start w:val="1"/>
      <w:numFmt w:val="decimal"/>
      <w:pStyle w:val="1"/>
      <w:lvlText w:val="%1"/>
      <w:lvlJc w:val="left"/>
      <w:pPr>
        <w:tabs>
          <w:tab w:val="left" w:pos="567"/>
        </w:tabs>
        <w:ind w:left="567" w:hanging="567"/>
      </w:pPr>
      <w:rPr>
        <w:rFonts w:hint="default"/>
      </w:rPr>
    </w:lvl>
    <w:lvl w:ilvl="1">
      <w:start w:val="1"/>
      <w:numFmt w:val="decimal"/>
      <w:pStyle w:val="2"/>
      <w:lvlText w:val="%1.%2"/>
      <w:lvlJc w:val="left"/>
      <w:pPr>
        <w:tabs>
          <w:tab w:val="left" w:pos="567"/>
        </w:tabs>
        <w:ind w:left="567" w:hanging="567"/>
      </w:pPr>
      <w:rPr>
        <w:rFonts w:hint="default"/>
      </w:rPr>
    </w:lvl>
    <w:lvl w:ilvl="2">
      <w:start w:val="1"/>
      <w:numFmt w:val="decimal"/>
      <w:pStyle w:val="3"/>
      <w:lvlText w:val="%1.%2.%3"/>
      <w:lvlJc w:val="left"/>
      <w:pPr>
        <w:tabs>
          <w:tab w:val="left" w:pos="567"/>
        </w:tabs>
        <w:ind w:left="567" w:hanging="567"/>
      </w:pPr>
      <w:rPr>
        <w:rFonts w:hint="default"/>
      </w:rPr>
    </w:lvl>
    <w:lvl w:ilvl="3">
      <w:start w:val="1"/>
      <w:numFmt w:val="decimal"/>
      <w:pStyle w:val="4"/>
      <w:lvlText w:val="%1.%2.%3.%4"/>
      <w:lvlJc w:val="left"/>
      <w:pPr>
        <w:tabs>
          <w:tab w:val="left" w:pos="567"/>
        </w:tabs>
        <w:ind w:left="567" w:hanging="567"/>
      </w:pPr>
      <w:rPr>
        <w:rFonts w:hint="default"/>
      </w:rPr>
    </w:lvl>
    <w:lvl w:ilvl="4">
      <w:start w:val="1"/>
      <w:numFmt w:val="decimal"/>
      <w:pStyle w:val="5"/>
      <w:lvlText w:val="%1.%2.%3.%4.%5"/>
      <w:lvlJc w:val="left"/>
      <w:pPr>
        <w:tabs>
          <w:tab w:val="left" w:pos="567"/>
        </w:tabs>
        <w:ind w:left="567" w:hanging="567"/>
      </w:pPr>
      <w:rPr>
        <w:rFonts w:hint="default"/>
      </w:rPr>
    </w:lvl>
    <w:lvl w:ilvl="5">
      <w:start w:val="1"/>
      <w:numFmt w:val="lowerRoman"/>
      <w:lvlText w:val="%6."/>
      <w:lvlJc w:val="right"/>
      <w:pPr>
        <w:tabs>
          <w:tab w:val="left" w:pos="567"/>
        </w:tabs>
        <w:ind w:left="567" w:hanging="567"/>
      </w:pPr>
      <w:rPr>
        <w:rFonts w:hint="default"/>
      </w:rPr>
    </w:lvl>
    <w:lvl w:ilvl="6">
      <w:start w:val="1"/>
      <w:numFmt w:val="decimal"/>
      <w:lvlText w:val="%7."/>
      <w:lvlJc w:val="left"/>
      <w:pPr>
        <w:tabs>
          <w:tab w:val="left" w:pos="567"/>
        </w:tabs>
        <w:ind w:left="567" w:hanging="567"/>
      </w:pPr>
      <w:rPr>
        <w:rFonts w:hint="default"/>
      </w:rPr>
    </w:lvl>
    <w:lvl w:ilvl="7">
      <w:start w:val="1"/>
      <w:numFmt w:val="lowerLetter"/>
      <w:lvlText w:val="%8."/>
      <w:lvlJc w:val="left"/>
      <w:pPr>
        <w:tabs>
          <w:tab w:val="left" w:pos="567"/>
        </w:tabs>
        <w:ind w:left="567" w:hanging="567"/>
      </w:pPr>
      <w:rPr>
        <w:rFonts w:hint="default"/>
      </w:rPr>
    </w:lvl>
    <w:lvl w:ilvl="8">
      <w:start w:val="1"/>
      <w:numFmt w:val="lowerRoman"/>
      <w:lvlText w:val="%9."/>
      <w:lvlJc w:val="right"/>
      <w:pPr>
        <w:tabs>
          <w:tab w:val="left" w:pos="567"/>
        </w:tabs>
        <w:ind w:left="567" w:hanging="567"/>
      </w:pPr>
      <w:rPr>
        <w:rFonts w:hint="default"/>
      </w:rPr>
    </w:lvl>
  </w:abstractNum>
  <w:abstractNum w:abstractNumId="1" w15:restartNumberingAfterBreak="0">
    <w:nsid w:val="225305B5"/>
    <w:multiLevelType w:val="multilevel"/>
    <w:tmpl w:val="225305B5"/>
    <w:lvl w:ilvl="0">
      <w:start w:val="1"/>
      <w:numFmt w:val="bullet"/>
      <w:pStyle w:val="a"/>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0B5"/>
    <w:rsid w:val="0001436A"/>
    <w:rsid w:val="00034304"/>
    <w:rsid w:val="000343BC"/>
    <w:rsid w:val="00035434"/>
    <w:rsid w:val="00052A14"/>
    <w:rsid w:val="00077D53"/>
    <w:rsid w:val="000B3382"/>
    <w:rsid w:val="00105FD9"/>
    <w:rsid w:val="00117666"/>
    <w:rsid w:val="001549D3"/>
    <w:rsid w:val="00160065"/>
    <w:rsid w:val="00177D84"/>
    <w:rsid w:val="001A31C1"/>
    <w:rsid w:val="00267D18"/>
    <w:rsid w:val="00274347"/>
    <w:rsid w:val="002868E2"/>
    <w:rsid w:val="002869C3"/>
    <w:rsid w:val="002936E4"/>
    <w:rsid w:val="002B4A57"/>
    <w:rsid w:val="002C74CA"/>
    <w:rsid w:val="002D027A"/>
    <w:rsid w:val="003123F4"/>
    <w:rsid w:val="003544FB"/>
    <w:rsid w:val="00355544"/>
    <w:rsid w:val="00356FD2"/>
    <w:rsid w:val="003B4C27"/>
    <w:rsid w:val="003D2F2D"/>
    <w:rsid w:val="003D69F2"/>
    <w:rsid w:val="003E25AD"/>
    <w:rsid w:val="004004E7"/>
    <w:rsid w:val="00401590"/>
    <w:rsid w:val="00426BD9"/>
    <w:rsid w:val="00430BD8"/>
    <w:rsid w:val="00447801"/>
    <w:rsid w:val="00452E9C"/>
    <w:rsid w:val="004735C8"/>
    <w:rsid w:val="004947A6"/>
    <w:rsid w:val="004961FF"/>
    <w:rsid w:val="004B659C"/>
    <w:rsid w:val="004D3907"/>
    <w:rsid w:val="004F204E"/>
    <w:rsid w:val="00517A89"/>
    <w:rsid w:val="005250F2"/>
    <w:rsid w:val="0053308C"/>
    <w:rsid w:val="00566762"/>
    <w:rsid w:val="005736E7"/>
    <w:rsid w:val="00593EEA"/>
    <w:rsid w:val="005A5EEE"/>
    <w:rsid w:val="005D5A59"/>
    <w:rsid w:val="005F47E9"/>
    <w:rsid w:val="00605B92"/>
    <w:rsid w:val="006375C7"/>
    <w:rsid w:val="00654E8F"/>
    <w:rsid w:val="00660D05"/>
    <w:rsid w:val="006820B1"/>
    <w:rsid w:val="006860E1"/>
    <w:rsid w:val="006861F0"/>
    <w:rsid w:val="00687439"/>
    <w:rsid w:val="006B7D14"/>
    <w:rsid w:val="006C0E2D"/>
    <w:rsid w:val="006F4155"/>
    <w:rsid w:val="00701727"/>
    <w:rsid w:val="0070566C"/>
    <w:rsid w:val="00714C50"/>
    <w:rsid w:val="00725A7D"/>
    <w:rsid w:val="007501BE"/>
    <w:rsid w:val="00756C8A"/>
    <w:rsid w:val="007714AA"/>
    <w:rsid w:val="00790BB3"/>
    <w:rsid w:val="007C206C"/>
    <w:rsid w:val="007C6439"/>
    <w:rsid w:val="007D719E"/>
    <w:rsid w:val="00817DD6"/>
    <w:rsid w:val="0083759F"/>
    <w:rsid w:val="00873072"/>
    <w:rsid w:val="00885156"/>
    <w:rsid w:val="008E5B6F"/>
    <w:rsid w:val="00900F81"/>
    <w:rsid w:val="009151AA"/>
    <w:rsid w:val="00931CB9"/>
    <w:rsid w:val="0093429D"/>
    <w:rsid w:val="00940BB9"/>
    <w:rsid w:val="00943573"/>
    <w:rsid w:val="0096311E"/>
    <w:rsid w:val="00964134"/>
    <w:rsid w:val="00970F7D"/>
    <w:rsid w:val="00994A3D"/>
    <w:rsid w:val="009B5729"/>
    <w:rsid w:val="009C2B12"/>
    <w:rsid w:val="009F2891"/>
    <w:rsid w:val="00A174D9"/>
    <w:rsid w:val="00A65218"/>
    <w:rsid w:val="00AA4D24"/>
    <w:rsid w:val="00AB1DC0"/>
    <w:rsid w:val="00AB6715"/>
    <w:rsid w:val="00AD7276"/>
    <w:rsid w:val="00AE16C6"/>
    <w:rsid w:val="00AE2AA2"/>
    <w:rsid w:val="00AE78A4"/>
    <w:rsid w:val="00AF3B25"/>
    <w:rsid w:val="00B02E5D"/>
    <w:rsid w:val="00B1671E"/>
    <w:rsid w:val="00B16E63"/>
    <w:rsid w:val="00B25EB8"/>
    <w:rsid w:val="00B37F4D"/>
    <w:rsid w:val="00B42A92"/>
    <w:rsid w:val="00BD3F8E"/>
    <w:rsid w:val="00C22AE0"/>
    <w:rsid w:val="00C46C03"/>
    <w:rsid w:val="00C52A7B"/>
    <w:rsid w:val="00C56BAF"/>
    <w:rsid w:val="00C679AA"/>
    <w:rsid w:val="00C75972"/>
    <w:rsid w:val="00CC63BD"/>
    <w:rsid w:val="00CD066B"/>
    <w:rsid w:val="00CE4FEE"/>
    <w:rsid w:val="00D060CF"/>
    <w:rsid w:val="00DB59C3"/>
    <w:rsid w:val="00DC259A"/>
    <w:rsid w:val="00DE23E8"/>
    <w:rsid w:val="00DF0243"/>
    <w:rsid w:val="00E40F7A"/>
    <w:rsid w:val="00E52377"/>
    <w:rsid w:val="00E537AD"/>
    <w:rsid w:val="00E55E56"/>
    <w:rsid w:val="00E64E17"/>
    <w:rsid w:val="00E77113"/>
    <w:rsid w:val="00E83003"/>
    <w:rsid w:val="00E866C9"/>
    <w:rsid w:val="00EA3D3C"/>
    <w:rsid w:val="00EC090A"/>
    <w:rsid w:val="00ED20B5"/>
    <w:rsid w:val="00EF09F6"/>
    <w:rsid w:val="00F008CD"/>
    <w:rsid w:val="00F36450"/>
    <w:rsid w:val="00F46900"/>
    <w:rsid w:val="00F61D89"/>
    <w:rsid w:val="00FA3DEB"/>
    <w:rsid w:val="00FE77F8"/>
    <w:rsid w:val="03AA023F"/>
    <w:rsid w:val="0D311434"/>
    <w:rsid w:val="11D73915"/>
    <w:rsid w:val="13432D44"/>
    <w:rsid w:val="23D93629"/>
    <w:rsid w:val="2A0A6FA6"/>
    <w:rsid w:val="2EF27241"/>
    <w:rsid w:val="350B3159"/>
    <w:rsid w:val="38E20309"/>
    <w:rsid w:val="3FB71AA5"/>
    <w:rsid w:val="606078A7"/>
    <w:rsid w:val="632C54EA"/>
    <w:rsid w:val="6943417B"/>
    <w:rsid w:val="6A536EA4"/>
    <w:rsid w:val="6B6C3BC8"/>
    <w:rsid w:val="6D5713D8"/>
    <w:rsid w:val="6DD06DDF"/>
    <w:rsid w:val="7B9F6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EC2F3"/>
  <w15:docId w15:val="{F83B7BA3-320B-41B4-9A6F-DC22BB181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2" w:qFormat="1"/>
    <w:lsdException w:name="heading 2" w:uiPriority="2" w:qFormat="1"/>
    <w:lsdException w:name="heading 3" w:uiPriority="2" w:qFormat="1"/>
    <w:lsdException w:name="heading 4" w:uiPriority="2" w:qFormat="1"/>
    <w:lsdException w:name="heading 5" w:uiPriority="2"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120" w:after="240"/>
    </w:pPr>
    <w:rPr>
      <w:rFonts w:eastAsiaTheme="minorEastAsia" w:cstheme="minorBidi"/>
      <w:sz w:val="24"/>
      <w:szCs w:val="22"/>
      <w:lang w:eastAsia="en-US"/>
    </w:rPr>
  </w:style>
  <w:style w:type="paragraph" w:styleId="1">
    <w:name w:val="heading 1"/>
    <w:basedOn w:val="a"/>
    <w:next w:val="a0"/>
    <w:link w:val="10"/>
    <w:uiPriority w:val="2"/>
    <w:qFormat/>
    <w:pPr>
      <w:numPr>
        <w:numId w:val="1"/>
      </w:numPr>
      <w:spacing w:before="240"/>
      <w:contextualSpacing w:val="0"/>
      <w:outlineLvl w:val="0"/>
    </w:pPr>
    <w:rPr>
      <w:b/>
    </w:rPr>
  </w:style>
  <w:style w:type="paragraph" w:styleId="2">
    <w:name w:val="heading 2"/>
    <w:basedOn w:val="1"/>
    <w:next w:val="a0"/>
    <w:link w:val="20"/>
    <w:uiPriority w:val="2"/>
    <w:qFormat/>
    <w:pPr>
      <w:numPr>
        <w:ilvl w:val="1"/>
      </w:numPr>
      <w:spacing w:after="200"/>
      <w:outlineLvl w:val="1"/>
    </w:pPr>
  </w:style>
  <w:style w:type="paragraph" w:styleId="3">
    <w:name w:val="heading 3"/>
    <w:basedOn w:val="a0"/>
    <w:next w:val="a0"/>
    <w:link w:val="30"/>
    <w:uiPriority w:val="2"/>
    <w:qFormat/>
    <w:pPr>
      <w:keepNext/>
      <w:keepLines/>
      <w:numPr>
        <w:ilvl w:val="2"/>
        <w:numId w:val="1"/>
      </w:numPr>
      <w:spacing w:before="40" w:after="120"/>
      <w:outlineLvl w:val="2"/>
    </w:pPr>
    <w:rPr>
      <w:rFonts w:eastAsiaTheme="majorEastAsia" w:cstheme="majorBidi"/>
      <w:b/>
      <w:szCs w:val="24"/>
    </w:rPr>
  </w:style>
  <w:style w:type="paragraph" w:styleId="4">
    <w:name w:val="heading 4"/>
    <w:basedOn w:val="3"/>
    <w:next w:val="a0"/>
    <w:link w:val="40"/>
    <w:uiPriority w:val="2"/>
    <w:qFormat/>
    <w:pPr>
      <w:numPr>
        <w:ilvl w:val="3"/>
      </w:numPr>
      <w:outlineLvl w:val="3"/>
    </w:pPr>
    <w:rPr>
      <w:iCs/>
    </w:rPr>
  </w:style>
  <w:style w:type="paragraph" w:styleId="5">
    <w:name w:val="heading 5"/>
    <w:basedOn w:val="4"/>
    <w:next w:val="a0"/>
    <w:link w:val="50"/>
    <w:uiPriority w:val="2"/>
    <w:qFormat/>
    <w:pPr>
      <w:numPr>
        <w:ilvl w:val="4"/>
      </w:numPr>
      <w:outlineLvl w:val="4"/>
    </w:pPr>
  </w:style>
  <w:style w:type="paragraph" w:styleId="7">
    <w:name w:val="heading 7"/>
    <w:basedOn w:val="a0"/>
    <w:next w:val="a0"/>
    <w:link w:val="70"/>
    <w:uiPriority w:val="9"/>
    <w:unhideWhenUsed/>
    <w:qFormat/>
    <w:rsid w:val="00E77113"/>
    <w:pPr>
      <w:keepNext/>
      <w:keepLines/>
      <w:spacing w:before="240" w:after="64" w:line="320" w:lineRule="auto"/>
      <w:outlineLvl w:val="6"/>
    </w:pPr>
    <w:rPr>
      <w:rFonts w:eastAsia="Times New Roman" w:cs="宋体"/>
      <w:b/>
      <w:bCs/>
      <w:szCs w:val="24"/>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uiPriority w:val="3"/>
    <w:qFormat/>
    <w:pPr>
      <w:numPr>
        <w:numId w:val="2"/>
      </w:numPr>
      <w:contextualSpacing/>
    </w:pPr>
    <w:rPr>
      <w:rFonts w:eastAsia="Cambria" w:cs="Times New Roman"/>
      <w:szCs w:val="24"/>
    </w:rPr>
  </w:style>
  <w:style w:type="paragraph" w:styleId="a4">
    <w:name w:val="caption"/>
    <w:basedOn w:val="a0"/>
    <w:next w:val="a5"/>
    <w:uiPriority w:val="35"/>
    <w:unhideWhenUsed/>
    <w:qFormat/>
    <w:pPr>
      <w:keepNext/>
    </w:pPr>
    <w:rPr>
      <w:rFonts w:cs="Times New Roman"/>
      <w:b/>
      <w:bCs/>
      <w:szCs w:val="24"/>
    </w:rPr>
  </w:style>
  <w:style w:type="paragraph" w:styleId="a5">
    <w:name w:val="No Spacing"/>
    <w:uiPriority w:val="99"/>
    <w:unhideWhenUsed/>
    <w:qFormat/>
    <w:rPr>
      <w:rFonts w:eastAsiaTheme="minorEastAsia" w:cstheme="minorBidi"/>
      <w:sz w:val="24"/>
      <w:szCs w:val="22"/>
      <w:lang w:eastAsia="en-US"/>
    </w:rPr>
  </w:style>
  <w:style w:type="paragraph" w:styleId="a6">
    <w:name w:val="annotation text"/>
    <w:basedOn w:val="a0"/>
    <w:link w:val="a7"/>
    <w:uiPriority w:val="99"/>
    <w:semiHidden/>
    <w:unhideWhenUsed/>
    <w:qFormat/>
    <w:rPr>
      <w:sz w:val="20"/>
      <w:szCs w:val="20"/>
    </w:rPr>
  </w:style>
  <w:style w:type="paragraph" w:styleId="a8">
    <w:name w:val="endnote text"/>
    <w:basedOn w:val="a0"/>
    <w:link w:val="a9"/>
    <w:uiPriority w:val="99"/>
    <w:semiHidden/>
    <w:unhideWhenUsed/>
    <w:qFormat/>
    <w:pPr>
      <w:spacing w:after="0"/>
    </w:pPr>
    <w:rPr>
      <w:sz w:val="20"/>
      <w:szCs w:val="20"/>
    </w:rPr>
  </w:style>
  <w:style w:type="paragraph" w:styleId="aa">
    <w:name w:val="Balloon Text"/>
    <w:basedOn w:val="a0"/>
    <w:link w:val="ab"/>
    <w:uiPriority w:val="99"/>
    <w:semiHidden/>
    <w:unhideWhenUsed/>
    <w:qFormat/>
    <w:pPr>
      <w:spacing w:after="0"/>
    </w:pPr>
    <w:rPr>
      <w:rFonts w:ascii="Tahoma" w:hAnsi="Tahoma" w:cs="Tahoma"/>
      <w:sz w:val="16"/>
      <w:szCs w:val="16"/>
    </w:rPr>
  </w:style>
  <w:style w:type="paragraph" w:styleId="ac">
    <w:name w:val="footer"/>
    <w:basedOn w:val="a0"/>
    <w:link w:val="ad"/>
    <w:uiPriority w:val="99"/>
    <w:unhideWhenUsed/>
    <w:qFormat/>
    <w:pPr>
      <w:tabs>
        <w:tab w:val="center" w:pos="4844"/>
        <w:tab w:val="right" w:pos="9689"/>
      </w:tabs>
      <w:spacing w:after="0"/>
    </w:pPr>
  </w:style>
  <w:style w:type="paragraph" w:styleId="ae">
    <w:name w:val="header"/>
    <w:basedOn w:val="a0"/>
    <w:link w:val="af"/>
    <w:uiPriority w:val="99"/>
    <w:unhideWhenUsed/>
    <w:qFormat/>
    <w:pPr>
      <w:tabs>
        <w:tab w:val="center" w:pos="4844"/>
        <w:tab w:val="right" w:pos="9689"/>
      </w:tabs>
    </w:pPr>
    <w:rPr>
      <w:b/>
    </w:rPr>
  </w:style>
  <w:style w:type="paragraph" w:styleId="af0">
    <w:name w:val="Subtitle"/>
    <w:basedOn w:val="a0"/>
    <w:next w:val="a0"/>
    <w:link w:val="af1"/>
    <w:uiPriority w:val="99"/>
    <w:unhideWhenUsed/>
    <w:qFormat/>
    <w:pPr>
      <w:spacing w:before="240"/>
    </w:pPr>
    <w:rPr>
      <w:rFonts w:cs="Times New Roman"/>
      <w:b/>
      <w:szCs w:val="24"/>
    </w:rPr>
  </w:style>
  <w:style w:type="paragraph" w:styleId="af2">
    <w:name w:val="footnote text"/>
    <w:basedOn w:val="a0"/>
    <w:link w:val="af3"/>
    <w:uiPriority w:val="99"/>
    <w:semiHidden/>
    <w:unhideWhenUsed/>
    <w:qFormat/>
    <w:pPr>
      <w:spacing w:after="0"/>
    </w:pPr>
    <w:rPr>
      <w:sz w:val="20"/>
      <w:szCs w:val="20"/>
    </w:rPr>
  </w:style>
  <w:style w:type="paragraph" w:styleId="af4">
    <w:name w:val="Normal (Web)"/>
    <w:basedOn w:val="a0"/>
    <w:uiPriority w:val="99"/>
    <w:unhideWhenUsed/>
    <w:qFormat/>
    <w:pPr>
      <w:spacing w:before="100" w:beforeAutospacing="1" w:after="100" w:afterAutospacing="1"/>
    </w:pPr>
    <w:rPr>
      <w:rFonts w:eastAsia="Times New Roman" w:cs="Times New Roman"/>
      <w:szCs w:val="24"/>
    </w:rPr>
  </w:style>
  <w:style w:type="paragraph" w:styleId="af5">
    <w:name w:val="Title"/>
    <w:basedOn w:val="a0"/>
    <w:next w:val="a0"/>
    <w:link w:val="af6"/>
    <w:qFormat/>
    <w:pPr>
      <w:suppressLineNumbers/>
      <w:spacing w:before="240" w:after="360"/>
      <w:jc w:val="center"/>
    </w:pPr>
    <w:rPr>
      <w:rFonts w:cs="Times New Roman"/>
      <w:b/>
      <w:sz w:val="32"/>
      <w:szCs w:val="32"/>
    </w:rPr>
  </w:style>
  <w:style w:type="paragraph" w:styleId="af7">
    <w:name w:val="annotation subject"/>
    <w:basedOn w:val="a6"/>
    <w:next w:val="a6"/>
    <w:link w:val="af8"/>
    <w:uiPriority w:val="99"/>
    <w:semiHidden/>
    <w:unhideWhenUsed/>
    <w:qFormat/>
    <w:rPr>
      <w:b/>
      <w:bCs/>
    </w:rPr>
  </w:style>
  <w:style w:type="table" w:styleId="af9">
    <w:name w:val="Table Grid"/>
    <w:basedOn w:val="a2"/>
    <w:uiPriority w:val="59"/>
    <w:qFormat/>
    <w:rPr>
      <w:rFonts w:asciiTheme="majorHAnsi" w:hAnsiTheme="maj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uiPriority w:val="22"/>
    <w:qFormat/>
    <w:rPr>
      <w:rFonts w:ascii="Times New Roman" w:hAnsi="Times New Roman"/>
      <w:b/>
      <w:bCs/>
    </w:rPr>
  </w:style>
  <w:style w:type="character" w:styleId="afb">
    <w:name w:val="endnote reference"/>
    <w:basedOn w:val="a1"/>
    <w:uiPriority w:val="99"/>
    <w:semiHidden/>
    <w:unhideWhenUsed/>
    <w:qFormat/>
    <w:rPr>
      <w:vertAlign w:val="superscript"/>
    </w:rPr>
  </w:style>
  <w:style w:type="character" w:styleId="afc">
    <w:name w:val="FollowedHyperlink"/>
    <w:basedOn w:val="a1"/>
    <w:uiPriority w:val="99"/>
    <w:semiHidden/>
    <w:unhideWhenUsed/>
    <w:qFormat/>
    <w:rPr>
      <w:color w:val="800080" w:themeColor="followedHyperlink"/>
      <w:u w:val="single"/>
    </w:rPr>
  </w:style>
  <w:style w:type="character" w:styleId="afd">
    <w:name w:val="Emphasis"/>
    <w:basedOn w:val="a1"/>
    <w:uiPriority w:val="20"/>
    <w:qFormat/>
    <w:rPr>
      <w:rFonts w:ascii="Times New Roman" w:hAnsi="Times New Roman"/>
      <w:i/>
      <w:iCs/>
    </w:rPr>
  </w:style>
  <w:style w:type="character" w:styleId="afe">
    <w:name w:val="line number"/>
    <w:basedOn w:val="a1"/>
    <w:uiPriority w:val="99"/>
    <w:semiHidden/>
    <w:unhideWhenUsed/>
    <w:qFormat/>
  </w:style>
  <w:style w:type="character" w:styleId="aff">
    <w:name w:val="Hyperlink"/>
    <w:basedOn w:val="a1"/>
    <w:uiPriority w:val="99"/>
    <w:unhideWhenUsed/>
    <w:qFormat/>
    <w:rPr>
      <w:color w:val="0000FF"/>
      <w:u w:val="single"/>
    </w:rPr>
  </w:style>
  <w:style w:type="character" w:styleId="aff0">
    <w:name w:val="annotation reference"/>
    <w:basedOn w:val="a1"/>
    <w:uiPriority w:val="99"/>
    <w:semiHidden/>
    <w:unhideWhenUsed/>
    <w:qFormat/>
    <w:rPr>
      <w:sz w:val="16"/>
      <w:szCs w:val="16"/>
    </w:rPr>
  </w:style>
  <w:style w:type="character" w:styleId="aff1">
    <w:name w:val="footnote reference"/>
    <w:basedOn w:val="a1"/>
    <w:uiPriority w:val="99"/>
    <w:semiHidden/>
    <w:unhideWhenUsed/>
    <w:qFormat/>
    <w:rPr>
      <w:vertAlign w:val="superscript"/>
    </w:rPr>
  </w:style>
  <w:style w:type="character" w:customStyle="1" w:styleId="10">
    <w:name w:val="标题 1 字符"/>
    <w:basedOn w:val="a1"/>
    <w:link w:val="1"/>
    <w:uiPriority w:val="2"/>
    <w:qFormat/>
    <w:rPr>
      <w:rFonts w:ascii="Times New Roman" w:eastAsia="Cambria" w:hAnsi="Times New Roman" w:cs="Times New Roman"/>
      <w:b/>
      <w:sz w:val="24"/>
      <w:szCs w:val="24"/>
    </w:rPr>
  </w:style>
  <w:style w:type="character" w:customStyle="1" w:styleId="20">
    <w:name w:val="标题 2 字符"/>
    <w:basedOn w:val="a1"/>
    <w:link w:val="2"/>
    <w:uiPriority w:val="2"/>
    <w:qFormat/>
    <w:rPr>
      <w:rFonts w:ascii="Times New Roman" w:eastAsia="Cambria" w:hAnsi="Times New Roman" w:cs="Times New Roman"/>
      <w:b/>
      <w:sz w:val="24"/>
      <w:szCs w:val="24"/>
    </w:rPr>
  </w:style>
  <w:style w:type="character" w:customStyle="1" w:styleId="af1">
    <w:name w:val="副标题 字符"/>
    <w:basedOn w:val="a1"/>
    <w:link w:val="af0"/>
    <w:uiPriority w:val="99"/>
    <w:qFormat/>
    <w:rPr>
      <w:rFonts w:ascii="Times New Roman" w:hAnsi="Times New Roman" w:cs="Times New Roman"/>
      <w:b/>
      <w:sz w:val="24"/>
      <w:szCs w:val="24"/>
    </w:rPr>
  </w:style>
  <w:style w:type="paragraph" w:customStyle="1" w:styleId="AuthorList">
    <w:name w:val="Author List"/>
    <w:basedOn w:val="af0"/>
    <w:next w:val="a0"/>
    <w:uiPriority w:val="1"/>
    <w:qFormat/>
  </w:style>
  <w:style w:type="character" w:customStyle="1" w:styleId="ab">
    <w:name w:val="批注框文本 字符"/>
    <w:basedOn w:val="a1"/>
    <w:link w:val="aa"/>
    <w:uiPriority w:val="99"/>
    <w:semiHidden/>
    <w:qFormat/>
    <w:rPr>
      <w:rFonts w:ascii="Tahoma" w:hAnsi="Tahoma" w:cs="Tahoma"/>
      <w:sz w:val="16"/>
      <w:szCs w:val="16"/>
    </w:rPr>
  </w:style>
  <w:style w:type="character" w:customStyle="1" w:styleId="11">
    <w:name w:val="书籍标题1"/>
    <w:basedOn w:val="a1"/>
    <w:uiPriority w:val="33"/>
    <w:qFormat/>
    <w:rPr>
      <w:rFonts w:ascii="Times New Roman" w:hAnsi="Times New Roman"/>
      <w:b/>
      <w:bCs/>
      <w:i/>
      <w:iCs/>
      <w:spacing w:val="5"/>
    </w:rPr>
  </w:style>
  <w:style w:type="character" w:customStyle="1" w:styleId="a7">
    <w:name w:val="批注文字 字符"/>
    <w:basedOn w:val="a1"/>
    <w:link w:val="a6"/>
    <w:uiPriority w:val="99"/>
    <w:semiHidden/>
    <w:qFormat/>
    <w:rPr>
      <w:rFonts w:ascii="Times New Roman" w:hAnsi="Times New Roman"/>
      <w:sz w:val="20"/>
      <w:szCs w:val="20"/>
    </w:rPr>
  </w:style>
  <w:style w:type="character" w:customStyle="1" w:styleId="af8">
    <w:name w:val="批注主题 字符"/>
    <w:basedOn w:val="a7"/>
    <w:link w:val="af7"/>
    <w:uiPriority w:val="99"/>
    <w:semiHidden/>
    <w:qFormat/>
    <w:rPr>
      <w:rFonts w:ascii="Times New Roman" w:hAnsi="Times New Roman"/>
      <w:b/>
      <w:bCs/>
      <w:sz w:val="20"/>
      <w:szCs w:val="20"/>
    </w:rPr>
  </w:style>
  <w:style w:type="character" w:customStyle="1" w:styleId="a9">
    <w:name w:val="尾注文本 字符"/>
    <w:basedOn w:val="a1"/>
    <w:link w:val="a8"/>
    <w:uiPriority w:val="99"/>
    <w:semiHidden/>
    <w:qFormat/>
    <w:rPr>
      <w:rFonts w:ascii="Times New Roman" w:hAnsi="Times New Roman"/>
      <w:sz w:val="20"/>
      <w:szCs w:val="20"/>
    </w:rPr>
  </w:style>
  <w:style w:type="character" w:customStyle="1" w:styleId="ad">
    <w:name w:val="页脚 字符"/>
    <w:basedOn w:val="a1"/>
    <w:link w:val="ac"/>
    <w:uiPriority w:val="99"/>
    <w:qFormat/>
    <w:rPr>
      <w:rFonts w:ascii="Times New Roman" w:hAnsi="Times New Roman"/>
      <w:sz w:val="24"/>
    </w:rPr>
  </w:style>
  <w:style w:type="character" w:customStyle="1" w:styleId="af3">
    <w:name w:val="脚注文本 字符"/>
    <w:basedOn w:val="a1"/>
    <w:link w:val="af2"/>
    <w:uiPriority w:val="99"/>
    <w:semiHidden/>
    <w:qFormat/>
    <w:rPr>
      <w:rFonts w:ascii="Times New Roman" w:hAnsi="Times New Roman"/>
      <w:sz w:val="20"/>
      <w:szCs w:val="20"/>
    </w:rPr>
  </w:style>
  <w:style w:type="character" w:customStyle="1" w:styleId="af">
    <w:name w:val="页眉 字符"/>
    <w:basedOn w:val="a1"/>
    <w:link w:val="ae"/>
    <w:uiPriority w:val="99"/>
    <w:qFormat/>
    <w:rPr>
      <w:rFonts w:ascii="Times New Roman" w:hAnsi="Times New Roman"/>
      <w:b/>
      <w:sz w:val="24"/>
    </w:rPr>
  </w:style>
  <w:style w:type="character" w:customStyle="1" w:styleId="12">
    <w:name w:val="明显强调1"/>
    <w:basedOn w:val="a1"/>
    <w:uiPriority w:val="21"/>
    <w:unhideWhenUsed/>
    <w:qFormat/>
    <w:rPr>
      <w:rFonts w:ascii="Times New Roman" w:hAnsi="Times New Roman"/>
      <w:i/>
      <w:iCs/>
      <w:color w:val="auto"/>
    </w:rPr>
  </w:style>
  <w:style w:type="character" w:customStyle="1" w:styleId="13">
    <w:name w:val="明显参考1"/>
    <w:basedOn w:val="a1"/>
    <w:uiPriority w:val="32"/>
    <w:qFormat/>
    <w:rPr>
      <w:b/>
      <w:bCs/>
      <w:smallCaps/>
      <w:color w:val="auto"/>
      <w:spacing w:val="5"/>
    </w:rPr>
  </w:style>
  <w:style w:type="character" w:customStyle="1" w:styleId="30">
    <w:name w:val="标题 3 字符"/>
    <w:basedOn w:val="a1"/>
    <w:link w:val="3"/>
    <w:uiPriority w:val="2"/>
    <w:qFormat/>
    <w:rPr>
      <w:rFonts w:ascii="Times New Roman" w:eastAsiaTheme="majorEastAsia" w:hAnsi="Times New Roman" w:cstheme="majorBidi"/>
      <w:b/>
      <w:sz w:val="24"/>
      <w:szCs w:val="24"/>
    </w:rPr>
  </w:style>
  <w:style w:type="character" w:customStyle="1" w:styleId="40">
    <w:name w:val="标题 4 字符"/>
    <w:basedOn w:val="a1"/>
    <w:link w:val="4"/>
    <w:uiPriority w:val="2"/>
    <w:qFormat/>
    <w:rPr>
      <w:rFonts w:ascii="Times New Roman" w:eastAsiaTheme="majorEastAsia" w:hAnsi="Times New Roman" w:cstheme="majorBidi"/>
      <w:b/>
      <w:iCs/>
      <w:sz w:val="24"/>
      <w:szCs w:val="24"/>
    </w:rPr>
  </w:style>
  <w:style w:type="character" w:customStyle="1" w:styleId="50">
    <w:name w:val="标题 5 字符"/>
    <w:basedOn w:val="a1"/>
    <w:link w:val="5"/>
    <w:uiPriority w:val="2"/>
    <w:qFormat/>
    <w:rPr>
      <w:rFonts w:ascii="Times New Roman" w:eastAsiaTheme="majorEastAsia" w:hAnsi="Times New Roman" w:cstheme="majorBidi"/>
      <w:b/>
      <w:iCs/>
      <w:sz w:val="24"/>
      <w:szCs w:val="24"/>
    </w:rPr>
  </w:style>
  <w:style w:type="paragraph" w:styleId="aff2">
    <w:name w:val="Quote"/>
    <w:basedOn w:val="a0"/>
    <w:next w:val="a0"/>
    <w:link w:val="aff3"/>
    <w:uiPriority w:val="29"/>
    <w:qFormat/>
    <w:pPr>
      <w:spacing w:before="200" w:after="160"/>
      <w:ind w:left="864" w:right="864"/>
      <w:jc w:val="center"/>
    </w:pPr>
    <w:rPr>
      <w:i/>
      <w:iCs/>
      <w:color w:val="404040" w:themeColor="text1" w:themeTint="BF"/>
    </w:rPr>
  </w:style>
  <w:style w:type="character" w:customStyle="1" w:styleId="aff3">
    <w:name w:val="引用 字符"/>
    <w:basedOn w:val="a1"/>
    <w:link w:val="aff2"/>
    <w:uiPriority w:val="29"/>
    <w:qFormat/>
    <w:rPr>
      <w:rFonts w:ascii="Times New Roman" w:hAnsi="Times New Roman"/>
      <w:i/>
      <w:iCs/>
      <w:color w:val="404040" w:themeColor="text1" w:themeTint="BF"/>
      <w:sz w:val="24"/>
    </w:rPr>
  </w:style>
  <w:style w:type="character" w:customStyle="1" w:styleId="14">
    <w:name w:val="不明显强调1"/>
    <w:basedOn w:val="a1"/>
    <w:uiPriority w:val="19"/>
    <w:qFormat/>
    <w:rPr>
      <w:rFonts w:ascii="Times New Roman" w:hAnsi="Times New Roman"/>
      <w:i/>
      <w:iCs/>
      <w:color w:val="404040" w:themeColor="text1" w:themeTint="BF"/>
    </w:rPr>
  </w:style>
  <w:style w:type="character" w:customStyle="1" w:styleId="af6">
    <w:name w:val="标题 字符"/>
    <w:basedOn w:val="a1"/>
    <w:link w:val="af5"/>
    <w:qFormat/>
    <w:rPr>
      <w:rFonts w:ascii="Times New Roman" w:hAnsi="Times New Roman" w:cs="Times New Roman"/>
      <w:b/>
      <w:sz w:val="32"/>
      <w:szCs w:val="32"/>
    </w:rPr>
  </w:style>
  <w:style w:type="paragraph" w:customStyle="1" w:styleId="SupplementaryMaterial">
    <w:name w:val="Supplementary Material"/>
    <w:basedOn w:val="af5"/>
    <w:next w:val="af5"/>
    <w:qFormat/>
    <w:pPr>
      <w:spacing w:after="120"/>
    </w:pPr>
    <w:rPr>
      <w:i/>
    </w:rPr>
  </w:style>
  <w:style w:type="character" w:customStyle="1" w:styleId="70">
    <w:name w:val="标题 7 字符"/>
    <w:basedOn w:val="a1"/>
    <w:link w:val="7"/>
    <w:uiPriority w:val="9"/>
    <w:rsid w:val="00E77113"/>
    <w:rPr>
      <w:rFonts w:eastAsia="Times New Roman" w:cs="宋体"/>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hua.stocco\Documents\Templates\Frontiers_Word_Templates\Supplementary_Materi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EA48F8-2485-459C-B842-EA662A56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Supplementary_Material.dotx</Template>
  <TotalTime>13</TotalTime>
  <Pages>1</Pages>
  <Words>782</Words>
  <Characters>4464</Characters>
  <Application>Microsoft Office Word</Application>
  <DocSecurity>0</DocSecurity>
  <Lines>37</Lines>
  <Paragraphs>10</Paragraphs>
  <ScaleCrop>false</ScaleCrop>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Frontiers Media SA</dc:creator>
  <cp:lastModifiedBy>tttq</cp:lastModifiedBy>
  <cp:revision>60</cp:revision>
  <cp:lastPrinted>2013-10-03T12:51:00Z</cp:lastPrinted>
  <dcterms:created xsi:type="dcterms:W3CDTF">2018-11-23T08:58:00Z</dcterms:created>
  <dcterms:modified xsi:type="dcterms:W3CDTF">2022-01-08T06:45:00Z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001BFE5D4E39417E8F4E90B5AE96CFB5</vt:lpwstr>
  </property>
</Properties>
</file>