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C3EBE" w14:textId="77777777" w:rsidR="00C22D78" w:rsidRDefault="00C22D78" w:rsidP="00E03CE5">
      <w:pPr>
        <w:jc w:val="center"/>
        <w:rPr>
          <w:rFonts w:asciiTheme="minorBidi" w:hAnsiTheme="minorBidi"/>
          <w:sz w:val="30"/>
          <w:szCs w:val="30"/>
          <w:lang w:val="en-GB"/>
        </w:rPr>
      </w:pPr>
    </w:p>
    <w:p w14:paraId="31B4F105" w14:textId="308E29D6" w:rsidR="00C22D78" w:rsidRPr="00C22D78" w:rsidRDefault="00C22D78" w:rsidP="007D34F9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C22D78">
        <w:rPr>
          <w:rFonts w:ascii="Arial" w:hAnsi="Arial" w:cs="Arial"/>
          <w:b/>
          <w:bCs/>
          <w:sz w:val="24"/>
          <w:szCs w:val="24"/>
          <w:lang w:val="en-US"/>
        </w:rPr>
        <w:t>Solid Tumor Opioid Receptor Expression and Oncologic Outcomes:</w:t>
      </w:r>
    </w:p>
    <w:p w14:paraId="058F1F04" w14:textId="58E7C08C" w:rsidR="00C22D78" w:rsidRDefault="00C22D78" w:rsidP="007D34F9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C22D78">
        <w:rPr>
          <w:rFonts w:ascii="Arial" w:hAnsi="Arial" w:cs="Arial"/>
          <w:b/>
          <w:bCs/>
          <w:sz w:val="24"/>
          <w:szCs w:val="24"/>
          <w:lang w:val="en-US"/>
        </w:rPr>
        <w:t>Analysis of the Cancer Genome Atlas and Genotype Tissue Expression Project</w:t>
      </w:r>
    </w:p>
    <w:p w14:paraId="46BBE006" w14:textId="77777777" w:rsidR="007D34F9" w:rsidRPr="007D34F9" w:rsidRDefault="007D34F9" w:rsidP="007D34F9">
      <w:pPr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  <w:r w:rsidRPr="007D34F9">
        <w:rPr>
          <w:rFonts w:asciiTheme="minorBidi" w:hAnsiTheme="minorBidi"/>
          <w:b/>
          <w:bCs/>
          <w:sz w:val="24"/>
          <w:szCs w:val="24"/>
          <w:lang w:val="en-GB"/>
        </w:rPr>
        <w:t xml:space="preserve">SUPPLEMENTARY DIGITAL CONTENT </w:t>
      </w:r>
    </w:p>
    <w:p w14:paraId="0A785E07" w14:textId="77777777" w:rsidR="007D34F9" w:rsidRPr="00C22D78" w:rsidRDefault="007D34F9" w:rsidP="00C22D78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20DBDF0" w14:textId="39023F08" w:rsidR="00C22D78" w:rsidRPr="00C22D78" w:rsidRDefault="00C22D78" w:rsidP="00C22D78">
      <w:pPr>
        <w:pStyle w:val="AuthorList"/>
        <w:jc w:val="both"/>
        <w:rPr>
          <w:rFonts w:ascii="Arial" w:hAnsi="Arial" w:cs="Arial"/>
          <w:b w:val="0"/>
          <w:bCs/>
          <w:lang w:val="es-ES"/>
        </w:rPr>
      </w:pPr>
      <w:r w:rsidRPr="00C22D78">
        <w:rPr>
          <w:rFonts w:ascii="Arial" w:hAnsi="Arial" w:cs="Arial"/>
          <w:b w:val="0"/>
          <w:bCs/>
          <w:lang w:val="es-ES"/>
        </w:rPr>
        <w:t>*</w:t>
      </w:r>
      <w:proofErr w:type="spellStart"/>
      <w:r w:rsidRPr="00C22D78">
        <w:rPr>
          <w:rFonts w:ascii="Arial" w:hAnsi="Arial" w:cs="Arial"/>
          <w:b w:val="0"/>
          <w:bCs/>
          <w:lang w:val="es-ES"/>
        </w:rPr>
        <w:t>Belltall</w:t>
      </w:r>
      <w:proofErr w:type="spellEnd"/>
      <w:r w:rsidRPr="00C22D78">
        <w:rPr>
          <w:rFonts w:ascii="Arial" w:hAnsi="Arial" w:cs="Arial"/>
          <w:b w:val="0"/>
          <w:bCs/>
          <w:lang w:val="es-ES"/>
        </w:rPr>
        <w:t xml:space="preserve"> A</w:t>
      </w:r>
      <w:r w:rsidRPr="00C22D78">
        <w:rPr>
          <w:rFonts w:ascii="Arial" w:hAnsi="Arial" w:cs="Arial"/>
          <w:b w:val="0"/>
          <w:bCs/>
          <w:vertAlign w:val="superscript"/>
          <w:lang w:val="es-ES"/>
        </w:rPr>
        <w:t>1,2</w:t>
      </w:r>
      <w:r w:rsidRPr="00C22D78">
        <w:rPr>
          <w:rFonts w:ascii="Arial" w:hAnsi="Arial" w:cs="Arial"/>
          <w:b w:val="0"/>
          <w:bCs/>
          <w:lang w:val="es-ES"/>
        </w:rPr>
        <w:t>, Zúñiga</w:t>
      </w:r>
      <w:r w:rsidR="007D34F9">
        <w:rPr>
          <w:rFonts w:ascii="Arial" w:hAnsi="Arial" w:cs="Arial"/>
          <w:b w:val="0"/>
          <w:bCs/>
          <w:lang w:val="es-ES"/>
        </w:rPr>
        <w:t>-</w:t>
      </w:r>
      <w:r w:rsidRPr="00C22D78">
        <w:rPr>
          <w:rFonts w:ascii="Arial" w:hAnsi="Arial" w:cs="Arial"/>
          <w:b w:val="0"/>
          <w:bCs/>
          <w:lang w:val="es-ES"/>
        </w:rPr>
        <w:t>T</w:t>
      </w:r>
      <w:r w:rsidR="007D34F9">
        <w:rPr>
          <w:rFonts w:ascii="Arial" w:hAnsi="Arial" w:cs="Arial"/>
          <w:b w:val="0"/>
          <w:bCs/>
          <w:lang w:val="es-ES"/>
        </w:rPr>
        <w:t>rejo</w:t>
      </w:r>
      <w:r w:rsidRPr="00C22D78">
        <w:rPr>
          <w:rFonts w:ascii="Arial" w:hAnsi="Arial" w:cs="Arial"/>
          <w:b w:val="0"/>
          <w:bCs/>
          <w:lang w:val="es-ES"/>
        </w:rPr>
        <w:t>s S</w:t>
      </w:r>
      <w:r w:rsidRPr="00C22D78">
        <w:rPr>
          <w:rFonts w:ascii="Arial" w:hAnsi="Arial" w:cs="Arial"/>
          <w:b w:val="0"/>
          <w:bCs/>
          <w:vertAlign w:val="superscript"/>
          <w:lang w:val="es-ES"/>
        </w:rPr>
        <w:t>3</w:t>
      </w:r>
      <w:r w:rsidRPr="00C22D78">
        <w:rPr>
          <w:rFonts w:ascii="Arial" w:hAnsi="Arial" w:cs="Arial"/>
          <w:b w:val="0"/>
          <w:bCs/>
          <w:lang w:val="es-ES"/>
        </w:rPr>
        <w:t>, Garrido-Cano I</w:t>
      </w:r>
      <w:r w:rsidRPr="00C22D78">
        <w:rPr>
          <w:rFonts w:ascii="Arial" w:hAnsi="Arial" w:cs="Arial"/>
          <w:b w:val="0"/>
          <w:bCs/>
          <w:vertAlign w:val="superscript"/>
          <w:lang w:val="es-ES"/>
        </w:rPr>
        <w:t>4,6</w:t>
      </w:r>
      <w:r w:rsidRPr="00C22D78">
        <w:rPr>
          <w:rFonts w:ascii="Arial" w:hAnsi="Arial" w:cs="Arial"/>
          <w:b w:val="0"/>
          <w:bCs/>
          <w:lang w:val="es-ES"/>
        </w:rPr>
        <w:t xml:space="preserve">, </w:t>
      </w:r>
      <w:proofErr w:type="spellStart"/>
      <w:r w:rsidRPr="00C22D78">
        <w:rPr>
          <w:rFonts w:ascii="Arial" w:hAnsi="Arial" w:cs="Arial"/>
          <w:b w:val="0"/>
          <w:bCs/>
          <w:lang w:val="es-ES"/>
        </w:rPr>
        <w:t>Eroles</w:t>
      </w:r>
      <w:proofErr w:type="spellEnd"/>
      <w:r w:rsidRPr="00C22D78">
        <w:rPr>
          <w:rFonts w:ascii="Arial" w:hAnsi="Arial" w:cs="Arial"/>
          <w:b w:val="0"/>
          <w:bCs/>
          <w:lang w:val="es-ES"/>
        </w:rPr>
        <w:t xml:space="preserve"> P</w:t>
      </w:r>
      <w:r w:rsidRPr="00C22D78">
        <w:rPr>
          <w:rFonts w:ascii="Arial" w:hAnsi="Arial" w:cs="Arial"/>
          <w:b w:val="0"/>
          <w:bCs/>
          <w:vertAlign w:val="superscript"/>
          <w:lang w:val="es-ES"/>
        </w:rPr>
        <w:t>4,6</w:t>
      </w:r>
      <w:r w:rsidRPr="00C22D78">
        <w:rPr>
          <w:rFonts w:ascii="Arial" w:hAnsi="Arial" w:cs="Arial"/>
          <w:b w:val="0"/>
          <w:bCs/>
          <w:lang w:val="es-ES"/>
        </w:rPr>
        <w:t>, Argente</w:t>
      </w:r>
      <w:r w:rsidR="007D34F9">
        <w:rPr>
          <w:rFonts w:ascii="Arial" w:hAnsi="Arial" w:cs="Arial"/>
          <w:b w:val="0"/>
          <w:bCs/>
          <w:lang w:val="es-ES"/>
        </w:rPr>
        <w:t>-</w:t>
      </w:r>
      <w:r w:rsidRPr="00C22D78">
        <w:rPr>
          <w:rFonts w:ascii="Arial" w:hAnsi="Arial" w:cs="Arial"/>
          <w:b w:val="0"/>
          <w:bCs/>
          <w:lang w:val="es-ES"/>
        </w:rPr>
        <w:t xml:space="preserve">Navarro MP </w:t>
      </w:r>
      <w:r w:rsidRPr="00C22D78">
        <w:rPr>
          <w:rFonts w:ascii="Arial" w:hAnsi="Arial" w:cs="Arial"/>
          <w:b w:val="0"/>
          <w:bCs/>
          <w:vertAlign w:val="superscript"/>
          <w:lang w:val="es-ES"/>
        </w:rPr>
        <w:t>1,2</w:t>
      </w:r>
      <w:r w:rsidRPr="00C22D78">
        <w:rPr>
          <w:rFonts w:ascii="Arial" w:hAnsi="Arial" w:cs="Arial"/>
          <w:b w:val="0"/>
          <w:bCs/>
          <w:lang w:val="es-ES"/>
        </w:rPr>
        <w:t xml:space="preserve">, </w:t>
      </w:r>
      <w:proofErr w:type="spellStart"/>
      <w:r w:rsidRPr="00C22D78">
        <w:rPr>
          <w:rFonts w:ascii="Arial" w:hAnsi="Arial" w:cs="Arial"/>
          <w:b w:val="0"/>
          <w:bCs/>
          <w:lang w:val="es-ES"/>
        </w:rPr>
        <w:t>Buggy</w:t>
      </w:r>
      <w:proofErr w:type="spellEnd"/>
      <w:r w:rsidRPr="00C22D78">
        <w:rPr>
          <w:rFonts w:ascii="Arial" w:hAnsi="Arial" w:cs="Arial"/>
          <w:b w:val="0"/>
          <w:bCs/>
          <w:lang w:val="es-ES"/>
        </w:rPr>
        <w:t xml:space="preserve"> DJ</w:t>
      </w:r>
      <w:r w:rsidRPr="00C22D78">
        <w:rPr>
          <w:rFonts w:ascii="Arial" w:hAnsi="Arial" w:cs="Arial"/>
          <w:b w:val="0"/>
          <w:bCs/>
          <w:vertAlign w:val="superscript"/>
          <w:lang w:val="es-ES"/>
        </w:rPr>
        <w:t>5,6</w:t>
      </w:r>
      <w:r w:rsidRPr="00C22D78">
        <w:rPr>
          <w:rFonts w:ascii="Arial" w:hAnsi="Arial" w:cs="Arial"/>
          <w:b w:val="0"/>
          <w:bCs/>
          <w:lang w:val="es-ES"/>
        </w:rPr>
        <w:t>, Díaz-Cambronero O</w:t>
      </w:r>
      <w:r w:rsidRPr="00C22D78">
        <w:rPr>
          <w:rFonts w:ascii="Arial" w:hAnsi="Arial" w:cs="Arial"/>
          <w:b w:val="0"/>
          <w:bCs/>
          <w:vertAlign w:val="superscript"/>
          <w:lang w:val="es-ES"/>
        </w:rPr>
        <w:t>1,2,6</w:t>
      </w:r>
      <w:r w:rsidRPr="00C22D78">
        <w:rPr>
          <w:rFonts w:ascii="Arial" w:hAnsi="Arial" w:cs="Arial"/>
          <w:b w:val="0"/>
          <w:bCs/>
          <w:lang w:val="es-ES"/>
        </w:rPr>
        <w:t>, Mazzinari G</w:t>
      </w:r>
      <w:r w:rsidRPr="00C22D78">
        <w:rPr>
          <w:rFonts w:ascii="Arial" w:hAnsi="Arial" w:cs="Arial"/>
          <w:b w:val="0"/>
          <w:bCs/>
          <w:vertAlign w:val="superscript"/>
          <w:lang w:val="es-ES"/>
        </w:rPr>
        <w:t>1,2,6</w:t>
      </w:r>
    </w:p>
    <w:p w14:paraId="343C4833" w14:textId="77777777" w:rsidR="00C22D78" w:rsidRPr="007D34F9" w:rsidRDefault="00C22D78" w:rsidP="00C22D78">
      <w:pPr>
        <w:spacing w:line="276" w:lineRule="auto"/>
        <w:rPr>
          <w:rFonts w:ascii="Arial" w:hAnsi="Arial" w:cs="Arial"/>
          <w:sz w:val="20"/>
          <w:szCs w:val="20"/>
        </w:rPr>
      </w:pPr>
      <w:r w:rsidRPr="007D34F9">
        <w:rPr>
          <w:rFonts w:ascii="Arial" w:hAnsi="Arial" w:cs="Arial"/>
          <w:sz w:val="20"/>
          <w:szCs w:val="20"/>
          <w:vertAlign w:val="superscript"/>
        </w:rPr>
        <w:t xml:space="preserve">1 </w:t>
      </w:r>
      <w:proofErr w:type="spellStart"/>
      <w:r w:rsidRPr="007D34F9">
        <w:rPr>
          <w:rFonts w:ascii="Arial" w:hAnsi="Arial" w:cs="Arial"/>
          <w:sz w:val="20"/>
          <w:szCs w:val="20"/>
        </w:rPr>
        <w:t>Perioperative</w:t>
      </w:r>
      <w:proofErr w:type="spellEnd"/>
      <w:r w:rsidRPr="007D34F9">
        <w:rPr>
          <w:rFonts w:ascii="Arial" w:hAnsi="Arial" w:cs="Arial"/>
          <w:sz w:val="20"/>
          <w:szCs w:val="20"/>
        </w:rPr>
        <w:t xml:space="preserve"> Medicine </w:t>
      </w:r>
      <w:proofErr w:type="spellStart"/>
      <w:r w:rsidRPr="007D34F9">
        <w:rPr>
          <w:rFonts w:ascii="Arial" w:hAnsi="Arial" w:cs="Arial"/>
          <w:sz w:val="20"/>
          <w:szCs w:val="20"/>
        </w:rPr>
        <w:t>Research</w:t>
      </w:r>
      <w:proofErr w:type="spellEnd"/>
      <w:r w:rsidRPr="007D34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34F9">
        <w:rPr>
          <w:rFonts w:ascii="Arial" w:hAnsi="Arial" w:cs="Arial"/>
          <w:sz w:val="20"/>
          <w:szCs w:val="20"/>
        </w:rPr>
        <w:t>Group</w:t>
      </w:r>
      <w:proofErr w:type="spellEnd"/>
      <w:r w:rsidRPr="007D34F9">
        <w:rPr>
          <w:rFonts w:ascii="Arial" w:hAnsi="Arial" w:cs="Arial"/>
          <w:sz w:val="20"/>
          <w:szCs w:val="20"/>
        </w:rPr>
        <w:t xml:space="preserve">. Instituto de Investigación Sanitaria la Fe. Valencia, </w:t>
      </w:r>
      <w:proofErr w:type="spellStart"/>
      <w:r w:rsidRPr="007D34F9">
        <w:rPr>
          <w:rFonts w:ascii="Arial" w:hAnsi="Arial" w:cs="Arial"/>
          <w:sz w:val="20"/>
          <w:szCs w:val="20"/>
        </w:rPr>
        <w:t>Spain</w:t>
      </w:r>
      <w:proofErr w:type="spellEnd"/>
      <w:r w:rsidRPr="007D34F9">
        <w:rPr>
          <w:rFonts w:ascii="Arial" w:hAnsi="Arial" w:cs="Arial"/>
          <w:sz w:val="20"/>
          <w:szCs w:val="20"/>
        </w:rPr>
        <w:t>;</w:t>
      </w:r>
    </w:p>
    <w:p w14:paraId="07AAA638" w14:textId="77777777" w:rsidR="00C22D78" w:rsidRPr="007D34F9" w:rsidRDefault="00C22D78" w:rsidP="00C22D78">
      <w:pPr>
        <w:spacing w:line="276" w:lineRule="auto"/>
        <w:rPr>
          <w:rFonts w:ascii="Arial" w:hAnsi="Arial" w:cs="Arial"/>
          <w:sz w:val="20"/>
          <w:szCs w:val="20"/>
        </w:rPr>
      </w:pPr>
      <w:r w:rsidRPr="007D34F9">
        <w:rPr>
          <w:rFonts w:ascii="Arial" w:hAnsi="Arial" w:cs="Arial"/>
          <w:sz w:val="20"/>
          <w:szCs w:val="20"/>
          <w:vertAlign w:val="superscript"/>
        </w:rPr>
        <w:t>2</w:t>
      </w:r>
      <w:r w:rsidRPr="007D34F9">
        <w:rPr>
          <w:rFonts w:ascii="Arial" w:hAnsi="Arial" w:cs="Arial"/>
          <w:sz w:val="20"/>
          <w:szCs w:val="20"/>
        </w:rPr>
        <w:t xml:space="preserve">Departament de </w:t>
      </w:r>
      <w:proofErr w:type="spellStart"/>
      <w:r w:rsidRPr="007D34F9">
        <w:rPr>
          <w:rFonts w:ascii="Arial" w:hAnsi="Arial" w:cs="Arial"/>
          <w:sz w:val="20"/>
          <w:szCs w:val="20"/>
        </w:rPr>
        <w:t>Anesthesiology</w:t>
      </w:r>
      <w:proofErr w:type="spellEnd"/>
      <w:r w:rsidRPr="007D34F9">
        <w:rPr>
          <w:rFonts w:ascii="Arial" w:hAnsi="Arial" w:cs="Arial"/>
          <w:sz w:val="20"/>
          <w:szCs w:val="20"/>
        </w:rPr>
        <w:t xml:space="preserve">. Hospital </w:t>
      </w:r>
      <w:proofErr w:type="spellStart"/>
      <w:r w:rsidRPr="007D34F9">
        <w:rPr>
          <w:rFonts w:ascii="Arial" w:hAnsi="Arial" w:cs="Arial"/>
          <w:sz w:val="20"/>
          <w:szCs w:val="20"/>
        </w:rPr>
        <w:t>Universitari</w:t>
      </w:r>
      <w:proofErr w:type="spellEnd"/>
      <w:r w:rsidRPr="007D34F9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7D34F9">
        <w:rPr>
          <w:rFonts w:ascii="Arial" w:hAnsi="Arial" w:cs="Arial"/>
          <w:sz w:val="20"/>
          <w:szCs w:val="20"/>
        </w:rPr>
        <w:t>Politécnic</w:t>
      </w:r>
      <w:proofErr w:type="spellEnd"/>
      <w:r w:rsidRPr="007D34F9">
        <w:rPr>
          <w:rFonts w:ascii="Arial" w:hAnsi="Arial" w:cs="Arial"/>
          <w:sz w:val="20"/>
          <w:szCs w:val="20"/>
        </w:rPr>
        <w:t xml:space="preserve"> la Fe. Valencia, </w:t>
      </w:r>
      <w:proofErr w:type="spellStart"/>
      <w:r w:rsidRPr="007D34F9">
        <w:rPr>
          <w:rFonts w:ascii="Arial" w:hAnsi="Arial" w:cs="Arial"/>
          <w:sz w:val="20"/>
          <w:szCs w:val="20"/>
        </w:rPr>
        <w:t>Spain</w:t>
      </w:r>
      <w:proofErr w:type="spellEnd"/>
      <w:r w:rsidRPr="007D34F9">
        <w:rPr>
          <w:rFonts w:ascii="Arial" w:hAnsi="Arial" w:cs="Arial"/>
          <w:sz w:val="20"/>
          <w:szCs w:val="20"/>
        </w:rPr>
        <w:t>;</w:t>
      </w:r>
    </w:p>
    <w:p w14:paraId="38B77614" w14:textId="77777777" w:rsidR="00C22D78" w:rsidRPr="007D34F9" w:rsidRDefault="00C22D78" w:rsidP="00C22D78">
      <w:pPr>
        <w:spacing w:line="276" w:lineRule="auto"/>
        <w:rPr>
          <w:rFonts w:ascii="Arial" w:hAnsi="Arial" w:cs="Arial"/>
          <w:sz w:val="20"/>
          <w:szCs w:val="20"/>
        </w:rPr>
      </w:pPr>
      <w:r w:rsidRPr="007D34F9">
        <w:rPr>
          <w:rFonts w:ascii="Arial" w:hAnsi="Arial" w:cs="Arial"/>
          <w:sz w:val="20"/>
          <w:szCs w:val="20"/>
          <w:vertAlign w:val="superscript"/>
        </w:rPr>
        <w:t xml:space="preserve">3 </w:t>
      </w:r>
      <w:proofErr w:type="spellStart"/>
      <w:r w:rsidRPr="007D34F9">
        <w:rPr>
          <w:rFonts w:ascii="Arial" w:hAnsi="Arial" w:cs="Arial"/>
          <w:sz w:val="20"/>
          <w:szCs w:val="20"/>
        </w:rPr>
        <w:t>Bioinformatics</w:t>
      </w:r>
      <w:proofErr w:type="spellEnd"/>
      <w:r w:rsidRPr="007D34F9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7D34F9">
        <w:rPr>
          <w:rFonts w:ascii="Arial" w:hAnsi="Arial" w:cs="Arial"/>
          <w:sz w:val="20"/>
          <w:szCs w:val="20"/>
        </w:rPr>
        <w:t>Biostatistics</w:t>
      </w:r>
      <w:proofErr w:type="spellEnd"/>
      <w:r w:rsidRPr="007D34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34F9">
        <w:rPr>
          <w:rFonts w:ascii="Arial" w:hAnsi="Arial" w:cs="Arial"/>
          <w:sz w:val="20"/>
          <w:szCs w:val="20"/>
        </w:rPr>
        <w:t>Unit</w:t>
      </w:r>
      <w:proofErr w:type="spellEnd"/>
      <w:r w:rsidRPr="007D34F9">
        <w:rPr>
          <w:rFonts w:ascii="Arial" w:hAnsi="Arial" w:cs="Arial"/>
          <w:sz w:val="20"/>
          <w:szCs w:val="20"/>
        </w:rPr>
        <w:t xml:space="preserve">, INCLIVA </w:t>
      </w:r>
      <w:proofErr w:type="spellStart"/>
      <w:r w:rsidRPr="007D34F9">
        <w:rPr>
          <w:rFonts w:ascii="Arial" w:hAnsi="Arial" w:cs="Arial"/>
          <w:sz w:val="20"/>
          <w:szCs w:val="20"/>
        </w:rPr>
        <w:t>Biomedical</w:t>
      </w:r>
      <w:proofErr w:type="spellEnd"/>
      <w:r w:rsidRPr="007D34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34F9">
        <w:rPr>
          <w:rFonts w:ascii="Arial" w:hAnsi="Arial" w:cs="Arial"/>
          <w:sz w:val="20"/>
          <w:szCs w:val="20"/>
        </w:rPr>
        <w:t>Research</w:t>
      </w:r>
      <w:proofErr w:type="spellEnd"/>
      <w:r w:rsidRPr="007D34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34F9">
        <w:rPr>
          <w:rFonts w:ascii="Arial" w:hAnsi="Arial" w:cs="Arial"/>
          <w:sz w:val="20"/>
          <w:szCs w:val="20"/>
        </w:rPr>
        <w:t>Institute</w:t>
      </w:r>
      <w:proofErr w:type="spellEnd"/>
      <w:r w:rsidRPr="007D34F9">
        <w:rPr>
          <w:rFonts w:ascii="Arial" w:hAnsi="Arial" w:cs="Arial"/>
          <w:sz w:val="20"/>
          <w:szCs w:val="20"/>
        </w:rPr>
        <w:t xml:space="preserve">, Valencia, </w:t>
      </w:r>
      <w:proofErr w:type="spellStart"/>
      <w:r w:rsidRPr="007D34F9">
        <w:rPr>
          <w:rFonts w:ascii="Arial" w:hAnsi="Arial" w:cs="Arial"/>
          <w:sz w:val="20"/>
          <w:szCs w:val="20"/>
        </w:rPr>
        <w:t>Spain</w:t>
      </w:r>
      <w:proofErr w:type="spellEnd"/>
      <w:r w:rsidRPr="007D34F9">
        <w:rPr>
          <w:rFonts w:ascii="Arial" w:hAnsi="Arial" w:cs="Arial"/>
          <w:sz w:val="20"/>
          <w:szCs w:val="20"/>
        </w:rPr>
        <w:t>;</w:t>
      </w:r>
    </w:p>
    <w:p w14:paraId="7139BEE5" w14:textId="77777777" w:rsidR="00C22D78" w:rsidRPr="007D34F9" w:rsidRDefault="00C22D78" w:rsidP="00C22D78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7D34F9">
        <w:rPr>
          <w:rFonts w:ascii="Arial" w:hAnsi="Arial" w:cs="Arial"/>
          <w:sz w:val="20"/>
          <w:szCs w:val="20"/>
          <w:vertAlign w:val="superscript"/>
          <w:lang w:val="en-US"/>
        </w:rPr>
        <w:t xml:space="preserve">4 </w:t>
      </w:r>
      <w:r w:rsidRPr="007D34F9">
        <w:rPr>
          <w:rFonts w:ascii="Arial" w:hAnsi="Arial" w:cs="Arial"/>
          <w:sz w:val="20"/>
          <w:szCs w:val="20"/>
          <w:lang w:val="en-US"/>
        </w:rPr>
        <w:t xml:space="preserve">Breast cancer research group, Molecular and cellular </w:t>
      </w:r>
      <w:proofErr w:type="spellStart"/>
      <w:r w:rsidRPr="007D34F9">
        <w:rPr>
          <w:rFonts w:ascii="Arial" w:hAnsi="Arial" w:cs="Arial"/>
          <w:sz w:val="20"/>
          <w:szCs w:val="20"/>
          <w:lang w:val="en-US"/>
        </w:rPr>
        <w:t>Oncolgy</w:t>
      </w:r>
      <w:proofErr w:type="spellEnd"/>
      <w:r w:rsidRPr="007D34F9">
        <w:rPr>
          <w:rFonts w:ascii="Arial" w:hAnsi="Arial" w:cs="Arial"/>
          <w:sz w:val="20"/>
          <w:szCs w:val="20"/>
          <w:lang w:val="en-US"/>
        </w:rPr>
        <w:t xml:space="preserve"> unit, Biomedical Research Institute. INCLIVA. </w:t>
      </w:r>
      <w:proofErr w:type="spellStart"/>
      <w:r w:rsidRPr="007D34F9">
        <w:rPr>
          <w:rFonts w:ascii="Arial" w:hAnsi="Arial" w:cs="Arial"/>
          <w:sz w:val="20"/>
          <w:szCs w:val="20"/>
          <w:lang w:val="en-US"/>
        </w:rPr>
        <w:t>Valencia,Spain</w:t>
      </w:r>
      <w:proofErr w:type="spellEnd"/>
      <w:r w:rsidRPr="007D34F9">
        <w:rPr>
          <w:rFonts w:ascii="Arial" w:hAnsi="Arial" w:cs="Arial"/>
          <w:sz w:val="20"/>
          <w:szCs w:val="20"/>
          <w:lang w:val="en-US"/>
        </w:rPr>
        <w:t>;</w:t>
      </w:r>
    </w:p>
    <w:p w14:paraId="4F5D4B08" w14:textId="48B05792" w:rsidR="00C22D78" w:rsidRPr="007D34F9" w:rsidRDefault="00C22D78" w:rsidP="00C22D78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7D34F9">
        <w:rPr>
          <w:rFonts w:ascii="Arial" w:hAnsi="Arial" w:cs="Arial"/>
          <w:sz w:val="20"/>
          <w:szCs w:val="20"/>
          <w:vertAlign w:val="superscript"/>
          <w:lang w:val="en-US"/>
        </w:rPr>
        <w:t>5</w:t>
      </w:r>
      <w:r w:rsidRPr="007D34F9">
        <w:rPr>
          <w:rFonts w:ascii="Arial" w:hAnsi="Arial" w:cs="Arial"/>
          <w:sz w:val="20"/>
          <w:szCs w:val="20"/>
          <w:lang w:val="en-US"/>
        </w:rPr>
        <w:t xml:space="preserve">Department of </w:t>
      </w:r>
      <w:proofErr w:type="spellStart"/>
      <w:r w:rsidRPr="007D34F9">
        <w:rPr>
          <w:rFonts w:ascii="Arial" w:hAnsi="Arial" w:cs="Arial"/>
          <w:sz w:val="20"/>
          <w:szCs w:val="20"/>
          <w:lang w:val="en-US"/>
        </w:rPr>
        <w:t>Anaesthesiology</w:t>
      </w:r>
      <w:proofErr w:type="spellEnd"/>
      <w:r w:rsidRPr="007D34F9">
        <w:rPr>
          <w:rFonts w:ascii="Arial" w:hAnsi="Arial" w:cs="Arial"/>
          <w:sz w:val="20"/>
          <w:szCs w:val="20"/>
          <w:lang w:val="en-US"/>
        </w:rPr>
        <w:t xml:space="preserve"> &amp; Perioperative Medicine, Mater University Hospital, University College Dublin,</w:t>
      </w:r>
      <w:r w:rsidR="007D34F9" w:rsidRPr="007D34F9">
        <w:rPr>
          <w:rFonts w:ascii="Arial" w:hAnsi="Arial" w:cs="Arial"/>
          <w:sz w:val="20"/>
          <w:szCs w:val="20"/>
          <w:lang w:val="en-US"/>
        </w:rPr>
        <w:t xml:space="preserve"> Dublin,</w:t>
      </w:r>
      <w:r w:rsidRPr="007D34F9">
        <w:rPr>
          <w:rFonts w:ascii="Arial" w:hAnsi="Arial" w:cs="Arial"/>
          <w:sz w:val="20"/>
          <w:szCs w:val="20"/>
          <w:lang w:val="en-US"/>
        </w:rPr>
        <w:t xml:space="preserve"> Ireland;</w:t>
      </w:r>
    </w:p>
    <w:p w14:paraId="1F1F8FB1" w14:textId="6F2A0E2A" w:rsidR="00C22D78" w:rsidRPr="007D34F9" w:rsidRDefault="00C22D78" w:rsidP="007D34F9">
      <w:pPr>
        <w:spacing w:line="276" w:lineRule="auto"/>
        <w:rPr>
          <w:rFonts w:ascii="Arial" w:hAnsi="Arial" w:cs="Arial"/>
          <w:sz w:val="20"/>
          <w:szCs w:val="20"/>
          <w:vertAlign w:val="superscript"/>
          <w:lang w:val="en-US"/>
        </w:rPr>
      </w:pPr>
      <w:r w:rsidRPr="007D34F9">
        <w:rPr>
          <w:rFonts w:ascii="Arial" w:hAnsi="Arial" w:cs="Arial"/>
          <w:sz w:val="20"/>
          <w:szCs w:val="20"/>
          <w:vertAlign w:val="superscript"/>
          <w:lang w:val="en-US"/>
        </w:rPr>
        <w:t>6</w:t>
      </w:r>
      <w:r w:rsidRPr="007D34F9">
        <w:rPr>
          <w:rFonts w:ascii="Arial" w:hAnsi="Arial" w:cs="Arial"/>
          <w:sz w:val="20"/>
          <w:szCs w:val="20"/>
          <w:lang w:val="en-US"/>
        </w:rPr>
        <w:t>Euro-Periscope: The Onco-</w:t>
      </w:r>
      <w:proofErr w:type="spellStart"/>
      <w:r w:rsidRPr="007D34F9">
        <w:rPr>
          <w:rFonts w:ascii="Arial" w:hAnsi="Arial" w:cs="Arial"/>
          <w:sz w:val="20"/>
          <w:szCs w:val="20"/>
          <w:lang w:val="en-US"/>
        </w:rPr>
        <w:t>Anaesthesiology</w:t>
      </w:r>
      <w:proofErr w:type="spellEnd"/>
      <w:r w:rsidRPr="007D34F9">
        <w:rPr>
          <w:rFonts w:ascii="Arial" w:hAnsi="Arial" w:cs="Arial"/>
          <w:sz w:val="20"/>
          <w:szCs w:val="20"/>
          <w:lang w:val="en-US"/>
        </w:rPr>
        <w:t xml:space="preserve"> Research Group (RG) of European Society of </w:t>
      </w:r>
      <w:proofErr w:type="spellStart"/>
      <w:r w:rsidRPr="007D34F9">
        <w:rPr>
          <w:rFonts w:ascii="Arial" w:hAnsi="Arial" w:cs="Arial"/>
          <w:sz w:val="20"/>
          <w:szCs w:val="20"/>
          <w:lang w:val="en-US"/>
        </w:rPr>
        <w:t>Anaesthesiology</w:t>
      </w:r>
      <w:proofErr w:type="spellEnd"/>
      <w:r w:rsidRPr="007D34F9">
        <w:rPr>
          <w:rFonts w:ascii="Arial" w:hAnsi="Arial" w:cs="Arial"/>
          <w:sz w:val="20"/>
          <w:szCs w:val="20"/>
          <w:lang w:val="en-US"/>
        </w:rPr>
        <w:t xml:space="preserve"> &amp; Intensive Care (ESA-IC)</w:t>
      </w:r>
      <w:r w:rsidR="007D34F9" w:rsidRPr="007D34F9">
        <w:rPr>
          <w:rFonts w:ascii="Arial" w:hAnsi="Arial" w:cs="Arial"/>
          <w:sz w:val="20"/>
          <w:szCs w:val="20"/>
          <w:lang w:val="en-US"/>
        </w:rPr>
        <w:t>, Brussels, Belgium</w:t>
      </w:r>
    </w:p>
    <w:p w14:paraId="0A747B90" w14:textId="77777777" w:rsidR="00C22D78" w:rsidRDefault="00C22D78" w:rsidP="00E03CE5">
      <w:pPr>
        <w:jc w:val="center"/>
        <w:rPr>
          <w:rFonts w:asciiTheme="minorBidi" w:hAnsiTheme="minorBidi"/>
          <w:sz w:val="30"/>
          <w:szCs w:val="30"/>
          <w:lang w:val="en-GB"/>
        </w:rPr>
      </w:pPr>
    </w:p>
    <w:p w14:paraId="3B07FF03" w14:textId="77777777" w:rsidR="00E03CE5" w:rsidRPr="00E03CE5" w:rsidRDefault="00E03CE5" w:rsidP="00D15CB3">
      <w:pPr>
        <w:jc w:val="center"/>
        <w:rPr>
          <w:rFonts w:asciiTheme="minorBidi" w:hAnsiTheme="minorBidi"/>
          <w:bCs/>
          <w:lang w:val="en-GB"/>
        </w:rPr>
      </w:pPr>
    </w:p>
    <w:p w14:paraId="5A8BF909" w14:textId="77777777" w:rsidR="00E03CE5" w:rsidRPr="00D15CB3" w:rsidRDefault="00E03CE5" w:rsidP="00E03CE5">
      <w:pPr>
        <w:pStyle w:val="Listavistosa-nfasis11"/>
        <w:jc w:val="center"/>
        <w:rPr>
          <w:rFonts w:ascii="Arial" w:hAnsi="Arial"/>
          <w:iCs/>
          <w:lang w:val="en-GB"/>
        </w:rPr>
        <w:sectPr w:rsidR="00E03CE5" w:rsidRPr="00D15CB3" w:rsidSect="00E03CE5"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eGrid"/>
        <w:tblW w:w="16302" w:type="dxa"/>
        <w:tblInd w:w="-289" w:type="dxa"/>
        <w:tblLook w:val="04A0" w:firstRow="1" w:lastRow="0" w:firstColumn="1" w:lastColumn="0" w:noHBand="0" w:noVBand="1"/>
      </w:tblPr>
      <w:tblGrid>
        <w:gridCol w:w="3686"/>
        <w:gridCol w:w="1751"/>
        <w:gridCol w:w="1324"/>
        <w:gridCol w:w="2020"/>
        <w:gridCol w:w="3853"/>
        <w:gridCol w:w="3668"/>
      </w:tblGrid>
      <w:tr w:rsidR="00BB52B0" w:rsidRPr="007D34F9" w14:paraId="709A80F8" w14:textId="77777777" w:rsidTr="00D34121">
        <w:tc>
          <w:tcPr>
            <w:tcW w:w="16302" w:type="dxa"/>
            <w:gridSpan w:val="6"/>
            <w:vAlign w:val="center"/>
          </w:tcPr>
          <w:p w14:paraId="7FAB7AFF" w14:textId="77777777" w:rsidR="00BB52B0" w:rsidRPr="00BB52B0" w:rsidRDefault="00BB52B0" w:rsidP="00D34121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B52B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lastRenderedPageBreak/>
              <w:t>eTable</w:t>
            </w:r>
            <w:proofErr w:type="spellEnd"/>
            <w:r w:rsidRPr="00BB52B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1. </w:t>
            </w:r>
            <w:r w:rsidRPr="00BB52B0">
              <w:rPr>
                <w:rFonts w:ascii="Arial" w:hAnsi="Arial" w:cs="Arial"/>
                <w:sz w:val="24"/>
                <w:szCs w:val="24"/>
                <w:lang w:val="en-US"/>
              </w:rPr>
              <w:t>Overview of previous studies on MOR expression in different type of cancers</w:t>
            </w:r>
          </w:p>
        </w:tc>
      </w:tr>
      <w:tr w:rsidR="00BB52B0" w:rsidRPr="0023293D" w14:paraId="1D1A6DB4" w14:textId="77777777" w:rsidTr="00D34121">
        <w:trPr>
          <w:trHeight w:val="340"/>
        </w:trPr>
        <w:tc>
          <w:tcPr>
            <w:tcW w:w="3686" w:type="dxa"/>
            <w:vAlign w:val="center"/>
          </w:tcPr>
          <w:p w14:paraId="72529F81" w14:textId="77777777" w:rsidR="00BB52B0" w:rsidRPr="0023293D" w:rsidRDefault="00BB52B0" w:rsidP="00D3412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23293D">
              <w:rPr>
                <w:rFonts w:ascii="Arial" w:hAnsi="Arial" w:cs="Arial"/>
                <w:b/>
                <w:bCs/>
                <w:sz w:val="24"/>
                <w:szCs w:val="24"/>
              </w:rPr>
              <w:t>Study</w:t>
            </w:r>
            <w:proofErr w:type="spellEnd"/>
          </w:p>
        </w:tc>
        <w:tc>
          <w:tcPr>
            <w:tcW w:w="1751" w:type="dxa"/>
            <w:vAlign w:val="center"/>
          </w:tcPr>
          <w:p w14:paraId="66BE09FA" w14:textId="77777777" w:rsidR="00BB52B0" w:rsidRPr="0023293D" w:rsidRDefault="00BB52B0" w:rsidP="00D3412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23293D">
              <w:rPr>
                <w:rFonts w:ascii="Arial" w:hAnsi="Arial" w:cs="Arial"/>
                <w:b/>
                <w:bCs/>
                <w:sz w:val="24"/>
                <w:szCs w:val="24"/>
              </w:rPr>
              <w:t>Study</w:t>
            </w:r>
            <w:proofErr w:type="spellEnd"/>
            <w:r w:rsidRPr="002329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293D">
              <w:rPr>
                <w:rFonts w:ascii="Arial" w:hAnsi="Arial" w:cs="Arial"/>
                <w:b/>
                <w:bCs/>
                <w:sz w:val="24"/>
                <w:szCs w:val="24"/>
              </w:rPr>
              <w:t>Population</w:t>
            </w:r>
            <w:proofErr w:type="spellEnd"/>
          </w:p>
        </w:tc>
        <w:tc>
          <w:tcPr>
            <w:tcW w:w="1324" w:type="dxa"/>
            <w:vAlign w:val="center"/>
          </w:tcPr>
          <w:p w14:paraId="2391AE3D" w14:textId="77777777" w:rsidR="00BB52B0" w:rsidRPr="0023293D" w:rsidRDefault="00BB52B0" w:rsidP="00D3412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293D">
              <w:rPr>
                <w:rFonts w:ascii="Arial" w:hAnsi="Arial" w:cs="Arial"/>
                <w:b/>
                <w:bCs/>
                <w:sz w:val="24"/>
                <w:szCs w:val="24"/>
              </w:rPr>
              <w:t>Cell culture</w:t>
            </w:r>
          </w:p>
        </w:tc>
        <w:tc>
          <w:tcPr>
            <w:tcW w:w="2020" w:type="dxa"/>
            <w:vAlign w:val="center"/>
          </w:tcPr>
          <w:p w14:paraId="26D61BA6" w14:textId="77777777" w:rsidR="00BB52B0" w:rsidRPr="0023293D" w:rsidRDefault="00BB52B0" w:rsidP="00D3412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29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Control </w:t>
            </w:r>
            <w:proofErr w:type="spellStart"/>
            <w:r w:rsidRPr="0023293D">
              <w:rPr>
                <w:rFonts w:ascii="Arial" w:hAnsi="Arial" w:cs="Arial"/>
                <w:b/>
                <w:bCs/>
                <w:sz w:val="24"/>
                <w:szCs w:val="24"/>
              </w:rPr>
              <w:t>type</w:t>
            </w:r>
            <w:proofErr w:type="spellEnd"/>
          </w:p>
        </w:tc>
        <w:tc>
          <w:tcPr>
            <w:tcW w:w="3853" w:type="dxa"/>
            <w:vAlign w:val="center"/>
          </w:tcPr>
          <w:p w14:paraId="7EEF7FB3" w14:textId="77777777" w:rsidR="00BB52B0" w:rsidRPr="0023293D" w:rsidRDefault="00BB52B0" w:rsidP="00D3412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29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IHC </w:t>
            </w:r>
            <w:proofErr w:type="spellStart"/>
            <w:r w:rsidRPr="0023293D">
              <w:rPr>
                <w:rFonts w:ascii="Arial" w:hAnsi="Arial" w:cs="Arial"/>
                <w:b/>
                <w:bCs/>
                <w:sz w:val="24"/>
                <w:szCs w:val="24"/>
              </w:rPr>
              <w:t>technique</w:t>
            </w:r>
            <w:proofErr w:type="spellEnd"/>
          </w:p>
        </w:tc>
        <w:tc>
          <w:tcPr>
            <w:tcW w:w="3668" w:type="dxa"/>
            <w:vAlign w:val="center"/>
          </w:tcPr>
          <w:p w14:paraId="4502F269" w14:textId="77777777" w:rsidR="00BB52B0" w:rsidRPr="0023293D" w:rsidRDefault="00BB52B0" w:rsidP="00D3412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29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PCR </w:t>
            </w:r>
            <w:proofErr w:type="spellStart"/>
            <w:r w:rsidRPr="0023293D">
              <w:rPr>
                <w:rFonts w:ascii="Arial" w:hAnsi="Arial" w:cs="Arial"/>
                <w:b/>
                <w:bCs/>
                <w:sz w:val="24"/>
                <w:szCs w:val="24"/>
              </w:rPr>
              <w:t>Technique</w:t>
            </w:r>
            <w:proofErr w:type="spellEnd"/>
          </w:p>
        </w:tc>
      </w:tr>
      <w:tr w:rsidR="00BB52B0" w:rsidRPr="007D34F9" w14:paraId="38AD27B3" w14:textId="77777777" w:rsidTr="00D34121">
        <w:tc>
          <w:tcPr>
            <w:tcW w:w="3686" w:type="dxa"/>
            <w:vAlign w:val="center"/>
          </w:tcPr>
          <w:p w14:paraId="19EF57C7" w14:textId="6E3E63CC" w:rsidR="00BB52B0" w:rsidRPr="00667A27" w:rsidRDefault="00EA549D" w:rsidP="00D3412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aink">
                  <w:drawing>
                    <wp:anchor distT="0" distB="0" distL="114300" distR="114300" simplePos="0" relativeHeight="251659264" behindDoc="0" locked="0" layoutInCell="1" allowOverlap="1" wp14:anchorId="6A87753B" wp14:editId="06257253">
                      <wp:simplePos x="0" y="0"/>
                      <wp:positionH relativeFrom="column">
                        <wp:posOffset>610988</wp:posOffset>
                      </wp:positionH>
                      <wp:positionV relativeFrom="paragraph">
                        <wp:posOffset>376569</wp:posOffset>
                      </wp:positionV>
                      <wp:extent cx="360" cy="360"/>
                      <wp:effectExtent l="38100" t="25400" r="25400" b="38100"/>
                      <wp:wrapNone/>
                      <wp:docPr id="2" name="Entrada de lápiz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59264" behindDoc="0" locked="0" layoutInCell="1" allowOverlap="1" wp14:anchorId="6A87753B" wp14:editId="06257253">
                      <wp:simplePos x="0" y="0"/>
                      <wp:positionH relativeFrom="column">
                        <wp:posOffset>610988</wp:posOffset>
                      </wp:positionH>
                      <wp:positionV relativeFrom="paragraph">
                        <wp:posOffset>376569</wp:posOffset>
                      </wp:positionV>
                      <wp:extent cx="360" cy="360"/>
                      <wp:effectExtent l="38100" t="25400" r="25400" b="38100"/>
                      <wp:wrapNone/>
                      <wp:docPr id="2" name="Entrada de lápiz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Entrada de lápiz 2"/>
                              <pic:cNvPicPr/>
                            </pic:nvPicPr>
                            <pic:blipFill>
                              <a:blip r:embed="rId1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proofErr w:type="spellStart"/>
            <w:r w:rsidR="00BB52B0" w:rsidRPr="00667A2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Montagna</w:t>
            </w:r>
            <w:proofErr w:type="spellEnd"/>
            <w:r w:rsidR="00BB52B0" w:rsidRPr="00667A2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(2020)</w:t>
            </w:r>
          </w:p>
          <w:p w14:paraId="0E07286A" w14:textId="77777777" w:rsidR="00BB52B0" w:rsidRPr="00667A27" w:rsidRDefault="00BB52B0" w:rsidP="00D3412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67A2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British Journal of </w:t>
            </w:r>
            <w:proofErr w:type="spellStart"/>
            <w:r w:rsidRPr="00667A2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Anaesthesia</w:t>
            </w:r>
            <w:proofErr w:type="spellEnd"/>
          </w:p>
          <w:p w14:paraId="43A62A0C" w14:textId="77777777" w:rsidR="00BB52B0" w:rsidRPr="00667A27" w:rsidRDefault="00BB52B0" w:rsidP="00D3412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67A2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DOI: 10.1016/j.bja.2020.10.021</w:t>
            </w:r>
          </w:p>
          <w:p w14:paraId="58A7E965" w14:textId="77777777" w:rsidR="00BB52B0" w:rsidRPr="00BB52B0" w:rsidRDefault="00BB52B0" w:rsidP="00D34121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51" w:type="dxa"/>
            <w:vAlign w:val="center"/>
          </w:tcPr>
          <w:p w14:paraId="3CB1BC21" w14:textId="77777777" w:rsidR="00BB52B0" w:rsidRPr="00BB52B0" w:rsidRDefault="00BB52B0" w:rsidP="00D34121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52B0">
              <w:rPr>
                <w:rFonts w:ascii="Arial" w:hAnsi="Arial" w:cs="Arial"/>
                <w:sz w:val="24"/>
                <w:szCs w:val="24"/>
                <w:lang w:val="en-US"/>
              </w:rPr>
              <w:t>Stage I to III triple negative breast cancer</w:t>
            </w:r>
          </w:p>
        </w:tc>
        <w:tc>
          <w:tcPr>
            <w:tcW w:w="1324" w:type="dxa"/>
            <w:vAlign w:val="center"/>
          </w:tcPr>
          <w:p w14:paraId="098B222C" w14:textId="77777777" w:rsidR="00BB52B0" w:rsidRPr="00BB52B0" w:rsidRDefault="00BB52B0" w:rsidP="00D34121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52B0">
              <w:rPr>
                <w:rFonts w:ascii="Arial" w:hAnsi="Arial" w:cs="Arial"/>
                <w:sz w:val="24"/>
                <w:szCs w:val="24"/>
                <w:lang w:val="en-US"/>
              </w:rPr>
              <w:t>Samples from Cancer Genome Atlas</w:t>
            </w:r>
          </w:p>
        </w:tc>
        <w:tc>
          <w:tcPr>
            <w:tcW w:w="2020" w:type="dxa"/>
            <w:vAlign w:val="center"/>
          </w:tcPr>
          <w:p w14:paraId="39AA9FD7" w14:textId="77777777" w:rsidR="00BB52B0" w:rsidRPr="00BB52B0" w:rsidRDefault="00BB52B0" w:rsidP="00D34121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52B0">
              <w:rPr>
                <w:rFonts w:ascii="Arial" w:hAnsi="Arial" w:cs="Arial"/>
                <w:sz w:val="24"/>
                <w:szCs w:val="24"/>
                <w:lang w:val="en-US"/>
              </w:rPr>
              <w:t>Normal breast tissue (supposedly form the TCGA)</w:t>
            </w:r>
          </w:p>
        </w:tc>
        <w:tc>
          <w:tcPr>
            <w:tcW w:w="3853" w:type="dxa"/>
            <w:vAlign w:val="center"/>
          </w:tcPr>
          <w:p w14:paraId="61C2DB3D" w14:textId="77777777" w:rsidR="00BB52B0" w:rsidRPr="00BB52B0" w:rsidRDefault="00BB52B0" w:rsidP="00D3412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68" w:type="dxa"/>
            <w:vAlign w:val="center"/>
          </w:tcPr>
          <w:p w14:paraId="0B618EBA" w14:textId="52ACAB1E" w:rsidR="00BB52B0" w:rsidRPr="00BB52B0" w:rsidRDefault="00BB52B0" w:rsidP="00D3412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52B0">
              <w:rPr>
                <w:rFonts w:ascii="Arial" w:hAnsi="Arial" w:cs="Arial"/>
                <w:sz w:val="24"/>
                <w:szCs w:val="24"/>
                <w:lang w:val="en-US"/>
              </w:rPr>
              <w:t xml:space="preserve">To assess cellular-level expression of the opioid receptor in specific cell types in the TME, a single-cell RNA-seq data set produced by </w:t>
            </w:r>
            <w:proofErr w:type="spellStart"/>
            <w:r w:rsidRPr="00BB52B0">
              <w:rPr>
                <w:rFonts w:ascii="Arial" w:hAnsi="Arial" w:cs="Arial"/>
                <w:sz w:val="24"/>
                <w:szCs w:val="24"/>
                <w:lang w:val="en-US"/>
              </w:rPr>
              <w:t>Karaayvaz</w:t>
            </w:r>
            <w:proofErr w:type="spellEnd"/>
            <w:r w:rsidRPr="00BB52B0">
              <w:rPr>
                <w:rFonts w:ascii="Arial" w:hAnsi="Arial" w:cs="Arial"/>
                <w:sz w:val="24"/>
                <w:szCs w:val="24"/>
                <w:lang w:val="en-US"/>
              </w:rPr>
              <w:t xml:space="preserve"> and colleagues was used, and 1112 clustered cells from primary TNBC </w:t>
            </w:r>
            <w:proofErr w:type="spellStart"/>
            <w:r w:rsidRPr="00BB52B0">
              <w:rPr>
                <w:rFonts w:ascii="Arial" w:hAnsi="Arial" w:cs="Arial"/>
                <w:sz w:val="24"/>
                <w:szCs w:val="24"/>
                <w:lang w:val="en-US"/>
              </w:rPr>
              <w:t>tumours</w:t>
            </w:r>
            <w:proofErr w:type="spellEnd"/>
            <w:r w:rsidRPr="00BB52B0">
              <w:rPr>
                <w:rFonts w:ascii="Arial" w:hAnsi="Arial" w:cs="Arial"/>
                <w:sz w:val="24"/>
                <w:szCs w:val="24"/>
                <w:lang w:val="en-US"/>
              </w:rPr>
              <w:t xml:space="preserve"> were </w:t>
            </w:r>
            <w:proofErr w:type="spellStart"/>
            <w:r w:rsidRPr="00BB52B0">
              <w:rPr>
                <w:rFonts w:ascii="Arial" w:hAnsi="Arial" w:cs="Arial"/>
                <w:sz w:val="24"/>
                <w:szCs w:val="24"/>
                <w:lang w:val="en-US"/>
              </w:rPr>
              <w:t>analysed</w:t>
            </w:r>
            <w:proofErr w:type="spellEnd"/>
            <w:r w:rsidRPr="00BB52B0">
              <w:rPr>
                <w:rFonts w:ascii="Arial" w:hAnsi="Arial" w:cs="Arial"/>
                <w:sz w:val="24"/>
                <w:szCs w:val="24"/>
                <w:lang w:val="en-US"/>
              </w:rPr>
              <w:t>. Expression data for the specific genes of interest were extracted from the processed data therein (</w:t>
            </w:r>
            <w:proofErr w:type="spellStart"/>
            <w:r w:rsidRPr="00BB52B0">
              <w:rPr>
                <w:rFonts w:ascii="Arial" w:hAnsi="Arial" w:cs="Arial"/>
                <w:sz w:val="24"/>
                <w:szCs w:val="24"/>
                <w:lang w:val="en-US"/>
              </w:rPr>
              <w:t>wich</w:t>
            </w:r>
            <w:proofErr w:type="spellEnd"/>
            <w:r w:rsidRPr="00BB52B0">
              <w:rPr>
                <w:rFonts w:ascii="Arial" w:hAnsi="Arial" w:cs="Arial"/>
                <w:sz w:val="24"/>
                <w:szCs w:val="24"/>
                <w:lang w:val="en-US"/>
              </w:rPr>
              <w:t xml:space="preserve"> were therefore already </w:t>
            </w:r>
            <w:proofErr w:type="spellStart"/>
            <w:r w:rsidRPr="00BB52B0">
              <w:rPr>
                <w:rFonts w:ascii="Arial" w:hAnsi="Arial" w:cs="Arial"/>
                <w:sz w:val="24"/>
                <w:szCs w:val="24"/>
                <w:lang w:val="en-US"/>
              </w:rPr>
              <w:t>normalised</w:t>
            </w:r>
            <w:proofErr w:type="spellEnd"/>
            <w:r w:rsidRPr="00BB52B0">
              <w:rPr>
                <w:rFonts w:ascii="Arial" w:hAnsi="Arial" w:cs="Arial"/>
                <w:sz w:val="24"/>
                <w:szCs w:val="24"/>
                <w:lang w:val="en-US"/>
              </w:rPr>
              <w:t xml:space="preserve"> and log2-transformed as described in step 2 of their methodology, see </w:t>
            </w:r>
            <w:r w:rsidR="007D34F9" w:rsidRPr="00BB52B0">
              <w:rPr>
                <w:rFonts w:ascii="Arial" w:hAnsi="Arial" w:cs="Arial"/>
                <w:sz w:val="24"/>
                <w:szCs w:val="24"/>
                <w:lang w:val="en-US"/>
              </w:rPr>
              <w:t>Supplementary</w:t>
            </w:r>
            <w:r w:rsidRPr="00BB52B0">
              <w:rPr>
                <w:rFonts w:ascii="Arial" w:hAnsi="Arial" w:cs="Arial"/>
                <w:sz w:val="24"/>
                <w:szCs w:val="24"/>
                <w:lang w:val="en-US"/>
              </w:rPr>
              <w:t xml:space="preserve"> material of </w:t>
            </w:r>
            <w:proofErr w:type="spellStart"/>
            <w:r w:rsidRPr="00BB52B0">
              <w:rPr>
                <w:rFonts w:ascii="Arial" w:hAnsi="Arial" w:cs="Arial"/>
                <w:sz w:val="24"/>
                <w:szCs w:val="24"/>
                <w:lang w:val="en-US"/>
              </w:rPr>
              <w:t>Karaayvaz</w:t>
            </w:r>
            <w:proofErr w:type="spellEnd"/>
            <w:r w:rsidRPr="00BB52B0">
              <w:rPr>
                <w:rFonts w:ascii="Arial" w:hAnsi="Arial" w:cs="Arial"/>
                <w:sz w:val="24"/>
                <w:szCs w:val="24"/>
                <w:lang w:val="en-US"/>
              </w:rPr>
              <w:t xml:space="preserve"> colleagues).</w:t>
            </w:r>
          </w:p>
        </w:tc>
      </w:tr>
      <w:tr w:rsidR="00BB52B0" w:rsidRPr="007D34F9" w14:paraId="2B2342A6" w14:textId="77777777" w:rsidTr="00D34121">
        <w:tc>
          <w:tcPr>
            <w:tcW w:w="3686" w:type="dxa"/>
            <w:vAlign w:val="center"/>
          </w:tcPr>
          <w:p w14:paraId="65D8C55B" w14:textId="77777777" w:rsidR="00BB52B0" w:rsidRPr="00970EBB" w:rsidRDefault="00BB52B0" w:rsidP="00D3412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0EBB">
              <w:rPr>
                <w:rFonts w:ascii="Arial" w:hAnsi="Arial" w:cs="Arial"/>
                <w:b/>
                <w:bCs/>
                <w:sz w:val="24"/>
                <w:szCs w:val="24"/>
              </w:rPr>
              <w:t>Diaz–Cambronero (2020)</w:t>
            </w:r>
          </w:p>
          <w:p w14:paraId="48183143" w14:textId="77777777" w:rsidR="00BB52B0" w:rsidRPr="00970EBB" w:rsidRDefault="00BB52B0" w:rsidP="00D3412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970EBB">
              <w:rPr>
                <w:rFonts w:ascii="Arial" w:hAnsi="Arial" w:cs="Arial"/>
                <w:b/>
                <w:bCs/>
                <w:sz w:val="24"/>
                <w:szCs w:val="24"/>
              </w:rPr>
              <w:t>Cancers</w:t>
            </w:r>
            <w:proofErr w:type="spellEnd"/>
          </w:p>
          <w:p w14:paraId="6326C52F" w14:textId="77777777" w:rsidR="00BB52B0" w:rsidRPr="0023293D" w:rsidRDefault="00BB52B0" w:rsidP="00D34121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EBB">
              <w:rPr>
                <w:rFonts w:ascii="Arial" w:hAnsi="Arial" w:cs="Arial"/>
                <w:b/>
                <w:bCs/>
                <w:sz w:val="24"/>
                <w:szCs w:val="24"/>
              </w:rPr>
              <w:t>DOI: 10.3390/cancers12010134</w:t>
            </w:r>
          </w:p>
        </w:tc>
        <w:tc>
          <w:tcPr>
            <w:tcW w:w="1751" w:type="dxa"/>
            <w:vAlign w:val="center"/>
          </w:tcPr>
          <w:p w14:paraId="616780DA" w14:textId="77777777" w:rsidR="00BB52B0" w:rsidRPr="00621ADE" w:rsidRDefault="00BB52B0" w:rsidP="00D34121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1ADE">
              <w:rPr>
                <w:rFonts w:ascii="Arial" w:hAnsi="Arial" w:cs="Arial"/>
                <w:sz w:val="24"/>
                <w:szCs w:val="24"/>
                <w:lang w:val="en-US"/>
              </w:rPr>
              <w:t>Stage II to III</w:t>
            </w:r>
          </w:p>
          <w:p w14:paraId="5AC710CC" w14:textId="77777777" w:rsidR="00BB52B0" w:rsidRPr="00621ADE" w:rsidRDefault="00BB52B0" w:rsidP="00D34121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1ADE">
              <w:rPr>
                <w:rFonts w:ascii="Arial" w:hAnsi="Arial" w:cs="Arial"/>
                <w:sz w:val="24"/>
                <w:szCs w:val="24"/>
                <w:lang w:val="en-US"/>
              </w:rPr>
              <w:t>Colorectal cancer</w:t>
            </w:r>
          </w:p>
        </w:tc>
        <w:tc>
          <w:tcPr>
            <w:tcW w:w="1324" w:type="dxa"/>
            <w:vAlign w:val="center"/>
          </w:tcPr>
          <w:p w14:paraId="21DC47A4" w14:textId="77777777" w:rsidR="00BB52B0" w:rsidRPr="0023293D" w:rsidRDefault="00BB52B0" w:rsidP="00D34121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None</w:t>
            </w:r>
            <w:proofErr w:type="spellEnd"/>
          </w:p>
        </w:tc>
        <w:tc>
          <w:tcPr>
            <w:tcW w:w="2020" w:type="dxa"/>
            <w:vAlign w:val="center"/>
          </w:tcPr>
          <w:p w14:paraId="1AB516C7" w14:textId="77777777" w:rsidR="00BB52B0" w:rsidRPr="00BB52B0" w:rsidRDefault="00BB52B0" w:rsidP="00D34121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52B0">
              <w:rPr>
                <w:rFonts w:ascii="Arial" w:hAnsi="Arial" w:cs="Arial"/>
                <w:sz w:val="24"/>
                <w:szCs w:val="24"/>
                <w:lang w:val="en-US"/>
              </w:rPr>
              <w:t>Corresponding non–tumor tissue samples</w:t>
            </w:r>
          </w:p>
        </w:tc>
        <w:tc>
          <w:tcPr>
            <w:tcW w:w="3853" w:type="dxa"/>
            <w:vAlign w:val="center"/>
          </w:tcPr>
          <w:p w14:paraId="30378C9D" w14:textId="77777777" w:rsidR="00BB52B0" w:rsidRPr="00BB52B0" w:rsidRDefault="00BB52B0" w:rsidP="00D3412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52B0">
              <w:rPr>
                <w:rFonts w:ascii="Arial" w:hAnsi="Arial" w:cs="Arial"/>
                <w:sz w:val="24"/>
                <w:szCs w:val="24"/>
                <w:lang w:val="en-US"/>
              </w:rPr>
              <w:t xml:space="preserve">Sections were heated in an Envision Flex </w:t>
            </w:r>
            <w:proofErr w:type="spellStart"/>
            <w:r w:rsidRPr="00BB52B0">
              <w:rPr>
                <w:rFonts w:ascii="Arial" w:hAnsi="Arial" w:cs="Arial"/>
                <w:sz w:val="24"/>
                <w:szCs w:val="24"/>
                <w:lang w:val="en-US"/>
              </w:rPr>
              <w:t>bu</w:t>
            </w:r>
            <w:proofErr w:type="spellEnd"/>
            <w:r w:rsidRPr="00BB52B0">
              <w:rPr>
                <w:rFonts w:ascii="Arial" w:hAnsi="Arial" w:cs="Arial"/>
                <w:sz w:val="24"/>
                <w:szCs w:val="24"/>
                <w:lang w:val="en-US"/>
              </w:rPr>
              <w:br/>
              <w:t>er (pH = 9) for 20 min and incubated for 30 min at room temperature with a mouse monoclonal MOR-1 antibody (1:100) (Acris®).</w:t>
            </w:r>
          </w:p>
        </w:tc>
        <w:tc>
          <w:tcPr>
            <w:tcW w:w="3668" w:type="dxa"/>
            <w:vAlign w:val="center"/>
          </w:tcPr>
          <w:p w14:paraId="5E1A1EFA" w14:textId="77777777" w:rsidR="00BB52B0" w:rsidRPr="00BB52B0" w:rsidRDefault="00BB52B0" w:rsidP="00D3412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B52B0" w:rsidRPr="007D34F9" w14:paraId="5849318E" w14:textId="77777777" w:rsidTr="00D34121">
        <w:tc>
          <w:tcPr>
            <w:tcW w:w="3686" w:type="dxa"/>
            <w:vAlign w:val="center"/>
          </w:tcPr>
          <w:p w14:paraId="02C0AE61" w14:textId="77777777" w:rsidR="00BB52B0" w:rsidRPr="00970EBB" w:rsidRDefault="00BB52B0" w:rsidP="00D3412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70EB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Nylund</w:t>
            </w:r>
            <w:proofErr w:type="spellEnd"/>
            <w:r w:rsidRPr="00970EB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(2008)</w:t>
            </w:r>
          </w:p>
          <w:p w14:paraId="34EE6B13" w14:textId="77777777" w:rsidR="00BB52B0" w:rsidRPr="00970EBB" w:rsidRDefault="00BB52B0" w:rsidP="00D3412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970EB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Digestive Diseases and Science</w:t>
            </w:r>
          </w:p>
          <w:p w14:paraId="398E7559" w14:textId="6480592F" w:rsidR="00BB52B0" w:rsidRPr="00BB52B0" w:rsidRDefault="00BB52B0" w:rsidP="00D34121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70EB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DOI:</w:t>
            </w:r>
            <w:r w:rsidR="00970EBB" w:rsidRPr="00970EB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70EB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10.1007/s10620-007-9897-y</w:t>
            </w:r>
          </w:p>
        </w:tc>
        <w:tc>
          <w:tcPr>
            <w:tcW w:w="1751" w:type="dxa"/>
            <w:vAlign w:val="center"/>
          </w:tcPr>
          <w:p w14:paraId="29389FB7" w14:textId="77777777" w:rsidR="00BB52B0" w:rsidRPr="00BB52B0" w:rsidRDefault="00BB52B0" w:rsidP="00D34121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52B0">
              <w:rPr>
                <w:rFonts w:ascii="Arial" w:hAnsi="Arial" w:cs="Arial"/>
                <w:sz w:val="24"/>
                <w:szCs w:val="24"/>
                <w:lang w:val="en-US"/>
              </w:rPr>
              <w:t xml:space="preserve">Dukes B-C </w:t>
            </w:r>
          </w:p>
          <w:p w14:paraId="7C53F4C9" w14:textId="77777777" w:rsidR="00BB52B0" w:rsidRPr="00BB52B0" w:rsidRDefault="00BB52B0" w:rsidP="00D34121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52B0">
              <w:rPr>
                <w:rFonts w:ascii="Arial" w:hAnsi="Arial" w:cs="Arial"/>
                <w:sz w:val="24"/>
                <w:szCs w:val="24"/>
                <w:lang w:val="en-US"/>
              </w:rPr>
              <w:t xml:space="preserve">Colon Cancer </w:t>
            </w:r>
          </w:p>
        </w:tc>
        <w:tc>
          <w:tcPr>
            <w:tcW w:w="1324" w:type="dxa"/>
            <w:vAlign w:val="center"/>
          </w:tcPr>
          <w:p w14:paraId="3BE2C3E6" w14:textId="77777777" w:rsidR="00BB52B0" w:rsidRPr="0023293D" w:rsidRDefault="00BB52B0" w:rsidP="00D34121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93D">
              <w:rPr>
                <w:rFonts w:ascii="Arial" w:hAnsi="Arial" w:cs="Arial"/>
                <w:sz w:val="24"/>
                <w:szCs w:val="24"/>
              </w:rPr>
              <w:t>HT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23293D">
              <w:rPr>
                <w:rFonts w:ascii="Arial" w:hAnsi="Arial" w:cs="Arial"/>
                <w:sz w:val="24"/>
                <w:szCs w:val="24"/>
              </w:rPr>
              <w:t xml:space="preserve">29 </w:t>
            </w:r>
            <w:proofErr w:type="spellStart"/>
            <w:r w:rsidRPr="0023293D">
              <w:rPr>
                <w:rFonts w:ascii="Arial" w:hAnsi="Arial" w:cs="Arial"/>
                <w:sz w:val="24"/>
                <w:szCs w:val="24"/>
              </w:rPr>
              <w:t>cell</w:t>
            </w:r>
            <w:proofErr w:type="spellEnd"/>
            <w:r w:rsidRPr="0023293D">
              <w:rPr>
                <w:rFonts w:ascii="Arial" w:hAnsi="Arial" w:cs="Arial"/>
                <w:sz w:val="24"/>
                <w:szCs w:val="24"/>
              </w:rPr>
              <w:t xml:space="preserve"> line</w:t>
            </w:r>
          </w:p>
        </w:tc>
        <w:tc>
          <w:tcPr>
            <w:tcW w:w="2020" w:type="dxa"/>
            <w:vAlign w:val="center"/>
          </w:tcPr>
          <w:p w14:paraId="05821238" w14:textId="77777777" w:rsidR="00BB52B0" w:rsidRPr="00BB52B0" w:rsidRDefault="00BB52B0" w:rsidP="00D34121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52B0">
              <w:rPr>
                <w:rFonts w:ascii="Arial" w:hAnsi="Arial" w:cs="Arial"/>
                <w:sz w:val="24"/>
                <w:szCs w:val="24"/>
                <w:lang w:val="en-US"/>
              </w:rPr>
              <w:t>Macroscopically tumor free bowel wall</w:t>
            </w:r>
          </w:p>
        </w:tc>
        <w:tc>
          <w:tcPr>
            <w:tcW w:w="3853" w:type="dxa"/>
            <w:vAlign w:val="center"/>
          </w:tcPr>
          <w:p w14:paraId="6A01A2A4" w14:textId="77777777" w:rsidR="00BB52B0" w:rsidRPr="00BB52B0" w:rsidRDefault="00BB52B0" w:rsidP="00D3412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52B0">
              <w:rPr>
                <w:rFonts w:ascii="Arial" w:hAnsi="Arial" w:cs="Arial"/>
                <w:sz w:val="24"/>
                <w:szCs w:val="24"/>
                <w:lang w:val="en-US"/>
              </w:rPr>
              <w:t xml:space="preserve">Primary antibody (a goat polyclonal anti-MOR-1 antibody to an epitope mapping within the N-terminal of the extracellular domain of MOR-1 of human origin [1:100 or 1:200], or a rabbit polyclonal anti-MOR-1 antibody to an epitope corresponding to amino </w:t>
            </w:r>
            <w:r w:rsidRPr="00BB52B0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acids 1-80 mapping at the N-terminus of MOR-1 of human origin [1:50, 1:100, or 1:200], both from Santa Cruz Biotechnology; Santa Cruz, Calif).</w:t>
            </w:r>
          </w:p>
        </w:tc>
        <w:tc>
          <w:tcPr>
            <w:tcW w:w="3668" w:type="dxa"/>
            <w:vAlign w:val="center"/>
          </w:tcPr>
          <w:p w14:paraId="5BC96589" w14:textId="77777777" w:rsidR="00BB52B0" w:rsidRPr="00BB52B0" w:rsidRDefault="00BB52B0" w:rsidP="00D3412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B52B0" w:rsidRPr="007D34F9" w14:paraId="70A0C983" w14:textId="77777777" w:rsidTr="00D34121">
        <w:tc>
          <w:tcPr>
            <w:tcW w:w="3686" w:type="dxa"/>
            <w:vAlign w:val="center"/>
          </w:tcPr>
          <w:p w14:paraId="0AFEE6F0" w14:textId="77777777" w:rsidR="00BB52B0" w:rsidRPr="00B375F1" w:rsidRDefault="00BB52B0" w:rsidP="00D3412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375F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Zhang (2015)</w:t>
            </w:r>
          </w:p>
          <w:p w14:paraId="6FEE2A33" w14:textId="77777777" w:rsidR="00BB52B0" w:rsidRPr="00B375F1" w:rsidRDefault="00BB52B0" w:rsidP="00D3412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375F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Disease of esophagus</w:t>
            </w:r>
          </w:p>
          <w:p w14:paraId="1ED5DC64" w14:textId="77777777" w:rsidR="00BB52B0" w:rsidRPr="00B375F1" w:rsidRDefault="00BB52B0" w:rsidP="00D3412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375F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DOI: 10.1111/dote.12165</w:t>
            </w:r>
          </w:p>
          <w:p w14:paraId="0D74B788" w14:textId="77777777" w:rsidR="00BB52B0" w:rsidRPr="00BB52B0" w:rsidRDefault="00BB52B0" w:rsidP="00D34121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1B18FA8" w14:textId="77777777" w:rsidR="00BB52B0" w:rsidRPr="00BB52B0" w:rsidRDefault="00BB52B0" w:rsidP="00D34121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51" w:type="dxa"/>
            <w:vAlign w:val="center"/>
          </w:tcPr>
          <w:p w14:paraId="23E1032A" w14:textId="77777777" w:rsidR="00BB52B0" w:rsidRPr="0023293D" w:rsidRDefault="00BB52B0" w:rsidP="00D34121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293D">
              <w:rPr>
                <w:rFonts w:ascii="Arial" w:hAnsi="Arial" w:cs="Arial"/>
                <w:sz w:val="24"/>
                <w:szCs w:val="24"/>
              </w:rPr>
              <w:t>Esophagus</w:t>
            </w:r>
            <w:proofErr w:type="spellEnd"/>
            <w:r w:rsidRPr="002329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293D">
              <w:rPr>
                <w:rFonts w:ascii="Arial" w:hAnsi="Arial" w:cs="Arial"/>
                <w:sz w:val="24"/>
                <w:szCs w:val="24"/>
              </w:rPr>
              <w:t>squamous</w:t>
            </w:r>
            <w:proofErr w:type="spellEnd"/>
            <w:r w:rsidRPr="002329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293D">
              <w:rPr>
                <w:rFonts w:ascii="Arial" w:hAnsi="Arial" w:cs="Arial"/>
                <w:sz w:val="24"/>
                <w:szCs w:val="24"/>
              </w:rPr>
              <w:t>cell</w:t>
            </w:r>
            <w:proofErr w:type="spellEnd"/>
            <w:r w:rsidRPr="0023293D">
              <w:rPr>
                <w:rFonts w:ascii="Arial" w:hAnsi="Arial" w:cs="Arial"/>
                <w:sz w:val="24"/>
                <w:szCs w:val="24"/>
              </w:rPr>
              <w:t xml:space="preserve"> carcinoma</w:t>
            </w:r>
          </w:p>
        </w:tc>
        <w:tc>
          <w:tcPr>
            <w:tcW w:w="1324" w:type="dxa"/>
            <w:vAlign w:val="center"/>
          </w:tcPr>
          <w:p w14:paraId="0A4321A7" w14:textId="77777777" w:rsidR="00BB52B0" w:rsidRPr="00BB52B0" w:rsidRDefault="00BB52B0" w:rsidP="00D34121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52B0">
              <w:rPr>
                <w:rFonts w:ascii="Arial" w:hAnsi="Arial" w:cs="Arial"/>
                <w:sz w:val="24"/>
                <w:szCs w:val="24"/>
                <w:lang w:val="en-US"/>
              </w:rPr>
              <w:t>KYSE180, KYSE150, and EC109 cell lines</w:t>
            </w:r>
          </w:p>
        </w:tc>
        <w:tc>
          <w:tcPr>
            <w:tcW w:w="2020" w:type="dxa"/>
            <w:vAlign w:val="center"/>
          </w:tcPr>
          <w:p w14:paraId="4C6EAA68" w14:textId="77777777" w:rsidR="00BB52B0" w:rsidRPr="0023293D" w:rsidRDefault="00BB52B0" w:rsidP="00D34121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293D">
              <w:rPr>
                <w:rFonts w:ascii="Arial" w:hAnsi="Arial" w:cs="Arial"/>
                <w:sz w:val="24"/>
                <w:szCs w:val="24"/>
              </w:rPr>
              <w:t>None</w:t>
            </w:r>
            <w:proofErr w:type="spellEnd"/>
          </w:p>
        </w:tc>
        <w:tc>
          <w:tcPr>
            <w:tcW w:w="3853" w:type="dxa"/>
            <w:vAlign w:val="center"/>
          </w:tcPr>
          <w:p w14:paraId="4C8C2E19" w14:textId="77777777" w:rsidR="00BB52B0" w:rsidRPr="00BB52B0" w:rsidRDefault="00BB52B0" w:rsidP="00D3412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52B0">
              <w:rPr>
                <w:rFonts w:ascii="Arial" w:hAnsi="Arial" w:cs="Arial"/>
                <w:sz w:val="24"/>
                <w:szCs w:val="24"/>
                <w:lang w:val="en-US"/>
              </w:rPr>
              <w:t xml:space="preserve">Polyclonal rabbit anti-MOR 1 (1:50, </w:t>
            </w:r>
            <w:proofErr w:type="spellStart"/>
            <w:r w:rsidRPr="00BB52B0">
              <w:rPr>
                <w:rFonts w:ascii="Arial" w:hAnsi="Arial" w:cs="Arial"/>
                <w:sz w:val="24"/>
                <w:szCs w:val="24"/>
                <w:lang w:val="en-US"/>
              </w:rPr>
              <w:t>Abgent</w:t>
            </w:r>
            <w:proofErr w:type="spellEnd"/>
            <w:r w:rsidRPr="00BB52B0">
              <w:rPr>
                <w:rFonts w:ascii="Arial" w:hAnsi="Arial" w:cs="Arial"/>
                <w:sz w:val="24"/>
                <w:szCs w:val="24"/>
                <w:lang w:val="en-US"/>
              </w:rPr>
              <w:t>, San Diego, CA, USA).</w:t>
            </w:r>
          </w:p>
          <w:p w14:paraId="38D15883" w14:textId="77777777" w:rsidR="00BB52B0" w:rsidRPr="00BB52B0" w:rsidRDefault="00BB52B0" w:rsidP="00D3412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23D74DA" w14:textId="77777777" w:rsidR="00BB52B0" w:rsidRPr="00BB52B0" w:rsidRDefault="00BB52B0" w:rsidP="00D3412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52B0">
              <w:rPr>
                <w:rFonts w:ascii="Arial" w:hAnsi="Arial" w:cs="Arial"/>
                <w:sz w:val="24"/>
                <w:szCs w:val="24"/>
                <w:lang w:val="en-US"/>
              </w:rPr>
              <w:t>Poly-HRP Anti-Mouse/Rabbit IgG Detection System (ZSGB-BIO, Beijing, China) and the Liquid DAB Substrate Kit (Invitrogen, Carlsbad, CA, USA).</w:t>
            </w:r>
          </w:p>
          <w:p w14:paraId="1AB8B22E" w14:textId="77777777" w:rsidR="00BB52B0" w:rsidRPr="00BB52B0" w:rsidRDefault="00BB52B0" w:rsidP="00D3412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A98402A" w14:textId="77777777" w:rsidR="00BB52B0" w:rsidRPr="00BB52B0" w:rsidRDefault="00BB52B0" w:rsidP="00D3412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52B0">
              <w:rPr>
                <w:rFonts w:ascii="Arial" w:hAnsi="Arial" w:cs="Arial"/>
                <w:sz w:val="24"/>
                <w:szCs w:val="24"/>
                <w:lang w:val="en-US"/>
              </w:rPr>
              <w:t>Normal rabbit IgG (1:1000, Santa Cruz Biotechnology) and phosphate buffer solution were used as negative controls for primary antibody.</w:t>
            </w:r>
          </w:p>
        </w:tc>
        <w:tc>
          <w:tcPr>
            <w:tcW w:w="3668" w:type="dxa"/>
            <w:vAlign w:val="center"/>
          </w:tcPr>
          <w:p w14:paraId="7DE26099" w14:textId="77777777" w:rsidR="00BB52B0" w:rsidRPr="00BB52B0" w:rsidRDefault="00BB52B0" w:rsidP="00D3412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B52B0" w:rsidRPr="007D34F9" w14:paraId="19D10FCF" w14:textId="77777777" w:rsidTr="00D34121">
        <w:tc>
          <w:tcPr>
            <w:tcW w:w="3686" w:type="dxa"/>
            <w:vAlign w:val="center"/>
          </w:tcPr>
          <w:p w14:paraId="635F9136" w14:textId="77777777" w:rsidR="00BB52B0" w:rsidRPr="00B375F1" w:rsidRDefault="00BB52B0" w:rsidP="00D3412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375F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Yao (2014)</w:t>
            </w:r>
          </w:p>
          <w:p w14:paraId="6452B0BD" w14:textId="77777777" w:rsidR="00BB52B0" w:rsidRPr="00B375F1" w:rsidRDefault="00BB52B0" w:rsidP="00D3412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375F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Clinical and translational science</w:t>
            </w:r>
          </w:p>
          <w:p w14:paraId="5353209F" w14:textId="77777777" w:rsidR="00BB52B0" w:rsidRPr="00B375F1" w:rsidRDefault="00BB52B0" w:rsidP="00D3412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375F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DOI: 10.1111/cts.12246</w:t>
            </w:r>
          </w:p>
          <w:p w14:paraId="3717450F" w14:textId="77777777" w:rsidR="00BB52B0" w:rsidRPr="00BB52B0" w:rsidRDefault="00BB52B0" w:rsidP="00D34121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2C12D5D" w14:textId="77777777" w:rsidR="00BB52B0" w:rsidRPr="00BB52B0" w:rsidRDefault="00BB52B0" w:rsidP="00D34121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51" w:type="dxa"/>
            <w:vAlign w:val="center"/>
          </w:tcPr>
          <w:p w14:paraId="17F60541" w14:textId="77777777" w:rsidR="00BB52B0" w:rsidRPr="0023293D" w:rsidRDefault="00BB52B0" w:rsidP="00D34121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293D">
              <w:rPr>
                <w:rFonts w:ascii="Arial" w:hAnsi="Arial" w:cs="Arial"/>
                <w:sz w:val="24"/>
                <w:szCs w:val="24"/>
              </w:rPr>
              <w:t>Gastric</w:t>
            </w:r>
            <w:proofErr w:type="spellEnd"/>
            <w:r w:rsidRPr="002329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293D">
              <w:rPr>
                <w:rFonts w:ascii="Arial" w:hAnsi="Arial" w:cs="Arial"/>
                <w:sz w:val="24"/>
                <w:szCs w:val="24"/>
              </w:rPr>
              <w:t>Cancer</w:t>
            </w:r>
            <w:proofErr w:type="spellEnd"/>
          </w:p>
        </w:tc>
        <w:tc>
          <w:tcPr>
            <w:tcW w:w="1324" w:type="dxa"/>
            <w:vAlign w:val="center"/>
          </w:tcPr>
          <w:p w14:paraId="5434587E" w14:textId="77777777" w:rsidR="00BB52B0" w:rsidRPr="0023293D" w:rsidRDefault="00BB52B0" w:rsidP="00D34121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293D">
              <w:rPr>
                <w:rFonts w:ascii="Arial" w:hAnsi="Arial" w:cs="Arial"/>
                <w:sz w:val="24"/>
                <w:szCs w:val="24"/>
              </w:rPr>
              <w:t>None</w:t>
            </w:r>
            <w:proofErr w:type="spellEnd"/>
          </w:p>
        </w:tc>
        <w:tc>
          <w:tcPr>
            <w:tcW w:w="2020" w:type="dxa"/>
            <w:vAlign w:val="center"/>
          </w:tcPr>
          <w:p w14:paraId="7733B75B" w14:textId="77777777" w:rsidR="00BB52B0" w:rsidRPr="00BB52B0" w:rsidRDefault="00BB52B0" w:rsidP="00D3412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52B0">
              <w:rPr>
                <w:rFonts w:ascii="Arial" w:hAnsi="Arial" w:cs="Arial"/>
                <w:sz w:val="24"/>
                <w:szCs w:val="24"/>
                <w:lang w:val="en-US"/>
              </w:rPr>
              <w:t xml:space="preserve">93 </w:t>
            </w:r>
            <w:proofErr w:type="spellStart"/>
            <w:r w:rsidRPr="00BB52B0">
              <w:rPr>
                <w:rFonts w:ascii="Arial" w:hAnsi="Arial" w:cs="Arial"/>
                <w:sz w:val="24"/>
                <w:szCs w:val="24"/>
                <w:lang w:val="en-US"/>
              </w:rPr>
              <w:t>paracancer</w:t>
            </w:r>
            <w:proofErr w:type="spellEnd"/>
            <w:r w:rsidRPr="00BB52B0">
              <w:rPr>
                <w:rFonts w:ascii="Arial" w:hAnsi="Arial" w:cs="Arial"/>
                <w:sz w:val="24"/>
                <w:szCs w:val="24"/>
                <w:lang w:val="en-US"/>
              </w:rPr>
              <w:t xml:space="preserve"> tissues which were more than 5 cm away from the edge of tumor were randomly selected.</w:t>
            </w:r>
          </w:p>
        </w:tc>
        <w:tc>
          <w:tcPr>
            <w:tcW w:w="3853" w:type="dxa"/>
            <w:vAlign w:val="center"/>
          </w:tcPr>
          <w:p w14:paraId="160E193E" w14:textId="77777777" w:rsidR="00BB52B0" w:rsidRPr="00BB52B0" w:rsidRDefault="00BB52B0" w:rsidP="00D3412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52B0">
              <w:rPr>
                <w:rFonts w:ascii="Arial" w:hAnsi="Arial" w:cs="Arial"/>
                <w:sz w:val="24"/>
                <w:szCs w:val="24"/>
                <w:lang w:val="en-US"/>
              </w:rPr>
              <w:t>Rabbit polyclonal antibody against human MOR1 (dilution 1:100, Santa Cruz Biotechnology, Dallas, TX, USA).</w:t>
            </w:r>
          </w:p>
        </w:tc>
        <w:tc>
          <w:tcPr>
            <w:tcW w:w="3668" w:type="dxa"/>
            <w:vAlign w:val="center"/>
          </w:tcPr>
          <w:p w14:paraId="35EB2AAD" w14:textId="6B67D9F5" w:rsidR="00BB52B0" w:rsidRPr="00BB52B0" w:rsidRDefault="00BB52B0" w:rsidP="00D3412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52B0">
              <w:rPr>
                <w:rFonts w:ascii="Arial" w:hAnsi="Arial" w:cs="Arial"/>
                <w:sz w:val="24"/>
                <w:szCs w:val="24"/>
                <w:lang w:val="en-US"/>
              </w:rPr>
              <w:t xml:space="preserve">Total RNA was extracted using </w:t>
            </w:r>
            <w:proofErr w:type="spellStart"/>
            <w:r w:rsidRPr="00BB52B0">
              <w:rPr>
                <w:rFonts w:ascii="Arial" w:hAnsi="Arial" w:cs="Arial"/>
                <w:sz w:val="24"/>
                <w:szCs w:val="24"/>
                <w:lang w:val="en-US"/>
              </w:rPr>
              <w:t>TRIzol</w:t>
            </w:r>
            <w:proofErr w:type="spellEnd"/>
            <w:r w:rsidRPr="00BB52B0">
              <w:rPr>
                <w:rFonts w:ascii="Arial" w:hAnsi="Arial" w:cs="Arial"/>
                <w:sz w:val="24"/>
                <w:szCs w:val="24"/>
                <w:lang w:val="en-US"/>
              </w:rPr>
              <w:t xml:space="preserve"> reagent (Invitrogen, Tokyo, Japan), and 5 mg of extracted RNA samples was reverse transcribed into cDNA by a One-step </w:t>
            </w:r>
            <w:proofErr w:type="spellStart"/>
            <w:r w:rsidRPr="00BB52B0">
              <w:rPr>
                <w:rFonts w:ascii="Arial" w:hAnsi="Arial" w:cs="Arial"/>
                <w:sz w:val="24"/>
                <w:szCs w:val="24"/>
                <w:lang w:val="en-US"/>
              </w:rPr>
              <w:t>PrimescrioptcDNA</w:t>
            </w:r>
            <w:proofErr w:type="spellEnd"/>
            <w:r w:rsidRPr="00BB52B0">
              <w:rPr>
                <w:rFonts w:ascii="Arial" w:hAnsi="Arial" w:cs="Arial"/>
                <w:sz w:val="24"/>
                <w:szCs w:val="24"/>
                <w:lang w:val="en-US"/>
              </w:rPr>
              <w:t xml:space="preserve"> Synthesis Kit (</w:t>
            </w:r>
            <w:proofErr w:type="spellStart"/>
            <w:r w:rsidRPr="00BB52B0">
              <w:rPr>
                <w:rFonts w:ascii="Arial" w:hAnsi="Arial" w:cs="Arial"/>
                <w:sz w:val="24"/>
                <w:szCs w:val="24"/>
                <w:lang w:val="en-US"/>
              </w:rPr>
              <w:t>TaKaRa</w:t>
            </w:r>
            <w:proofErr w:type="spellEnd"/>
            <w:r w:rsidRPr="00BB52B0">
              <w:rPr>
                <w:rFonts w:ascii="Arial" w:hAnsi="Arial" w:cs="Arial"/>
                <w:sz w:val="24"/>
                <w:szCs w:val="24"/>
                <w:lang w:val="en-US"/>
              </w:rPr>
              <w:t>, Dalian, China) according to the manufacture’s protocol (Promega, Madison, Wi, USA). GAPDH was used for normalization. Primers for MO</w:t>
            </w:r>
            <w:r w:rsidR="00B375F1">
              <w:rPr>
                <w:rFonts w:ascii="Arial" w:hAnsi="Arial" w:cs="Arial"/>
                <w:sz w:val="24"/>
                <w:szCs w:val="24"/>
                <w:lang w:val="en-US"/>
              </w:rPr>
              <w:t>R</w:t>
            </w:r>
            <w:r w:rsidRPr="00BB52B0">
              <w:rPr>
                <w:rFonts w:ascii="Arial" w:hAnsi="Arial" w:cs="Arial"/>
                <w:sz w:val="24"/>
                <w:szCs w:val="24"/>
                <w:lang w:val="en-US"/>
              </w:rPr>
              <w:t xml:space="preserve">1 and GAPDH were from </w:t>
            </w:r>
            <w:proofErr w:type="spellStart"/>
            <w:r w:rsidRPr="00BB52B0">
              <w:rPr>
                <w:rFonts w:ascii="Arial" w:hAnsi="Arial" w:cs="Arial"/>
                <w:sz w:val="24"/>
                <w:szCs w:val="24"/>
                <w:lang w:val="en-US"/>
              </w:rPr>
              <w:t>GeneCopoeia</w:t>
            </w:r>
            <w:proofErr w:type="spellEnd"/>
            <w:r w:rsidRPr="00BB52B0">
              <w:rPr>
                <w:rFonts w:ascii="Arial" w:hAnsi="Arial" w:cs="Arial"/>
                <w:sz w:val="24"/>
                <w:szCs w:val="24"/>
                <w:lang w:val="en-US"/>
              </w:rPr>
              <w:t xml:space="preserve"> (HQP012059, HQP064347).</w:t>
            </w:r>
          </w:p>
        </w:tc>
      </w:tr>
      <w:tr w:rsidR="00BB52B0" w:rsidRPr="007D34F9" w14:paraId="12569CC1" w14:textId="77777777" w:rsidTr="00D34121">
        <w:tc>
          <w:tcPr>
            <w:tcW w:w="3686" w:type="dxa"/>
            <w:vAlign w:val="center"/>
          </w:tcPr>
          <w:p w14:paraId="04582D54" w14:textId="77777777" w:rsidR="00BB52B0" w:rsidRPr="00402BB9" w:rsidRDefault="00BB52B0" w:rsidP="00D3412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402BB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lastRenderedPageBreak/>
              <w:t>Chen (2018)</w:t>
            </w:r>
          </w:p>
          <w:p w14:paraId="45CF9AAD" w14:textId="77777777" w:rsidR="00BB52B0" w:rsidRPr="00402BB9" w:rsidRDefault="00BB52B0" w:rsidP="00D3412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402BB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British Journal of </w:t>
            </w:r>
            <w:proofErr w:type="spellStart"/>
            <w:r w:rsidRPr="00402BB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Anaesthesia</w:t>
            </w:r>
            <w:proofErr w:type="spellEnd"/>
          </w:p>
          <w:p w14:paraId="486DAA4D" w14:textId="4A105CBD" w:rsidR="00BB52B0" w:rsidRPr="00402BB9" w:rsidRDefault="00621ADE" w:rsidP="00D3412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402BB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DOI: 10.1016/j.bja</w:t>
            </w:r>
            <w:r w:rsidR="00BB52B0" w:rsidRPr="00402BB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.2018.09.030</w:t>
            </w:r>
          </w:p>
          <w:p w14:paraId="322B2271" w14:textId="77777777" w:rsidR="00BB52B0" w:rsidRPr="00BB52B0" w:rsidRDefault="00BB52B0" w:rsidP="00D34121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51" w:type="dxa"/>
            <w:vAlign w:val="center"/>
          </w:tcPr>
          <w:p w14:paraId="3BD5140E" w14:textId="77777777" w:rsidR="00BB52B0" w:rsidRPr="0023293D" w:rsidRDefault="00BB52B0" w:rsidP="00D34121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293D">
              <w:rPr>
                <w:rFonts w:ascii="Arial" w:hAnsi="Arial" w:cs="Arial"/>
                <w:sz w:val="24"/>
                <w:szCs w:val="24"/>
              </w:rPr>
              <w:t>Hepatocellular</w:t>
            </w:r>
            <w:proofErr w:type="spellEnd"/>
            <w:r w:rsidRPr="0023293D">
              <w:rPr>
                <w:rFonts w:ascii="Arial" w:hAnsi="Arial" w:cs="Arial"/>
                <w:sz w:val="24"/>
                <w:szCs w:val="24"/>
              </w:rPr>
              <w:t xml:space="preserve"> carcinoma</w:t>
            </w:r>
          </w:p>
        </w:tc>
        <w:tc>
          <w:tcPr>
            <w:tcW w:w="1324" w:type="dxa"/>
            <w:vAlign w:val="center"/>
          </w:tcPr>
          <w:p w14:paraId="786F301A" w14:textId="77777777" w:rsidR="00BB52B0" w:rsidRDefault="00BB52B0" w:rsidP="00D341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93D">
              <w:rPr>
                <w:rFonts w:ascii="Arial" w:hAnsi="Arial" w:cs="Arial"/>
                <w:sz w:val="24"/>
                <w:szCs w:val="24"/>
              </w:rPr>
              <w:t>MHCC-97L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  <w:r w:rsidRPr="0023293D">
              <w:rPr>
                <w:rFonts w:ascii="Arial" w:hAnsi="Arial" w:cs="Arial"/>
                <w:sz w:val="24"/>
                <w:szCs w:val="24"/>
              </w:rPr>
              <w:t xml:space="preserve"> MHCC-97H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  <w:r w:rsidRPr="0023293D">
              <w:rPr>
                <w:rFonts w:ascii="Arial" w:hAnsi="Arial" w:cs="Arial"/>
                <w:sz w:val="24"/>
                <w:szCs w:val="24"/>
              </w:rPr>
              <w:t xml:space="preserve"> QGY-7703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C955F89" w14:textId="77777777" w:rsidR="00BB52B0" w:rsidRPr="0023293D" w:rsidRDefault="00BB52B0" w:rsidP="00D341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93D">
              <w:rPr>
                <w:rFonts w:ascii="Arial" w:hAnsi="Arial" w:cs="Arial"/>
                <w:sz w:val="24"/>
                <w:szCs w:val="24"/>
              </w:rPr>
              <w:t>Huh7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97F01FA" w14:textId="77777777" w:rsidR="00BB52B0" w:rsidRPr="0023293D" w:rsidRDefault="00BB52B0" w:rsidP="00D34121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93D">
              <w:rPr>
                <w:rFonts w:ascii="Arial" w:hAnsi="Arial" w:cs="Arial"/>
                <w:sz w:val="24"/>
                <w:szCs w:val="24"/>
              </w:rPr>
              <w:t>HepG2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87BD3A6" w14:textId="77777777" w:rsidR="00BB52B0" w:rsidRPr="0023293D" w:rsidRDefault="00BB52B0" w:rsidP="00D34121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93D">
              <w:rPr>
                <w:rFonts w:ascii="Arial" w:hAnsi="Arial" w:cs="Arial"/>
                <w:sz w:val="24"/>
                <w:szCs w:val="24"/>
              </w:rPr>
              <w:t>LO2</w:t>
            </w:r>
          </w:p>
        </w:tc>
        <w:tc>
          <w:tcPr>
            <w:tcW w:w="2020" w:type="dxa"/>
            <w:vAlign w:val="center"/>
          </w:tcPr>
          <w:p w14:paraId="51735C7F" w14:textId="6F820B99" w:rsidR="00BB52B0" w:rsidRPr="00BB52B0" w:rsidRDefault="00EA549D" w:rsidP="00D3412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 w:rsidR="00BB52B0" w:rsidRPr="00BB52B0">
              <w:rPr>
                <w:rFonts w:ascii="Arial" w:hAnsi="Arial" w:cs="Arial"/>
                <w:sz w:val="24"/>
                <w:szCs w:val="24"/>
                <w:lang w:val="en-US"/>
              </w:rPr>
              <w:t>orresponding non-</w:t>
            </w:r>
            <w:proofErr w:type="spellStart"/>
            <w:r w:rsidR="00BB52B0" w:rsidRPr="00BB52B0">
              <w:rPr>
                <w:rFonts w:ascii="Arial" w:hAnsi="Arial" w:cs="Arial"/>
                <w:sz w:val="24"/>
                <w:szCs w:val="24"/>
                <w:lang w:val="en-US"/>
              </w:rPr>
              <w:t>tumour</w:t>
            </w:r>
            <w:proofErr w:type="spellEnd"/>
            <w:r w:rsidR="00BB52B0" w:rsidRPr="00BB52B0">
              <w:rPr>
                <w:rFonts w:ascii="Arial" w:hAnsi="Arial" w:cs="Arial"/>
                <w:sz w:val="24"/>
                <w:szCs w:val="24"/>
                <w:lang w:val="en-US"/>
              </w:rPr>
              <w:t xml:space="preserve"> tissue samples</w:t>
            </w:r>
          </w:p>
        </w:tc>
        <w:tc>
          <w:tcPr>
            <w:tcW w:w="3853" w:type="dxa"/>
            <w:vAlign w:val="center"/>
          </w:tcPr>
          <w:p w14:paraId="51B06221" w14:textId="77777777" w:rsidR="00BB52B0" w:rsidRPr="00BB52B0" w:rsidRDefault="00BB52B0" w:rsidP="00D3412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3293D">
              <w:rPr>
                <w:rFonts w:ascii="Arial" w:hAnsi="Arial" w:cs="Arial"/>
                <w:sz w:val="24"/>
                <w:szCs w:val="24"/>
                <w:lang w:val="en-GB"/>
              </w:rPr>
              <w:t xml:space="preserve">Anti-MOP antibody (NBP1-930, NOVUS), anti-E-cadherin antibody (ZM-0092, ZSGB-BIO), and anti-Vimentin antibody (5741, CST) at a 1:200 dilution. Afterwards, the </w:t>
            </w:r>
            <w:proofErr w:type="spellStart"/>
            <w:r w:rsidRPr="0023293D">
              <w:rPr>
                <w:rFonts w:ascii="Arial" w:hAnsi="Arial" w:cs="Arial"/>
                <w:sz w:val="24"/>
                <w:szCs w:val="24"/>
                <w:lang w:val="en-GB"/>
              </w:rPr>
              <w:t>EnVision</w:t>
            </w:r>
            <w:proofErr w:type="spellEnd"/>
            <w:r w:rsidRPr="0023293D">
              <w:rPr>
                <w:rFonts w:ascii="Arial" w:hAnsi="Arial" w:cs="Arial"/>
                <w:sz w:val="24"/>
                <w:szCs w:val="24"/>
                <w:lang w:val="en-GB"/>
              </w:rPr>
              <w:t xml:space="preserve"> kit (</w:t>
            </w:r>
            <w:proofErr w:type="spellStart"/>
            <w:r w:rsidRPr="0023293D">
              <w:rPr>
                <w:rFonts w:ascii="Arial" w:hAnsi="Arial" w:cs="Arial"/>
                <w:sz w:val="24"/>
                <w:szCs w:val="24"/>
                <w:lang w:val="en-GB"/>
              </w:rPr>
              <w:t>Dako</w:t>
            </w:r>
            <w:proofErr w:type="spellEnd"/>
            <w:r w:rsidRPr="0023293D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3293D">
              <w:rPr>
                <w:rFonts w:ascii="Arial" w:hAnsi="Arial" w:cs="Arial"/>
                <w:sz w:val="24"/>
                <w:szCs w:val="24"/>
                <w:lang w:val="en-GB"/>
              </w:rPr>
              <w:t>Cytomation</w:t>
            </w:r>
            <w:proofErr w:type="spellEnd"/>
            <w:r w:rsidRPr="0023293D">
              <w:rPr>
                <w:rFonts w:ascii="Arial" w:hAnsi="Arial" w:cs="Arial"/>
                <w:sz w:val="24"/>
                <w:szCs w:val="24"/>
                <w:lang w:val="en-GB"/>
              </w:rPr>
              <w:t>, Carpinteria, USA) was used to detect the antibodies in the tissue sections.</w:t>
            </w:r>
          </w:p>
        </w:tc>
        <w:tc>
          <w:tcPr>
            <w:tcW w:w="3668" w:type="dxa"/>
            <w:vAlign w:val="center"/>
          </w:tcPr>
          <w:p w14:paraId="76B17EB3" w14:textId="77777777" w:rsidR="00BB52B0" w:rsidRPr="00BB52B0" w:rsidRDefault="00BB52B0" w:rsidP="00D3412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3293D">
              <w:rPr>
                <w:rFonts w:ascii="Arial" w:hAnsi="Arial" w:cs="Arial"/>
                <w:sz w:val="24"/>
                <w:szCs w:val="24"/>
                <w:lang w:val="en-GB"/>
              </w:rPr>
              <w:t xml:space="preserve">For the </w:t>
            </w:r>
            <w:proofErr w:type="spellStart"/>
            <w:r w:rsidRPr="0023293D">
              <w:rPr>
                <w:rFonts w:ascii="Arial" w:hAnsi="Arial" w:cs="Arial"/>
                <w:sz w:val="24"/>
                <w:szCs w:val="24"/>
                <w:lang w:val="en-GB"/>
              </w:rPr>
              <w:t>qRT</w:t>
            </w:r>
            <w:proofErr w:type="spellEnd"/>
            <w:r w:rsidRPr="0023293D">
              <w:rPr>
                <w:rFonts w:ascii="Arial" w:hAnsi="Arial" w:cs="Arial"/>
                <w:sz w:val="24"/>
                <w:szCs w:val="24"/>
                <w:lang w:val="en-GB"/>
              </w:rPr>
              <w:t xml:space="preserve">-PCR analysis, we used SYBR Green qPCR </w:t>
            </w:r>
            <w:proofErr w:type="spellStart"/>
            <w:r w:rsidRPr="0023293D">
              <w:rPr>
                <w:rFonts w:ascii="Arial" w:hAnsi="Arial" w:cs="Arial"/>
                <w:sz w:val="24"/>
                <w:szCs w:val="24"/>
                <w:lang w:val="en-GB"/>
              </w:rPr>
              <w:t>SuperMix</w:t>
            </w:r>
            <w:proofErr w:type="spellEnd"/>
            <w:r w:rsidRPr="0023293D">
              <w:rPr>
                <w:rFonts w:ascii="Arial" w:hAnsi="Arial" w:cs="Arial"/>
                <w:sz w:val="24"/>
                <w:szCs w:val="24"/>
                <w:lang w:val="en-GB"/>
              </w:rPr>
              <w:t xml:space="preserve"> (Invitrogen, USA) and the CFX96™ Real-Time PCR Detection System (Bio-Rad, USA). The housekeeping gene GAPDH was used as the endogenous control. Values herein are the mean of triplicates in three independent experiments.</w:t>
            </w:r>
          </w:p>
        </w:tc>
      </w:tr>
      <w:tr w:rsidR="00BB52B0" w:rsidRPr="007D34F9" w14:paraId="08144D48" w14:textId="77777777" w:rsidTr="00D34121">
        <w:tc>
          <w:tcPr>
            <w:tcW w:w="3686" w:type="dxa"/>
            <w:vAlign w:val="center"/>
          </w:tcPr>
          <w:p w14:paraId="1FC8582E" w14:textId="77777777" w:rsidR="00BB52B0" w:rsidRPr="00402BB9" w:rsidRDefault="00BB52B0" w:rsidP="00D3412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402BB9">
              <w:rPr>
                <w:rFonts w:ascii="Arial" w:hAnsi="Arial" w:cs="Arial"/>
                <w:b/>
                <w:bCs/>
                <w:sz w:val="24"/>
                <w:szCs w:val="24"/>
              </w:rPr>
              <w:t>Zylla</w:t>
            </w:r>
            <w:proofErr w:type="spellEnd"/>
            <w:r w:rsidRPr="00402B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(2013)</w:t>
            </w:r>
          </w:p>
          <w:p w14:paraId="63EB9BCC" w14:textId="77777777" w:rsidR="00BB52B0" w:rsidRPr="00402BB9" w:rsidRDefault="00BB52B0" w:rsidP="00D3412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2BB9">
              <w:rPr>
                <w:rFonts w:ascii="Arial" w:hAnsi="Arial" w:cs="Arial"/>
                <w:b/>
                <w:bCs/>
                <w:sz w:val="24"/>
                <w:szCs w:val="24"/>
              </w:rPr>
              <w:t>10.1002/cncr.28345</w:t>
            </w:r>
          </w:p>
          <w:p w14:paraId="60C4DF10" w14:textId="77777777" w:rsidR="00BB52B0" w:rsidRPr="00402BB9" w:rsidRDefault="00BB52B0" w:rsidP="00D3412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2BB9">
              <w:rPr>
                <w:rFonts w:ascii="Arial" w:hAnsi="Arial" w:cs="Arial"/>
                <w:b/>
                <w:bCs/>
                <w:sz w:val="24"/>
                <w:szCs w:val="24"/>
              </w:rPr>
              <w:t>2013</w:t>
            </w:r>
          </w:p>
          <w:p w14:paraId="7BAE4F9C" w14:textId="77777777" w:rsidR="00BB52B0" w:rsidRPr="0023293D" w:rsidRDefault="00BB52B0" w:rsidP="00D34121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02BB9">
              <w:rPr>
                <w:rFonts w:ascii="Arial" w:hAnsi="Arial" w:cs="Arial"/>
                <w:b/>
                <w:bCs/>
                <w:sz w:val="24"/>
                <w:szCs w:val="24"/>
              </w:rPr>
              <w:t>Cancer</w:t>
            </w:r>
            <w:proofErr w:type="spellEnd"/>
          </w:p>
        </w:tc>
        <w:tc>
          <w:tcPr>
            <w:tcW w:w="1751" w:type="dxa"/>
            <w:vAlign w:val="center"/>
          </w:tcPr>
          <w:p w14:paraId="69311BF7" w14:textId="77777777" w:rsidR="00BB52B0" w:rsidRPr="0023293D" w:rsidRDefault="00BB52B0" w:rsidP="00D34121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293D">
              <w:rPr>
                <w:rFonts w:ascii="Arial" w:hAnsi="Arial" w:cs="Arial"/>
                <w:sz w:val="24"/>
                <w:szCs w:val="24"/>
              </w:rPr>
              <w:t>Stage</w:t>
            </w:r>
            <w:proofErr w:type="spellEnd"/>
            <w:r w:rsidRPr="0023293D">
              <w:rPr>
                <w:rFonts w:ascii="Arial" w:hAnsi="Arial" w:cs="Arial"/>
                <w:sz w:val="24"/>
                <w:szCs w:val="24"/>
              </w:rPr>
              <w:t xml:space="preserve"> IV </w:t>
            </w:r>
            <w:proofErr w:type="spellStart"/>
            <w:r w:rsidRPr="0023293D">
              <w:rPr>
                <w:rFonts w:ascii="Arial" w:hAnsi="Arial" w:cs="Arial"/>
                <w:sz w:val="24"/>
                <w:szCs w:val="24"/>
              </w:rPr>
              <w:t>prostate</w:t>
            </w:r>
            <w:proofErr w:type="spellEnd"/>
            <w:r w:rsidRPr="002329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293D">
              <w:rPr>
                <w:rFonts w:ascii="Arial" w:hAnsi="Arial" w:cs="Arial"/>
                <w:sz w:val="24"/>
                <w:szCs w:val="24"/>
              </w:rPr>
              <w:t>cancer</w:t>
            </w:r>
            <w:proofErr w:type="spellEnd"/>
          </w:p>
        </w:tc>
        <w:tc>
          <w:tcPr>
            <w:tcW w:w="1324" w:type="dxa"/>
            <w:vAlign w:val="center"/>
          </w:tcPr>
          <w:p w14:paraId="1C0ABC28" w14:textId="77777777" w:rsidR="00BB52B0" w:rsidRPr="0023293D" w:rsidRDefault="00BB52B0" w:rsidP="00D341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293D">
              <w:rPr>
                <w:rFonts w:ascii="Arial" w:hAnsi="Arial" w:cs="Arial"/>
                <w:sz w:val="24"/>
                <w:szCs w:val="24"/>
              </w:rPr>
              <w:t>None</w:t>
            </w:r>
            <w:proofErr w:type="spellEnd"/>
          </w:p>
        </w:tc>
        <w:tc>
          <w:tcPr>
            <w:tcW w:w="2020" w:type="dxa"/>
            <w:vAlign w:val="center"/>
          </w:tcPr>
          <w:p w14:paraId="62E113CF" w14:textId="77777777" w:rsidR="00BB52B0" w:rsidRPr="00BB52B0" w:rsidRDefault="00BB52B0" w:rsidP="00D3412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52B0">
              <w:rPr>
                <w:rFonts w:ascii="Arial" w:hAnsi="Arial" w:cs="Arial"/>
                <w:sz w:val="24"/>
                <w:szCs w:val="24"/>
                <w:lang w:val="en-US"/>
              </w:rPr>
              <w:t>Samples of benign prostatic</w:t>
            </w:r>
          </w:p>
          <w:p w14:paraId="6FC1DEC3" w14:textId="77777777" w:rsidR="00BB52B0" w:rsidRPr="00BB52B0" w:rsidRDefault="00BB52B0" w:rsidP="00D3412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52B0">
              <w:rPr>
                <w:rFonts w:ascii="Arial" w:hAnsi="Arial" w:cs="Arial"/>
                <w:sz w:val="24"/>
                <w:szCs w:val="24"/>
                <w:lang w:val="en-US"/>
              </w:rPr>
              <w:t>Hyperplasia (BPH) used as controls were obtained from patients without prostate cancer</w:t>
            </w:r>
          </w:p>
        </w:tc>
        <w:tc>
          <w:tcPr>
            <w:tcW w:w="3853" w:type="dxa"/>
            <w:vAlign w:val="center"/>
          </w:tcPr>
          <w:p w14:paraId="7B8BD4A0" w14:textId="77777777" w:rsidR="00BB52B0" w:rsidRPr="00BB52B0" w:rsidRDefault="00BB52B0" w:rsidP="00D3412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52B0">
              <w:rPr>
                <w:rFonts w:ascii="Arial" w:hAnsi="Arial" w:cs="Arial"/>
                <w:sz w:val="24"/>
                <w:szCs w:val="24"/>
                <w:lang w:val="en-US"/>
              </w:rPr>
              <w:t xml:space="preserve">1:100 guinea pig anti-human MOR (Millipore, Billerica, MA) and 2º donkey anti-guinea pig Cy5 (1:200, Jackson </w:t>
            </w:r>
            <w:proofErr w:type="spellStart"/>
            <w:r w:rsidRPr="00BB52B0">
              <w:rPr>
                <w:rFonts w:ascii="Arial" w:hAnsi="Arial" w:cs="Arial"/>
                <w:sz w:val="24"/>
                <w:szCs w:val="24"/>
                <w:lang w:val="en-US"/>
              </w:rPr>
              <w:t>Immunoresearch</w:t>
            </w:r>
            <w:proofErr w:type="spellEnd"/>
            <w:r w:rsidRPr="00BB52B0">
              <w:rPr>
                <w:rFonts w:ascii="Arial" w:hAnsi="Arial" w:cs="Arial"/>
                <w:sz w:val="24"/>
                <w:szCs w:val="24"/>
                <w:lang w:val="en-US"/>
              </w:rPr>
              <w:t>, West Grove, PA).</w:t>
            </w:r>
          </w:p>
          <w:p w14:paraId="3E68ECA5" w14:textId="77777777" w:rsidR="00BB52B0" w:rsidRPr="00BB52B0" w:rsidRDefault="00BB52B0" w:rsidP="00D3412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A4B4CC8" w14:textId="77777777" w:rsidR="00BB52B0" w:rsidRPr="00BB52B0" w:rsidRDefault="00BB52B0" w:rsidP="00D3412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52B0">
              <w:rPr>
                <w:rFonts w:ascii="Arial" w:hAnsi="Arial" w:cs="Arial"/>
                <w:sz w:val="24"/>
                <w:szCs w:val="24"/>
                <w:lang w:val="en-US"/>
              </w:rPr>
              <w:t>In parallel, sections were stained with isotype-matched immunoglobulin G and 2º antibody for negative controls.</w:t>
            </w:r>
          </w:p>
        </w:tc>
        <w:tc>
          <w:tcPr>
            <w:tcW w:w="3668" w:type="dxa"/>
            <w:vAlign w:val="center"/>
          </w:tcPr>
          <w:p w14:paraId="15CD8281" w14:textId="77777777" w:rsidR="00BB52B0" w:rsidRPr="00BB52B0" w:rsidRDefault="00BB52B0" w:rsidP="00D3412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B52B0" w:rsidRPr="007D34F9" w14:paraId="20421B53" w14:textId="77777777" w:rsidTr="00D34121">
        <w:tc>
          <w:tcPr>
            <w:tcW w:w="3686" w:type="dxa"/>
            <w:vAlign w:val="center"/>
          </w:tcPr>
          <w:p w14:paraId="0DE58266" w14:textId="77777777" w:rsidR="00BB52B0" w:rsidRPr="008C224F" w:rsidRDefault="00BB52B0" w:rsidP="00D3412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C224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Zhang (2020)</w:t>
            </w:r>
          </w:p>
          <w:p w14:paraId="38C84238" w14:textId="77777777" w:rsidR="00BB52B0" w:rsidRPr="008C224F" w:rsidRDefault="00BB52B0" w:rsidP="00D3412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C224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British Journal of Anesthesia</w:t>
            </w:r>
          </w:p>
          <w:p w14:paraId="75A13CE6" w14:textId="77777777" w:rsidR="00BB52B0" w:rsidRPr="008C224F" w:rsidRDefault="00BB52B0" w:rsidP="00D3412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C224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10.1016/j.bja.2020.07.051</w:t>
            </w:r>
          </w:p>
          <w:p w14:paraId="45AA4C99" w14:textId="77777777" w:rsidR="00BB52B0" w:rsidRPr="0023293D" w:rsidRDefault="00BB52B0" w:rsidP="00D34121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24F">
              <w:rPr>
                <w:rFonts w:ascii="Arial" w:hAnsi="Arial" w:cs="Arial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751" w:type="dxa"/>
            <w:vAlign w:val="center"/>
          </w:tcPr>
          <w:p w14:paraId="31496BF7" w14:textId="77777777" w:rsidR="00BB52B0" w:rsidRPr="0023293D" w:rsidRDefault="00BB52B0" w:rsidP="00D34121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293D">
              <w:rPr>
                <w:rFonts w:ascii="Arial" w:hAnsi="Arial" w:cs="Arial"/>
                <w:sz w:val="24"/>
                <w:szCs w:val="24"/>
              </w:rPr>
              <w:t>Laryngeal</w:t>
            </w:r>
            <w:proofErr w:type="spellEnd"/>
            <w:r w:rsidRPr="002329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293D">
              <w:rPr>
                <w:rFonts w:ascii="Arial" w:hAnsi="Arial" w:cs="Arial"/>
                <w:sz w:val="24"/>
                <w:szCs w:val="24"/>
              </w:rPr>
              <w:t>squamous</w:t>
            </w:r>
            <w:proofErr w:type="spellEnd"/>
            <w:r w:rsidRPr="002329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293D">
              <w:rPr>
                <w:rFonts w:ascii="Arial" w:hAnsi="Arial" w:cs="Arial"/>
                <w:sz w:val="24"/>
                <w:szCs w:val="24"/>
              </w:rPr>
              <w:t>cell</w:t>
            </w:r>
            <w:proofErr w:type="spellEnd"/>
            <w:r w:rsidRPr="0023293D">
              <w:rPr>
                <w:rFonts w:ascii="Arial" w:hAnsi="Arial" w:cs="Arial"/>
                <w:sz w:val="24"/>
                <w:szCs w:val="24"/>
              </w:rPr>
              <w:t xml:space="preserve"> carcinoma</w:t>
            </w:r>
          </w:p>
        </w:tc>
        <w:tc>
          <w:tcPr>
            <w:tcW w:w="1324" w:type="dxa"/>
            <w:vAlign w:val="center"/>
          </w:tcPr>
          <w:p w14:paraId="68BFA929" w14:textId="7B870D22" w:rsidR="00BB52B0" w:rsidRPr="003A7B95" w:rsidRDefault="00BB52B0" w:rsidP="00D34121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7B95">
              <w:rPr>
                <w:rFonts w:ascii="Arial" w:hAnsi="Arial" w:cs="Arial"/>
                <w:sz w:val="24"/>
                <w:szCs w:val="24"/>
                <w:lang w:val="en-US"/>
              </w:rPr>
              <w:t>Samples from</w:t>
            </w:r>
            <w:r w:rsidR="008C224F" w:rsidRPr="003A7B95">
              <w:rPr>
                <w:rFonts w:ascii="Arial" w:hAnsi="Arial" w:cs="Arial"/>
                <w:sz w:val="24"/>
                <w:szCs w:val="24"/>
                <w:lang w:val="en-US"/>
              </w:rPr>
              <w:t xml:space="preserve"> Cancer</w:t>
            </w:r>
            <w:r w:rsidRPr="003A7B95">
              <w:rPr>
                <w:rFonts w:ascii="Arial" w:hAnsi="Arial" w:cs="Arial"/>
                <w:sz w:val="24"/>
                <w:szCs w:val="24"/>
                <w:lang w:val="en-US"/>
              </w:rPr>
              <w:t xml:space="preserve"> Genome Atlas</w:t>
            </w:r>
          </w:p>
        </w:tc>
        <w:tc>
          <w:tcPr>
            <w:tcW w:w="2020" w:type="dxa"/>
            <w:vAlign w:val="center"/>
          </w:tcPr>
          <w:p w14:paraId="1BC98035" w14:textId="77777777" w:rsidR="00BB52B0" w:rsidRPr="00BB52B0" w:rsidRDefault="00BB52B0" w:rsidP="00D3412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52B0">
              <w:rPr>
                <w:rFonts w:ascii="Arial" w:hAnsi="Arial" w:cs="Arial"/>
                <w:sz w:val="24"/>
                <w:szCs w:val="24"/>
                <w:lang w:val="en-US"/>
              </w:rPr>
              <w:t>None just Higher MOR and lower MOR arbitrarily</w:t>
            </w:r>
          </w:p>
        </w:tc>
        <w:tc>
          <w:tcPr>
            <w:tcW w:w="3853" w:type="dxa"/>
            <w:vAlign w:val="center"/>
          </w:tcPr>
          <w:p w14:paraId="1C4843D4" w14:textId="77777777" w:rsidR="00BB52B0" w:rsidRPr="00BB52B0" w:rsidRDefault="00BB52B0" w:rsidP="00D3412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52B0">
              <w:rPr>
                <w:rFonts w:ascii="Arial" w:hAnsi="Arial" w:cs="Arial"/>
                <w:sz w:val="24"/>
                <w:szCs w:val="24"/>
                <w:lang w:val="en-US"/>
              </w:rPr>
              <w:t>Anti-MOR antibody (UMB3)-C-terminal (ab134054). The secondary antibody was goat anti-rabbit IgG H&amp;L (HRP) (ab205718).</w:t>
            </w:r>
          </w:p>
        </w:tc>
        <w:tc>
          <w:tcPr>
            <w:tcW w:w="3668" w:type="dxa"/>
            <w:vAlign w:val="center"/>
          </w:tcPr>
          <w:p w14:paraId="1B5ED5F0" w14:textId="77777777" w:rsidR="00BB52B0" w:rsidRPr="00BB52B0" w:rsidRDefault="00BB52B0" w:rsidP="00D3412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B52B0" w:rsidRPr="007D34F9" w14:paraId="294F9619" w14:textId="77777777" w:rsidTr="006A539A">
        <w:trPr>
          <w:trHeight w:val="83"/>
        </w:trPr>
        <w:tc>
          <w:tcPr>
            <w:tcW w:w="3686" w:type="dxa"/>
            <w:vAlign w:val="center"/>
          </w:tcPr>
          <w:p w14:paraId="5523191B" w14:textId="77777777" w:rsidR="00EA549D" w:rsidRDefault="00EA549D" w:rsidP="006A539A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231F0F67" w14:textId="7AFCF3D5" w:rsidR="00BB52B0" w:rsidRPr="00667A27" w:rsidRDefault="00BB52B0" w:rsidP="00EA549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67A2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Jorand</w:t>
            </w:r>
            <w:proofErr w:type="spellEnd"/>
            <w:r w:rsidRPr="00667A2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(2016)</w:t>
            </w:r>
          </w:p>
          <w:p w14:paraId="799EAA7F" w14:textId="77777777" w:rsidR="00BB52B0" w:rsidRPr="00667A27" w:rsidRDefault="00BB52B0" w:rsidP="00EA549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67A2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Molecular Biology of the cell</w:t>
            </w:r>
          </w:p>
          <w:p w14:paraId="56FFC04C" w14:textId="77777777" w:rsidR="00BB52B0" w:rsidRPr="006A539A" w:rsidRDefault="00BB52B0" w:rsidP="00EA549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A539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DOI: 10.1091/mbc.E16-06-0427</w:t>
            </w:r>
          </w:p>
          <w:p w14:paraId="54A31B26" w14:textId="7BE9B0B6" w:rsidR="00EA549D" w:rsidRPr="00EA549D" w:rsidRDefault="00BB52B0" w:rsidP="006A539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A539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2016</w:t>
            </w:r>
          </w:p>
          <w:p w14:paraId="2C810EAF" w14:textId="17222D9F" w:rsidR="00EA549D" w:rsidRPr="00EA549D" w:rsidRDefault="00EA549D" w:rsidP="00EA549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51" w:type="dxa"/>
            <w:vAlign w:val="center"/>
          </w:tcPr>
          <w:p w14:paraId="6E1D18B4" w14:textId="4ADD2EA8" w:rsidR="006A539A" w:rsidRPr="00EA549D" w:rsidRDefault="00BB52B0" w:rsidP="006A539A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A549D">
              <w:rPr>
                <w:rFonts w:ascii="Arial" w:hAnsi="Arial" w:cs="Arial"/>
                <w:sz w:val="24"/>
                <w:szCs w:val="24"/>
                <w:lang w:val="en-US"/>
              </w:rPr>
              <w:t>Pancreatic cancer</w:t>
            </w:r>
          </w:p>
        </w:tc>
        <w:tc>
          <w:tcPr>
            <w:tcW w:w="1324" w:type="dxa"/>
            <w:vAlign w:val="center"/>
          </w:tcPr>
          <w:p w14:paraId="5343A7D9" w14:textId="77777777" w:rsidR="00EA549D" w:rsidRDefault="00EA549D" w:rsidP="006A539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51B5D75" w14:textId="2253C185" w:rsidR="00EA549D" w:rsidRDefault="00BB52B0" w:rsidP="006A539A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93D">
              <w:rPr>
                <w:rFonts w:ascii="Arial" w:hAnsi="Arial" w:cs="Arial"/>
                <w:sz w:val="24"/>
                <w:szCs w:val="24"/>
              </w:rPr>
              <w:t>PANC-1; BxPC-3; SU.86.86; CAPAN-1</w:t>
            </w:r>
          </w:p>
          <w:p w14:paraId="4D968CE6" w14:textId="56C75D5E" w:rsidR="00EA549D" w:rsidRDefault="00EA549D" w:rsidP="00EA549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55BF0F" w14:textId="77777777" w:rsidR="00EA549D" w:rsidRDefault="00EA549D" w:rsidP="006A539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D499604" w14:textId="041A6CBF" w:rsidR="00BB52B0" w:rsidRPr="0023293D" w:rsidRDefault="00BB52B0" w:rsidP="00EA549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Align w:val="center"/>
          </w:tcPr>
          <w:p w14:paraId="4A5AA1B6" w14:textId="77777777" w:rsidR="00EA549D" w:rsidRDefault="00EA549D" w:rsidP="006A53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25AA6E" w14:textId="59A69087" w:rsidR="00EA549D" w:rsidRPr="00EA549D" w:rsidRDefault="00BB52B0" w:rsidP="006A539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A549D">
              <w:rPr>
                <w:rFonts w:ascii="Arial" w:hAnsi="Arial" w:cs="Arial"/>
                <w:sz w:val="24"/>
                <w:szCs w:val="24"/>
                <w:lang w:val="en-US"/>
              </w:rPr>
              <w:t xml:space="preserve">Healthy </w:t>
            </w:r>
            <w:r w:rsidR="00EA549D" w:rsidRPr="00EA549D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="00EA549D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="00EA549D" w:rsidRPr="00EA549D">
              <w:rPr>
                <w:rFonts w:ascii="Arial" w:hAnsi="Arial" w:cs="Arial"/>
                <w:sz w:val="24"/>
                <w:szCs w:val="24"/>
                <w:lang w:val="en-US"/>
              </w:rPr>
              <w:t>ncrea</w:t>
            </w:r>
            <w:r w:rsidR="006A539A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</w:p>
          <w:p w14:paraId="54110F82" w14:textId="77777777" w:rsidR="00EA549D" w:rsidRPr="00EA549D" w:rsidRDefault="00EA549D" w:rsidP="00EA549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D35F221" w14:textId="77777777" w:rsidR="00EA549D" w:rsidRPr="00EA549D" w:rsidRDefault="00EA549D" w:rsidP="00EA549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B0D158F" w14:textId="6807817E" w:rsidR="00EA549D" w:rsidRPr="00EA549D" w:rsidRDefault="00EA549D" w:rsidP="00EA549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853" w:type="dxa"/>
            <w:vAlign w:val="center"/>
          </w:tcPr>
          <w:p w14:paraId="0000DD67" w14:textId="4AE78C2E" w:rsidR="00EA549D" w:rsidRPr="00BB52B0" w:rsidRDefault="00BB52B0" w:rsidP="00D3412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52B0">
              <w:rPr>
                <w:rFonts w:ascii="Arial" w:hAnsi="Arial" w:cs="Arial"/>
                <w:sz w:val="24"/>
                <w:szCs w:val="24"/>
                <w:lang w:val="en-US"/>
              </w:rPr>
              <w:t>Anti-MOR (guinea pig polyclonal; Abcam, Cambridge, MA). Purified secondary antibody rabbit anti-guinea pig (polyclonal; Abcam).</w:t>
            </w:r>
          </w:p>
        </w:tc>
        <w:tc>
          <w:tcPr>
            <w:tcW w:w="3668" w:type="dxa"/>
            <w:vAlign w:val="center"/>
          </w:tcPr>
          <w:p w14:paraId="27A5BC78" w14:textId="77777777" w:rsidR="006A539A" w:rsidRDefault="006A539A" w:rsidP="00D3412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C3A72B6" w14:textId="2A7A0F32" w:rsidR="00BB52B0" w:rsidRPr="00BB52B0" w:rsidRDefault="00BB52B0" w:rsidP="00D3412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52B0">
              <w:rPr>
                <w:rFonts w:ascii="Arial" w:hAnsi="Arial" w:cs="Arial"/>
                <w:sz w:val="24"/>
                <w:szCs w:val="24"/>
                <w:lang w:val="en-US"/>
              </w:rPr>
              <w:t>MOR-forward (5’-TCTGGCTCCAAAGAAAAGGA-3’) and MOR-reverse (5’-CAATGCAGAAGTGCCAAGAA-3’) primers.</w:t>
            </w:r>
          </w:p>
        </w:tc>
      </w:tr>
      <w:tr w:rsidR="006A539A" w:rsidRPr="006A539A" w14:paraId="4862D43B" w14:textId="77777777" w:rsidTr="00D34121">
        <w:tc>
          <w:tcPr>
            <w:tcW w:w="3686" w:type="dxa"/>
            <w:vAlign w:val="center"/>
          </w:tcPr>
          <w:p w14:paraId="16DB9730" w14:textId="77777777" w:rsidR="006A539A" w:rsidRDefault="006A539A" w:rsidP="006A539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5DE8D0D3" w14:textId="2FF9A27E" w:rsidR="006A539A" w:rsidRPr="006A539A" w:rsidRDefault="006A539A" w:rsidP="006A539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A539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Singleton (2014)</w:t>
            </w:r>
          </w:p>
          <w:p w14:paraId="47A01FDE" w14:textId="77777777" w:rsidR="006A539A" w:rsidRDefault="006A539A" w:rsidP="006A539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C224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British Journal of Anesthesia</w:t>
            </w:r>
          </w:p>
          <w:p w14:paraId="64F37318" w14:textId="77777777" w:rsidR="006A539A" w:rsidRPr="00EA549D" w:rsidRDefault="006A539A" w:rsidP="006A539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DOI</w:t>
            </w:r>
            <w:r w:rsidRPr="00EA549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:10.1093/</w:t>
            </w:r>
            <w:proofErr w:type="spellStart"/>
            <w:r w:rsidRPr="00EA549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bja</w:t>
            </w:r>
            <w:proofErr w:type="spellEnd"/>
            <w:r w:rsidRPr="00EA549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/aeu165</w:t>
            </w:r>
          </w:p>
          <w:p w14:paraId="5302AF95" w14:textId="77777777" w:rsidR="006A539A" w:rsidRDefault="006A539A" w:rsidP="006A539A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51" w:type="dxa"/>
            <w:vAlign w:val="center"/>
          </w:tcPr>
          <w:p w14:paraId="2FCB9553" w14:textId="77777777" w:rsidR="006A539A" w:rsidRPr="00EA549D" w:rsidRDefault="006A539A" w:rsidP="006A539A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A549D">
              <w:rPr>
                <w:rFonts w:ascii="Arial" w:hAnsi="Arial" w:cs="Arial"/>
                <w:sz w:val="24"/>
                <w:szCs w:val="24"/>
                <w:lang w:val="en-US"/>
              </w:rPr>
              <w:t>Non-small cell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lung cancer</w:t>
            </w:r>
          </w:p>
          <w:p w14:paraId="2916D07B" w14:textId="77777777" w:rsidR="006A539A" w:rsidRPr="006A539A" w:rsidRDefault="006A539A" w:rsidP="006A539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6B48C0FE" w14:textId="78A1B9C4" w:rsidR="006A539A" w:rsidRDefault="006A539A" w:rsidP="006A539A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None</w:t>
            </w:r>
          </w:p>
        </w:tc>
        <w:tc>
          <w:tcPr>
            <w:tcW w:w="2020" w:type="dxa"/>
            <w:vAlign w:val="center"/>
          </w:tcPr>
          <w:p w14:paraId="6120C6F5" w14:textId="6F609A2C" w:rsidR="006A539A" w:rsidRPr="006A539A" w:rsidRDefault="006A539A" w:rsidP="006A539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52B0">
              <w:rPr>
                <w:rFonts w:ascii="Arial" w:hAnsi="Arial" w:cs="Arial"/>
                <w:sz w:val="24"/>
                <w:szCs w:val="24"/>
                <w:lang w:val="en-US"/>
              </w:rPr>
              <w:t>Corresponding non–tumor tissue samples</w:t>
            </w:r>
          </w:p>
        </w:tc>
        <w:tc>
          <w:tcPr>
            <w:tcW w:w="3853" w:type="dxa"/>
            <w:vAlign w:val="center"/>
          </w:tcPr>
          <w:p w14:paraId="417D9A6B" w14:textId="578A80E9" w:rsidR="006A539A" w:rsidRDefault="006A539A" w:rsidP="00D3412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Rabbit anti-MOR antibody 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GeneTex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, San Antonio, TX, USA)</w:t>
            </w:r>
          </w:p>
        </w:tc>
        <w:tc>
          <w:tcPr>
            <w:tcW w:w="3668" w:type="dxa"/>
            <w:vAlign w:val="center"/>
          </w:tcPr>
          <w:p w14:paraId="0A99C68D" w14:textId="77777777" w:rsidR="006A539A" w:rsidRDefault="006A539A" w:rsidP="00D3412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03C58668" w14:textId="12E71AA8" w:rsidR="00BB52B0" w:rsidRPr="00BB52B0" w:rsidRDefault="00BB52B0" w:rsidP="001D50B3">
      <w:pPr>
        <w:spacing w:line="360" w:lineRule="auto"/>
        <w:rPr>
          <w:rFonts w:asciiTheme="minorBidi" w:hAnsiTheme="minorBidi"/>
          <w:sz w:val="24"/>
          <w:szCs w:val="24"/>
          <w:lang w:val="en-US"/>
        </w:rPr>
      </w:pPr>
    </w:p>
    <w:sectPr w:rsidR="00BB52B0" w:rsidRPr="00BB52B0" w:rsidSect="00C22D7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B440C" w14:textId="77777777" w:rsidR="00FA42D7" w:rsidRDefault="00FA42D7" w:rsidP="00E03CE5">
      <w:r>
        <w:separator/>
      </w:r>
    </w:p>
  </w:endnote>
  <w:endnote w:type="continuationSeparator" w:id="0">
    <w:p w14:paraId="5E435BDF" w14:textId="77777777" w:rsidR="00FA42D7" w:rsidRDefault="00FA42D7" w:rsidP="00E0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179001"/>
      <w:docPartObj>
        <w:docPartGallery w:val="Page Numbers (Bottom of Page)"/>
        <w:docPartUnique/>
      </w:docPartObj>
    </w:sdtPr>
    <w:sdtEndPr/>
    <w:sdtContent>
      <w:p w14:paraId="1471D3EE" w14:textId="77777777" w:rsidR="00684028" w:rsidRDefault="00FF20CA">
        <w:pPr>
          <w:pStyle w:val="Footer"/>
          <w:jc w:val="center"/>
        </w:pPr>
        <w:r w:rsidRPr="000E1E94">
          <w:rPr>
            <w:rFonts w:asciiTheme="minorBidi" w:hAnsiTheme="minorBidi"/>
            <w:sz w:val="20"/>
            <w:szCs w:val="20"/>
          </w:rPr>
          <w:fldChar w:fldCharType="begin"/>
        </w:r>
        <w:r w:rsidR="00684028" w:rsidRPr="000E1E94">
          <w:rPr>
            <w:rFonts w:asciiTheme="minorBidi" w:hAnsiTheme="minorBidi"/>
            <w:sz w:val="20"/>
            <w:szCs w:val="20"/>
          </w:rPr>
          <w:instrText xml:space="preserve"> PAGE   \* MERGEFORMAT </w:instrText>
        </w:r>
        <w:r w:rsidRPr="000E1E94">
          <w:rPr>
            <w:rFonts w:asciiTheme="minorBidi" w:hAnsiTheme="minorBidi"/>
            <w:sz w:val="20"/>
            <w:szCs w:val="20"/>
          </w:rPr>
          <w:fldChar w:fldCharType="separate"/>
        </w:r>
        <w:r w:rsidR="002B1780">
          <w:rPr>
            <w:rFonts w:asciiTheme="minorBidi" w:hAnsiTheme="minorBidi"/>
            <w:noProof/>
            <w:sz w:val="20"/>
            <w:szCs w:val="20"/>
          </w:rPr>
          <w:t>2</w:t>
        </w:r>
        <w:r w:rsidRPr="000E1E94">
          <w:rPr>
            <w:rFonts w:asciiTheme="minorBidi" w:hAnsiTheme="minorBidi"/>
            <w:sz w:val="20"/>
            <w:szCs w:val="20"/>
          </w:rPr>
          <w:fldChar w:fldCharType="end"/>
        </w:r>
      </w:p>
    </w:sdtContent>
  </w:sdt>
  <w:p w14:paraId="6DDC109F" w14:textId="77777777" w:rsidR="00684028" w:rsidRDefault="006840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D2FD6" w14:textId="77777777" w:rsidR="00FA42D7" w:rsidRDefault="00FA42D7" w:rsidP="00E03CE5">
      <w:r>
        <w:separator/>
      </w:r>
    </w:p>
  </w:footnote>
  <w:footnote w:type="continuationSeparator" w:id="0">
    <w:p w14:paraId="1C4D4490" w14:textId="77777777" w:rsidR="00FA42D7" w:rsidRDefault="00FA42D7" w:rsidP="00E03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C2FE5"/>
    <w:multiLevelType w:val="hybridMultilevel"/>
    <w:tmpl w:val="5A0AA0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E2MLEws7QwsrQ0NLBQ0lEKTi0uzszPAykwMq8FAO0pEeYtAAAA"/>
  </w:docVars>
  <w:rsids>
    <w:rsidRoot w:val="008353F0"/>
    <w:rsid w:val="00000204"/>
    <w:rsid w:val="000262F6"/>
    <w:rsid w:val="000629FC"/>
    <w:rsid w:val="000867E9"/>
    <w:rsid w:val="0009289F"/>
    <w:rsid w:val="000A1445"/>
    <w:rsid w:val="000A71F6"/>
    <w:rsid w:val="000E1E94"/>
    <w:rsid w:val="00113A90"/>
    <w:rsid w:val="00116A7B"/>
    <w:rsid w:val="001230EE"/>
    <w:rsid w:val="00134B21"/>
    <w:rsid w:val="00143B0C"/>
    <w:rsid w:val="00147278"/>
    <w:rsid w:val="001602C4"/>
    <w:rsid w:val="001A3DA5"/>
    <w:rsid w:val="001A6CF7"/>
    <w:rsid w:val="001B0310"/>
    <w:rsid w:val="001D0C37"/>
    <w:rsid w:val="001D50B3"/>
    <w:rsid w:val="0020142A"/>
    <w:rsid w:val="00211677"/>
    <w:rsid w:val="00221E0A"/>
    <w:rsid w:val="00225437"/>
    <w:rsid w:val="0022568A"/>
    <w:rsid w:val="00286C83"/>
    <w:rsid w:val="002A08C9"/>
    <w:rsid w:val="002A1830"/>
    <w:rsid w:val="002A7878"/>
    <w:rsid w:val="002B1780"/>
    <w:rsid w:val="002F64F9"/>
    <w:rsid w:val="00316DF5"/>
    <w:rsid w:val="00317015"/>
    <w:rsid w:val="00342549"/>
    <w:rsid w:val="0038155D"/>
    <w:rsid w:val="00394947"/>
    <w:rsid w:val="0039544B"/>
    <w:rsid w:val="003A0A11"/>
    <w:rsid w:val="003A7B95"/>
    <w:rsid w:val="003E2618"/>
    <w:rsid w:val="003E2D25"/>
    <w:rsid w:val="003E7F73"/>
    <w:rsid w:val="003F0C90"/>
    <w:rsid w:val="00402BB9"/>
    <w:rsid w:val="004257DF"/>
    <w:rsid w:val="0042654F"/>
    <w:rsid w:val="00444225"/>
    <w:rsid w:val="004833ED"/>
    <w:rsid w:val="00494A04"/>
    <w:rsid w:val="00494C7E"/>
    <w:rsid w:val="004C27DD"/>
    <w:rsid w:val="004D1FB1"/>
    <w:rsid w:val="004D27A5"/>
    <w:rsid w:val="0050084F"/>
    <w:rsid w:val="005057FD"/>
    <w:rsid w:val="00555935"/>
    <w:rsid w:val="00565F4F"/>
    <w:rsid w:val="00582252"/>
    <w:rsid w:val="0058372F"/>
    <w:rsid w:val="00590010"/>
    <w:rsid w:val="005A263F"/>
    <w:rsid w:val="005A7D3C"/>
    <w:rsid w:val="005C19F9"/>
    <w:rsid w:val="005E0639"/>
    <w:rsid w:val="005E4977"/>
    <w:rsid w:val="005E6A68"/>
    <w:rsid w:val="0062165E"/>
    <w:rsid w:val="00621ADE"/>
    <w:rsid w:val="006320CE"/>
    <w:rsid w:val="006558CD"/>
    <w:rsid w:val="00666CCD"/>
    <w:rsid w:val="00667A27"/>
    <w:rsid w:val="00675738"/>
    <w:rsid w:val="00680380"/>
    <w:rsid w:val="00684028"/>
    <w:rsid w:val="00685D6A"/>
    <w:rsid w:val="00694DAC"/>
    <w:rsid w:val="006A0B81"/>
    <w:rsid w:val="006A539A"/>
    <w:rsid w:val="006B52AB"/>
    <w:rsid w:val="006C1B50"/>
    <w:rsid w:val="006C673F"/>
    <w:rsid w:val="006E6FF5"/>
    <w:rsid w:val="006E775A"/>
    <w:rsid w:val="00715082"/>
    <w:rsid w:val="007350B5"/>
    <w:rsid w:val="00754932"/>
    <w:rsid w:val="0077687A"/>
    <w:rsid w:val="00791E0C"/>
    <w:rsid w:val="007B625E"/>
    <w:rsid w:val="007C7B15"/>
    <w:rsid w:val="007D34F9"/>
    <w:rsid w:val="007E48EC"/>
    <w:rsid w:val="008353F0"/>
    <w:rsid w:val="00860AFE"/>
    <w:rsid w:val="00876BDB"/>
    <w:rsid w:val="008848DE"/>
    <w:rsid w:val="008A25A6"/>
    <w:rsid w:val="008B7927"/>
    <w:rsid w:val="008C0054"/>
    <w:rsid w:val="008C224F"/>
    <w:rsid w:val="008F658C"/>
    <w:rsid w:val="008F7F1C"/>
    <w:rsid w:val="009001E4"/>
    <w:rsid w:val="00934949"/>
    <w:rsid w:val="00934F43"/>
    <w:rsid w:val="00944414"/>
    <w:rsid w:val="009543BB"/>
    <w:rsid w:val="00970EBB"/>
    <w:rsid w:val="009752EC"/>
    <w:rsid w:val="00980652"/>
    <w:rsid w:val="009806F9"/>
    <w:rsid w:val="009A3612"/>
    <w:rsid w:val="009B2572"/>
    <w:rsid w:val="009E0D94"/>
    <w:rsid w:val="00A07FBC"/>
    <w:rsid w:val="00A34EAD"/>
    <w:rsid w:val="00A47B93"/>
    <w:rsid w:val="00A738E9"/>
    <w:rsid w:val="00AC6BC5"/>
    <w:rsid w:val="00AD188B"/>
    <w:rsid w:val="00AD3845"/>
    <w:rsid w:val="00AD77D0"/>
    <w:rsid w:val="00AE79C5"/>
    <w:rsid w:val="00B375F1"/>
    <w:rsid w:val="00B533B8"/>
    <w:rsid w:val="00B70B79"/>
    <w:rsid w:val="00B91675"/>
    <w:rsid w:val="00BA6757"/>
    <w:rsid w:val="00BB52B0"/>
    <w:rsid w:val="00C00393"/>
    <w:rsid w:val="00C04320"/>
    <w:rsid w:val="00C22D78"/>
    <w:rsid w:val="00C60CD2"/>
    <w:rsid w:val="00C62A3F"/>
    <w:rsid w:val="00CD5E31"/>
    <w:rsid w:val="00CF0A24"/>
    <w:rsid w:val="00D15CB3"/>
    <w:rsid w:val="00D17954"/>
    <w:rsid w:val="00D3523F"/>
    <w:rsid w:val="00D36EB9"/>
    <w:rsid w:val="00D378ED"/>
    <w:rsid w:val="00D740C2"/>
    <w:rsid w:val="00D74F71"/>
    <w:rsid w:val="00D76E80"/>
    <w:rsid w:val="00D82468"/>
    <w:rsid w:val="00D832C8"/>
    <w:rsid w:val="00D93F1C"/>
    <w:rsid w:val="00DB1CEE"/>
    <w:rsid w:val="00DC2917"/>
    <w:rsid w:val="00DD3D77"/>
    <w:rsid w:val="00E03CE5"/>
    <w:rsid w:val="00E23276"/>
    <w:rsid w:val="00E31B67"/>
    <w:rsid w:val="00E552AB"/>
    <w:rsid w:val="00E60BDA"/>
    <w:rsid w:val="00E97FC2"/>
    <w:rsid w:val="00EA549D"/>
    <w:rsid w:val="00EB4F37"/>
    <w:rsid w:val="00EB702A"/>
    <w:rsid w:val="00ED07A6"/>
    <w:rsid w:val="00ED31C8"/>
    <w:rsid w:val="00EF20C9"/>
    <w:rsid w:val="00F01642"/>
    <w:rsid w:val="00F14DD4"/>
    <w:rsid w:val="00F420B1"/>
    <w:rsid w:val="00F92A37"/>
    <w:rsid w:val="00FA42D7"/>
    <w:rsid w:val="00FA5A3D"/>
    <w:rsid w:val="00FC0D6A"/>
    <w:rsid w:val="00FC2E49"/>
    <w:rsid w:val="00FC7450"/>
    <w:rsid w:val="00FF0D47"/>
    <w:rsid w:val="00FF20CA"/>
    <w:rsid w:val="00FF32E4"/>
    <w:rsid w:val="00FF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0F7FB"/>
  <w15:docId w15:val="{9ABF0257-B088-4B74-ACCF-9918898E3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B93"/>
  </w:style>
  <w:style w:type="paragraph" w:styleId="Heading1">
    <w:name w:val="heading 1"/>
    <w:basedOn w:val="Normal"/>
    <w:next w:val="Normal"/>
    <w:link w:val="Heading1Char"/>
    <w:uiPriority w:val="9"/>
    <w:qFormat/>
    <w:rsid w:val="00F016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C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7B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B93"/>
    <w:rPr>
      <w:rFonts w:ascii="Tahoma" w:hAnsi="Tahoma" w:cs="Tahoma"/>
      <w:sz w:val="16"/>
      <w:szCs w:val="16"/>
    </w:rPr>
  </w:style>
  <w:style w:type="paragraph" w:customStyle="1" w:styleId="Listavistosa-nfasis11">
    <w:name w:val="Lista vistosa - Énfasis 11"/>
    <w:basedOn w:val="Normal"/>
    <w:uiPriority w:val="34"/>
    <w:qFormat/>
    <w:rsid w:val="00E03CE5"/>
    <w:pPr>
      <w:ind w:left="720"/>
      <w:contextualSpacing/>
      <w:jc w:val="left"/>
    </w:pPr>
    <w:rPr>
      <w:rFonts w:ascii="Calibri" w:eastAsia="Calibri" w:hAnsi="Calibri" w:cs="Arial"/>
      <w:sz w:val="24"/>
      <w:szCs w:val="24"/>
      <w:lang w:val="es-ES_tradnl"/>
    </w:rPr>
  </w:style>
  <w:style w:type="paragraph" w:styleId="Header">
    <w:name w:val="header"/>
    <w:basedOn w:val="Normal"/>
    <w:link w:val="HeaderChar"/>
    <w:uiPriority w:val="99"/>
    <w:unhideWhenUsed/>
    <w:rsid w:val="00E03CE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CE5"/>
  </w:style>
  <w:style w:type="paragraph" w:styleId="Footer">
    <w:name w:val="footer"/>
    <w:basedOn w:val="Normal"/>
    <w:link w:val="FooterChar"/>
    <w:uiPriority w:val="99"/>
    <w:unhideWhenUsed/>
    <w:rsid w:val="00E03CE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CE5"/>
  </w:style>
  <w:style w:type="paragraph" w:styleId="HTMLPreformatted">
    <w:name w:val="HTML Preformatted"/>
    <w:basedOn w:val="Normal"/>
    <w:link w:val="HTMLPreformattedChar"/>
    <w:uiPriority w:val="99"/>
    <w:unhideWhenUsed/>
    <w:rsid w:val="009349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34949"/>
    <w:rPr>
      <w:rFonts w:ascii="Courier New" w:eastAsia="Times New Roman" w:hAnsi="Courier New" w:cs="Courier New"/>
      <w:sz w:val="20"/>
      <w:szCs w:val="20"/>
      <w:lang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9349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49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4949"/>
    <w:rPr>
      <w:sz w:val="20"/>
      <w:szCs w:val="20"/>
    </w:rPr>
  </w:style>
  <w:style w:type="table" w:styleId="TableGrid">
    <w:name w:val="Table Grid"/>
    <w:basedOn w:val="TableNormal"/>
    <w:uiPriority w:val="39"/>
    <w:rsid w:val="00934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link w:val="NoSpacingChar"/>
    <w:uiPriority w:val="1"/>
    <w:qFormat/>
    <w:rsid w:val="00494A04"/>
    <w:rPr>
      <w:rFonts w:ascii="Times New Roman" w:eastAsiaTheme="minorEastAsia" w:hAnsi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94A04"/>
    <w:rPr>
      <w:rFonts w:ascii="Times New Roman" w:eastAsiaTheme="minorEastAsia" w:hAnsi="Times New Roman"/>
      <w:lang w:val="en-US"/>
    </w:rPr>
  </w:style>
  <w:style w:type="table" w:customStyle="1" w:styleId="Listaclara1">
    <w:name w:val="Lista clara1"/>
    <w:basedOn w:val="TableNormal"/>
    <w:uiPriority w:val="61"/>
    <w:rsid w:val="00C62A3F"/>
    <w:pPr>
      <w:jc w:val="left"/>
    </w:pPr>
    <w:rPr>
      <w:rFonts w:eastAsiaTheme="minorEastAsia"/>
      <w:sz w:val="24"/>
      <w:szCs w:val="24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gnkrckgcgsb">
    <w:name w:val="gnkrckgcgsb"/>
    <w:basedOn w:val="DefaultParagraphFont"/>
    <w:rsid w:val="0062165E"/>
  </w:style>
  <w:style w:type="character" w:customStyle="1" w:styleId="Heading3Char">
    <w:name w:val="Heading 3 Char"/>
    <w:basedOn w:val="DefaultParagraphFont"/>
    <w:link w:val="Heading3"/>
    <w:uiPriority w:val="9"/>
    <w:semiHidden/>
    <w:rsid w:val="00DB1C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F016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01642"/>
    <w:pPr>
      <w:spacing w:line="276" w:lineRule="auto"/>
      <w:jc w:val="left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01642"/>
    <w:pPr>
      <w:spacing w:after="100" w:line="276" w:lineRule="auto"/>
      <w:ind w:left="220"/>
      <w:jc w:val="left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F01642"/>
    <w:pPr>
      <w:spacing w:after="100" w:line="276" w:lineRule="auto"/>
      <w:jc w:val="left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01642"/>
    <w:pPr>
      <w:spacing w:after="100" w:line="276" w:lineRule="auto"/>
      <w:ind w:left="440"/>
      <w:jc w:val="left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B533B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A549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C22D78"/>
    <w:pPr>
      <w:numPr>
        <w:ilvl w:val="0"/>
      </w:numPr>
      <w:spacing w:before="240" w:after="240"/>
      <w:jc w:val="left"/>
    </w:pPr>
    <w:rPr>
      <w:rFonts w:ascii="Times New Roman" w:eastAsia="Calibri" w:hAnsi="Times New Roman" w:cs="Times New Roman"/>
      <w:b/>
      <w:color w:val="auto"/>
      <w:spacing w:val="0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D7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22D7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1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20T16:49:53.552"/>
    </inkml:context>
    <inkml:brush xml:id="br0">
      <inkml:brushProperty name="width" value="0.1" units="cm"/>
      <inkml:brushProperty name="height" value="0.6" units="cm"/>
      <inkml:brushProperty name="inkEffects" value="pencil"/>
    </inkml:brush>
  </inkml:definitions>
  <inkml:trace contextRef="#ctx0" brushRef="#br0">0 1 16383,'0'0'0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/>
</file>

<file path=customXml/itemProps1.xml><?xml version="1.0" encoding="utf-8"?>
<ds:datastoreItem xmlns:ds="http://schemas.openxmlformats.org/officeDocument/2006/customXml" ds:itemID="{87F8E660-3975-4EFE-9A2D-F8DC1FB83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892</Words>
  <Characters>5085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 Mazzinari</dc:creator>
  <cp:lastModifiedBy>Guido Mazzinari</cp:lastModifiedBy>
  <cp:revision>3</cp:revision>
  <cp:lastPrinted>2020-01-05T10:04:00Z</cp:lastPrinted>
  <dcterms:created xsi:type="dcterms:W3CDTF">2022-03-01T07:56:00Z</dcterms:created>
  <dcterms:modified xsi:type="dcterms:W3CDTF">2022-03-01T07:57:00Z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</Properties>
</file>