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08253296" w:rsidR="00654E8F" w:rsidRDefault="00654E8F" w:rsidP="004C7216">
      <w:pPr>
        <w:rPr>
          <w:b/>
        </w:rPr>
      </w:pPr>
      <w:r w:rsidRPr="001549D3">
        <w:t>Supplementary Material</w:t>
      </w:r>
      <w:r w:rsidR="004C7216">
        <w:t xml:space="preserve"> for </w:t>
      </w:r>
      <w:r w:rsidR="004C7216" w:rsidRPr="004C7216">
        <w:rPr>
          <w:b/>
        </w:rPr>
        <w:t>Water and Rock Chemistry Inform our Understanding of the Deep Biosphere: Case Study in an Archaean Banded Iron Formation</w:t>
      </w:r>
    </w:p>
    <w:p w14:paraId="16126C80" w14:textId="0CB25798" w:rsidR="004C7216" w:rsidRDefault="004C7216" w:rsidP="004C7216">
      <w:pPr>
        <w:spacing w:before="240"/>
      </w:pPr>
      <w:r>
        <w:rPr>
          <w:rFonts w:eastAsia="Times New Roman" w:cs="Times New Roman"/>
          <w:szCs w:val="24"/>
        </w:rPr>
        <w:t>Christopher J. Schuler, Lindsey J. Briscoe, Scott C. Alex</w:t>
      </w:r>
      <w:r w:rsidR="00E36A19">
        <w:rPr>
          <w:rFonts w:eastAsia="Times New Roman" w:cs="Times New Roman"/>
          <w:szCs w:val="24"/>
        </w:rPr>
        <w:t>ander, E. Calvin Alexander Jr.</w:t>
      </w:r>
      <w:r>
        <w:rPr>
          <w:rFonts w:eastAsia="Times New Roman" w:cs="Times New Roman"/>
          <w:szCs w:val="24"/>
        </w:rPr>
        <w:t xml:space="preserve">, Jeffrey A. </w:t>
      </w:r>
      <w:proofErr w:type="spellStart"/>
      <w:r>
        <w:rPr>
          <w:rFonts w:eastAsia="Times New Roman" w:cs="Times New Roman"/>
          <w:szCs w:val="24"/>
        </w:rPr>
        <w:t>Gralnick</w:t>
      </w:r>
      <w:proofErr w:type="spellEnd"/>
      <w:r>
        <w:rPr>
          <w:rFonts w:eastAsia="Times New Roman" w:cs="Times New Roman"/>
          <w:szCs w:val="24"/>
        </w:rPr>
        <w:t>, Cara M. Santelli, Brandy M. Toner</w:t>
      </w:r>
    </w:p>
    <w:p w14:paraId="43260B55" w14:textId="7BDA1058" w:rsidR="004C7216" w:rsidRDefault="004C7216" w:rsidP="004C7216">
      <w:pPr>
        <w:spacing w:before="240"/>
      </w:pPr>
      <w:r>
        <w:t>Corresponding author: Brandy M. Toner</w:t>
      </w:r>
    </w:p>
    <w:p w14:paraId="62682FAC" w14:textId="6DB9EDC2" w:rsidR="004C7216" w:rsidRDefault="004C7216" w:rsidP="004C7216">
      <w:pPr>
        <w:spacing w:before="240"/>
      </w:pPr>
      <w:r>
        <w:t xml:space="preserve">Email: </w:t>
      </w:r>
      <w:hyperlink r:id="rId8" w:history="1">
        <w:r w:rsidRPr="005B1B84">
          <w:rPr>
            <w:rStyle w:val="Hyperlink"/>
          </w:rPr>
          <w:t>toner@umn.edu</w:t>
        </w:r>
      </w:hyperlink>
    </w:p>
    <w:p w14:paraId="10E32158" w14:textId="7482D5CD" w:rsidR="004C7216" w:rsidRDefault="004C7216" w:rsidP="004C7216">
      <w:pPr>
        <w:spacing w:before="240"/>
      </w:pPr>
    </w:p>
    <w:p w14:paraId="5A511973" w14:textId="744A33E8" w:rsidR="004C7216" w:rsidRDefault="004C7216" w:rsidP="004C7216">
      <w:pPr>
        <w:spacing w:before="240"/>
      </w:pPr>
    </w:p>
    <w:p w14:paraId="5DB63108" w14:textId="3183F386" w:rsidR="004C7216" w:rsidRDefault="004C7216" w:rsidP="004C7216">
      <w:pPr>
        <w:spacing w:before="240"/>
      </w:pPr>
    </w:p>
    <w:p w14:paraId="2E221992" w14:textId="6D3BD139" w:rsidR="004C7216" w:rsidRDefault="004C7216" w:rsidP="004C7216">
      <w:pPr>
        <w:spacing w:before="240"/>
      </w:pPr>
    </w:p>
    <w:p w14:paraId="2AD67A15" w14:textId="01165392" w:rsidR="004C7216" w:rsidRDefault="004C7216" w:rsidP="004C7216">
      <w:pPr>
        <w:spacing w:before="240"/>
      </w:pPr>
    </w:p>
    <w:p w14:paraId="5090B6A5" w14:textId="5ABBB108" w:rsidR="004C7216" w:rsidRDefault="004C7216" w:rsidP="004C7216">
      <w:pPr>
        <w:spacing w:before="240"/>
      </w:pPr>
    </w:p>
    <w:p w14:paraId="6D836415" w14:textId="64A37436" w:rsidR="004C7216" w:rsidRDefault="004C7216" w:rsidP="004C7216">
      <w:pPr>
        <w:spacing w:before="240"/>
      </w:pPr>
    </w:p>
    <w:p w14:paraId="6DAE1BBF" w14:textId="4B6B7050" w:rsidR="004C7216" w:rsidRDefault="004C7216" w:rsidP="004C7216">
      <w:pPr>
        <w:spacing w:before="240"/>
      </w:pPr>
    </w:p>
    <w:p w14:paraId="73C085B3" w14:textId="3BD61FA9" w:rsidR="004C7216" w:rsidRDefault="004C7216" w:rsidP="004C7216">
      <w:pPr>
        <w:spacing w:before="240"/>
      </w:pPr>
    </w:p>
    <w:p w14:paraId="20896525" w14:textId="51FA129C" w:rsidR="004C7216" w:rsidRDefault="004C7216" w:rsidP="004C7216">
      <w:pPr>
        <w:spacing w:before="240"/>
      </w:pPr>
    </w:p>
    <w:p w14:paraId="01A8C02B" w14:textId="41E0EEC3" w:rsidR="004C7216" w:rsidRDefault="004C7216" w:rsidP="004C7216">
      <w:pPr>
        <w:spacing w:before="240"/>
      </w:pPr>
    </w:p>
    <w:p w14:paraId="6D349112" w14:textId="14AE49DE" w:rsidR="004C7216" w:rsidRDefault="004C7216" w:rsidP="004C7216">
      <w:pPr>
        <w:spacing w:before="240"/>
      </w:pPr>
    </w:p>
    <w:p w14:paraId="7D547388" w14:textId="2BE116DA" w:rsidR="004C7216" w:rsidRDefault="004C7216" w:rsidP="004C7216">
      <w:pPr>
        <w:spacing w:before="240"/>
      </w:pPr>
    </w:p>
    <w:p w14:paraId="75367924" w14:textId="45D25303" w:rsidR="004C7216" w:rsidRDefault="004C7216" w:rsidP="004C7216">
      <w:pPr>
        <w:spacing w:before="240"/>
      </w:pPr>
    </w:p>
    <w:p w14:paraId="30C77A86" w14:textId="6FB437C0" w:rsidR="004C7216" w:rsidRDefault="004C7216" w:rsidP="004C7216">
      <w:pPr>
        <w:spacing w:before="240"/>
      </w:pPr>
    </w:p>
    <w:p w14:paraId="6FCBAF1E" w14:textId="740A012A" w:rsidR="004C7216" w:rsidRDefault="004C7216" w:rsidP="004C7216">
      <w:pPr>
        <w:spacing w:before="240"/>
      </w:pPr>
    </w:p>
    <w:p w14:paraId="3EDB9E6C" w14:textId="0A5959F2" w:rsidR="004C7216" w:rsidRDefault="004C7216" w:rsidP="004C7216">
      <w:pPr>
        <w:spacing w:before="240"/>
      </w:pPr>
    </w:p>
    <w:p w14:paraId="20DC620C" w14:textId="41AA24A0" w:rsidR="004C7216" w:rsidRDefault="004C7216" w:rsidP="004C7216">
      <w:pPr>
        <w:spacing w:before="240"/>
      </w:pPr>
    </w:p>
    <w:p w14:paraId="374BE5CB" w14:textId="75BB6426" w:rsidR="004C7216" w:rsidRDefault="004C7216" w:rsidP="004C7216">
      <w:pPr>
        <w:spacing w:before="240"/>
      </w:pPr>
    </w:p>
    <w:p w14:paraId="30FE09FB" w14:textId="77777777" w:rsidR="004C7216" w:rsidRDefault="004C7216" w:rsidP="004C7216">
      <w:pPr>
        <w:spacing w:before="240"/>
      </w:pPr>
    </w:p>
    <w:p w14:paraId="399AAA83" w14:textId="77777777" w:rsidR="004C7216" w:rsidRDefault="00994A3D" w:rsidP="004C7216">
      <w:pPr>
        <w:pStyle w:val="Heading1"/>
      </w:pPr>
      <w:r w:rsidRPr="0001436A">
        <w:lastRenderedPageBreak/>
        <w:t>Supplementary</w:t>
      </w:r>
      <w:r w:rsidRPr="001549D3">
        <w:t xml:space="preserve"> Figures</w:t>
      </w:r>
    </w:p>
    <w:p w14:paraId="3AE196DF" w14:textId="6482A2CF" w:rsidR="00994A3D" w:rsidRPr="004C7216" w:rsidRDefault="004C7216" w:rsidP="004C7216">
      <w:r>
        <w:rPr>
          <w:noProof/>
        </w:rPr>
        <w:drawing>
          <wp:inline distT="19050" distB="19050" distL="19050" distR="19050" wp14:anchorId="2913340E" wp14:editId="60C0C46A">
            <wp:extent cx="5943600" cy="44958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4495800"/>
                    </a:xfrm>
                    <a:prstGeom prst="rect">
                      <a:avLst/>
                    </a:prstGeom>
                    <a:ln/>
                  </pic:spPr>
                </pic:pic>
              </a:graphicData>
            </a:graphic>
          </wp:inline>
        </w:drawing>
      </w:r>
      <w:r w:rsidR="00994A3D" w:rsidRPr="0001436A">
        <w:rPr>
          <w:rFonts w:cs="Times New Roman"/>
          <w:b/>
          <w:szCs w:val="24"/>
        </w:rPr>
        <w:t xml:space="preserve">Supplementary Figure </w:t>
      </w:r>
      <w:r w:rsidR="00994A3D" w:rsidRPr="0001436A">
        <w:rPr>
          <w:rFonts w:cs="Times New Roman"/>
          <w:b/>
          <w:szCs w:val="24"/>
        </w:rPr>
        <w:fldChar w:fldCharType="begin"/>
      </w:r>
      <w:r w:rsidR="00994A3D" w:rsidRPr="0001436A">
        <w:rPr>
          <w:rFonts w:cs="Times New Roman"/>
          <w:b/>
          <w:szCs w:val="24"/>
        </w:rPr>
        <w:instrText xml:space="preserve"> SEQ Figure \* ARABIC </w:instrText>
      </w:r>
      <w:r w:rsidR="00994A3D" w:rsidRPr="0001436A">
        <w:rPr>
          <w:rFonts w:cs="Times New Roman"/>
          <w:b/>
          <w:szCs w:val="24"/>
        </w:rPr>
        <w:fldChar w:fldCharType="separate"/>
      </w:r>
      <w:r w:rsidR="00ED20B5">
        <w:rPr>
          <w:rFonts w:cs="Times New Roman"/>
          <w:b/>
          <w:noProof/>
          <w:szCs w:val="24"/>
        </w:rPr>
        <w:t>1</w:t>
      </w:r>
      <w:r w:rsidR="00994A3D" w:rsidRPr="0001436A">
        <w:rPr>
          <w:rFonts w:cs="Times New Roman"/>
          <w:b/>
          <w:szCs w:val="24"/>
        </w:rPr>
        <w:fldChar w:fldCharType="end"/>
      </w:r>
      <w:r w:rsidR="00994A3D" w:rsidRPr="0001436A">
        <w:rPr>
          <w:rFonts w:cs="Times New Roman"/>
          <w:b/>
          <w:szCs w:val="24"/>
        </w:rPr>
        <w:t>.</w:t>
      </w:r>
      <w:r w:rsidR="00994A3D" w:rsidRPr="001549D3">
        <w:rPr>
          <w:rFonts w:cs="Times New Roman"/>
          <w:szCs w:val="24"/>
        </w:rPr>
        <w:t xml:space="preserve"> </w:t>
      </w:r>
      <w:r>
        <w:rPr>
          <w:rFonts w:eastAsia="Times New Roman" w:cs="Times New Roman"/>
          <w:szCs w:val="24"/>
        </w:rPr>
        <w:t>Photos of boreholes. Clockwise from upper left: DDH 932 (West drift, downward), DDH 933 (East drift, downward), DDH 942 (West drift, downward), DDH 944 (West drift, downward), DDH 951 (West drift, downward), and DDH 962 (East drift, horizontal).</w:t>
      </w:r>
      <w:r w:rsidR="00994A3D" w:rsidRPr="001549D3">
        <w:rPr>
          <w:rFonts w:cs="Times New Roman"/>
          <w:szCs w:val="24"/>
        </w:rPr>
        <w:t xml:space="preserve"> </w:t>
      </w:r>
    </w:p>
    <w:p w14:paraId="72B658D7" w14:textId="417CE73B" w:rsidR="004C7216" w:rsidRPr="001549D3" w:rsidRDefault="004C7216" w:rsidP="004C7216">
      <w:pPr>
        <w:keepNext/>
        <w:jc w:val="center"/>
        <w:rPr>
          <w:rFonts w:cs="Times New Roman"/>
          <w:szCs w:val="24"/>
        </w:rPr>
      </w:pPr>
      <w:r>
        <w:rPr>
          <w:rFonts w:eastAsia="Times New Roman" w:cs="Times New Roman"/>
          <w:noProof/>
          <w:szCs w:val="24"/>
        </w:rPr>
        <w:lastRenderedPageBreak/>
        <w:drawing>
          <wp:inline distT="19050" distB="19050" distL="19050" distR="19050" wp14:anchorId="6FBF9B85" wp14:editId="24BE3C66">
            <wp:extent cx="5176838" cy="4106626"/>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176838" cy="4106626"/>
                    </a:xfrm>
                    <a:prstGeom prst="rect">
                      <a:avLst/>
                    </a:prstGeom>
                    <a:ln/>
                  </pic:spPr>
                </pic:pic>
              </a:graphicData>
            </a:graphic>
          </wp:inline>
        </w:drawing>
      </w:r>
    </w:p>
    <w:p w14:paraId="4E99AF2E" w14:textId="09A765FD" w:rsidR="004C7216" w:rsidRDefault="004C7216" w:rsidP="004C7216">
      <w:pPr>
        <w:keepNext/>
        <w:rPr>
          <w:rFonts w:eastAsia="Times New Roman"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Pr>
          <w:rFonts w:eastAsia="Times New Roman" w:cs="Times New Roman"/>
          <w:szCs w:val="24"/>
        </w:rPr>
        <w:t>Photos of skeletonized &amp; archived Soudan core. Core pictured is from DDH 942 (top) and DDH 951 (bottom).</w:t>
      </w:r>
    </w:p>
    <w:p w14:paraId="6D01DB64" w14:textId="1F1A513F" w:rsidR="004C7216" w:rsidRPr="001549D3" w:rsidRDefault="004C7216" w:rsidP="004C7216">
      <w:pPr>
        <w:keepNext/>
        <w:jc w:val="center"/>
        <w:rPr>
          <w:rFonts w:cs="Times New Roman"/>
          <w:szCs w:val="24"/>
        </w:rPr>
      </w:pPr>
      <w:r>
        <w:rPr>
          <w:rFonts w:eastAsia="Times New Roman" w:cs="Times New Roman"/>
          <w:noProof/>
          <w:szCs w:val="24"/>
        </w:rPr>
        <w:drawing>
          <wp:inline distT="19050" distB="19050" distL="19050" distR="19050" wp14:anchorId="4FABA225" wp14:editId="0678517E">
            <wp:extent cx="3890963" cy="263468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890963" cy="2634688"/>
                    </a:xfrm>
                    <a:prstGeom prst="rect">
                      <a:avLst/>
                    </a:prstGeom>
                    <a:ln/>
                  </pic:spPr>
                </pic:pic>
              </a:graphicData>
            </a:graphic>
          </wp:inline>
        </w:drawing>
      </w:r>
    </w:p>
    <w:p w14:paraId="316F1B0E" w14:textId="77777777" w:rsidR="004C7216" w:rsidRDefault="004C7216" w:rsidP="004C7216">
      <w:pPr>
        <w:widowControl w:val="0"/>
        <w:rPr>
          <w:rFonts w:eastAsia="Times New Roman" w:cs="Times New Roman"/>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Pr>
          <w:rFonts w:eastAsia="Times New Roman" w:cs="Times New Roman"/>
          <w:szCs w:val="24"/>
        </w:rPr>
        <w:t xml:space="preserve">Deviation of Hydrogen and Oxygen isotopes of Soudan borehole water samples relative to VSMOW. The black line shows local meteoric water regression calculated from Ely, MN, USA precipitation sampled between </w:t>
      </w:r>
      <w:proofErr w:type="gramStart"/>
      <w:r>
        <w:rPr>
          <w:rFonts w:eastAsia="Times New Roman" w:cs="Times New Roman"/>
          <w:szCs w:val="24"/>
        </w:rPr>
        <w:t>April</w:t>
      </w:r>
      <w:proofErr w:type="gramEnd"/>
      <w:r>
        <w:rPr>
          <w:rFonts w:eastAsia="Times New Roman" w:cs="Times New Roman"/>
          <w:szCs w:val="24"/>
        </w:rPr>
        <w:t xml:space="preserve"> - November, 1996.</w:t>
      </w:r>
    </w:p>
    <w:p w14:paraId="0A62C5EE" w14:textId="4F180B78" w:rsidR="004C7216" w:rsidRPr="001549D3" w:rsidRDefault="00C82775" w:rsidP="00C82775">
      <w:pPr>
        <w:keepNext/>
        <w:rPr>
          <w:rFonts w:cs="Times New Roman"/>
          <w:szCs w:val="24"/>
        </w:rPr>
      </w:pPr>
      <w:r>
        <w:rPr>
          <w:noProof/>
        </w:rPr>
        <w:lastRenderedPageBreak/>
        <w:drawing>
          <wp:inline distT="0" distB="0" distL="0" distR="0" wp14:anchorId="687CCF30" wp14:editId="051B827E">
            <wp:extent cx="6208395" cy="259334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8395" cy="2593340"/>
                    </a:xfrm>
                    <a:prstGeom prst="rect">
                      <a:avLst/>
                    </a:prstGeom>
                  </pic:spPr>
                </pic:pic>
              </a:graphicData>
            </a:graphic>
          </wp:inline>
        </w:drawing>
      </w:r>
    </w:p>
    <w:p w14:paraId="0A500292" w14:textId="7BB20EA8" w:rsidR="004C7216" w:rsidRDefault="004C7216" w:rsidP="004C7216">
      <w:pPr>
        <w:widowControl w:val="0"/>
        <w:rPr>
          <w:rFonts w:eastAsia="Times New Roman" w:cs="Times New Roman"/>
          <w:szCs w:val="24"/>
        </w:rPr>
      </w:pP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1549D3">
        <w:rPr>
          <w:rFonts w:cs="Times New Roman"/>
          <w:szCs w:val="24"/>
        </w:rPr>
        <w:t xml:space="preserve"> </w:t>
      </w:r>
      <w:r>
        <w:rPr>
          <w:rFonts w:eastAsia="Times New Roman" w:cs="Times New Roman"/>
          <w:szCs w:val="24"/>
        </w:rPr>
        <w:t>Diagrams showing mixing in Soudan aquifers. (a) Ca</w:t>
      </w:r>
      <w:r>
        <w:rPr>
          <w:rFonts w:eastAsia="Times New Roman" w:cs="Times New Roman"/>
          <w:szCs w:val="24"/>
          <w:vertAlign w:val="superscript"/>
        </w:rPr>
        <w:t>2+</w:t>
      </w:r>
      <w:r>
        <w:rPr>
          <w:rFonts w:eastAsia="Times New Roman" w:cs="Times New Roman"/>
          <w:szCs w:val="24"/>
        </w:rPr>
        <w:t xml:space="preserve"> concentrations versus Cl</w:t>
      </w:r>
      <w:r>
        <w:rPr>
          <w:rFonts w:eastAsia="Times New Roman" w:cs="Times New Roman"/>
          <w:szCs w:val="24"/>
          <w:vertAlign w:val="superscript"/>
        </w:rPr>
        <w:t xml:space="preserve">- </w:t>
      </w:r>
      <w:r>
        <w:rPr>
          <w:rFonts w:eastAsia="Times New Roman" w:cs="Times New Roman"/>
          <w:szCs w:val="24"/>
        </w:rPr>
        <w:t>concentrations in Soudan borehole water, with the black line indicating a regression based on these values (R</w:t>
      </w:r>
      <w:r>
        <w:rPr>
          <w:rFonts w:eastAsia="Times New Roman" w:cs="Times New Roman"/>
          <w:szCs w:val="24"/>
          <w:vertAlign w:val="superscript"/>
        </w:rPr>
        <w:t>2</w:t>
      </w:r>
      <w:r>
        <w:rPr>
          <w:rFonts w:eastAsia="Times New Roman" w:cs="Times New Roman"/>
          <w:szCs w:val="24"/>
        </w:rPr>
        <w:t xml:space="preserve"> = 0.9979). Black points are surface water samples taken from a spring in the town of Soudan, MN and from the nearby Lake Vermillion. (b) Deuterium excess, as compared to Ely, MN precipitation, versus Cl</w:t>
      </w:r>
      <w:r>
        <w:rPr>
          <w:rFonts w:eastAsia="Times New Roman" w:cs="Times New Roman"/>
          <w:szCs w:val="24"/>
          <w:vertAlign w:val="superscript"/>
        </w:rPr>
        <w:t>-</w:t>
      </w:r>
      <w:r>
        <w:rPr>
          <w:rFonts w:eastAsia="Times New Roman" w:cs="Times New Roman"/>
          <w:szCs w:val="24"/>
        </w:rPr>
        <w:t xml:space="preserve"> concentrations in Soudan borehole water, with the black line indicating a regression based on these values (R</w:t>
      </w:r>
      <w:r>
        <w:rPr>
          <w:rFonts w:eastAsia="Times New Roman" w:cs="Times New Roman"/>
          <w:szCs w:val="24"/>
          <w:vertAlign w:val="superscript"/>
        </w:rPr>
        <w:t>2</w:t>
      </w:r>
      <w:r>
        <w:rPr>
          <w:rFonts w:eastAsia="Times New Roman" w:cs="Times New Roman"/>
          <w:szCs w:val="24"/>
        </w:rPr>
        <w:t xml:space="preserve"> = </w:t>
      </w:r>
      <w:r w:rsidR="00E36A19">
        <w:rPr>
          <w:rFonts w:eastAsia="Times New Roman" w:cs="Times New Roman"/>
          <w:szCs w:val="24"/>
        </w:rPr>
        <w:t>0.7473</w:t>
      </w:r>
      <w:r>
        <w:rPr>
          <w:rFonts w:eastAsia="Times New Roman" w:cs="Times New Roman"/>
          <w:szCs w:val="24"/>
        </w:rPr>
        <w:t>). Black points indicate deuterium excess of Lake Vermillion surface water sample (below the regression line) and an average of Ely, MN precipitation deuterium excess.</w:t>
      </w:r>
    </w:p>
    <w:p w14:paraId="72FFCFBE" w14:textId="7B7D13AB" w:rsidR="004C7216" w:rsidRPr="001549D3" w:rsidRDefault="00C82775" w:rsidP="00C82775">
      <w:pPr>
        <w:keepNext/>
        <w:jc w:val="center"/>
        <w:rPr>
          <w:rFonts w:cs="Times New Roman"/>
          <w:szCs w:val="24"/>
        </w:rPr>
      </w:pPr>
      <w:r>
        <w:rPr>
          <w:noProof/>
        </w:rPr>
        <w:drawing>
          <wp:inline distT="0" distB="0" distL="0" distR="0" wp14:anchorId="08688946" wp14:editId="179F5E42">
            <wp:extent cx="6208395" cy="22320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8395" cy="2232025"/>
                    </a:xfrm>
                    <a:prstGeom prst="rect">
                      <a:avLst/>
                    </a:prstGeom>
                  </pic:spPr>
                </pic:pic>
              </a:graphicData>
            </a:graphic>
          </wp:inline>
        </w:drawing>
      </w:r>
    </w:p>
    <w:p w14:paraId="70DA52CF" w14:textId="173034B3" w:rsidR="004C7216" w:rsidRDefault="004C7216" w:rsidP="004C7216">
      <w:pPr>
        <w:widowControl w:val="0"/>
        <w:rPr>
          <w:rFonts w:eastAsia="Times New Roman" w:cs="Times New Roman"/>
          <w:szCs w:val="24"/>
        </w:rPr>
      </w:pPr>
      <w:r w:rsidRPr="0001436A">
        <w:rPr>
          <w:rFonts w:cs="Times New Roman"/>
          <w:b/>
          <w:szCs w:val="24"/>
        </w:rPr>
        <w:t xml:space="preserve">Supplementary Figure </w:t>
      </w:r>
      <w:r>
        <w:rPr>
          <w:rFonts w:cs="Times New Roman"/>
          <w:b/>
          <w:szCs w:val="24"/>
        </w:rPr>
        <w:t>5</w:t>
      </w:r>
      <w:r w:rsidRPr="0001436A">
        <w:rPr>
          <w:rFonts w:cs="Times New Roman"/>
          <w:b/>
          <w:szCs w:val="24"/>
        </w:rPr>
        <w:t>.</w:t>
      </w:r>
      <w:r w:rsidRPr="001549D3">
        <w:rPr>
          <w:rFonts w:cs="Times New Roman"/>
          <w:szCs w:val="24"/>
        </w:rPr>
        <w:t xml:space="preserve"> </w:t>
      </w:r>
      <w:r>
        <w:rPr>
          <w:rFonts w:eastAsia="Times New Roman" w:cs="Times New Roman"/>
          <w:szCs w:val="24"/>
        </w:rPr>
        <w:t xml:space="preserve">Principal Component Analysis (PCA) of Soudan borehole waters based on geochemistry data. PCA was conducted in R using the </w:t>
      </w:r>
      <w:proofErr w:type="spellStart"/>
      <w:proofErr w:type="gramStart"/>
      <w:r>
        <w:rPr>
          <w:rFonts w:eastAsia="Times New Roman" w:cs="Times New Roman"/>
          <w:szCs w:val="24"/>
        </w:rPr>
        <w:t>prcomp</w:t>
      </w:r>
      <w:proofErr w:type="spellEnd"/>
      <w:r>
        <w:rPr>
          <w:rFonts w:eastAsia="Times New Roman" w:cs="Times New Roman"/>
          <w:szCs w:val="24"/>
        </w:rPr>
        <w:t>(</w:t>
      </w:r>
      <w:proofErr w:type="gramEnd"/>
      <w:r>
        <w:rPr>
          <w:rFonts w:eastAsia="Times New Roman" w:cs="Times New Roman"/>
          <w:szCs w:val="24"/>
        </w:rPr>
        <w:t xml:space="preserve">) command and plotted using the </w:t>
      </w:r>
      <w:proofErr w:type="spellStart"/>
      <w:r>
        <w:rPr>
          <w:rFonts w:eastAsia="Times New Roman" w:cs="Times New Roman"/>
          <w:szCs w:val="24"/>
        </w:rPr>
        <w:t>ggfortify</w:t>
      </w:r>
      <w:proofErr w:type="spellEnd"/>
      <w:r>
        <w:rPr>
          <w:rFonts w:eastAsia="Times New Roman" w:cs="Times New Roman"/>
          <w:szCs w:val="24"/>
        </w:rPr>
        <w:t xml:space="preserve"> package. (a) PCA of Soudan data with points grouped by borehole. (b) PCA of Soudan data with points grouped by azimuth of borehole in relation to mine floor.</w:t>
      </w:r>
    </w:p>
    <w:p w14:paraId="2A098B6A" w14:textId="6983B2D7" w:rsidR="004C7216" w:rsidRDefault="004C7216" w:rsidP="004C7216">
      <w:pPr>
        <w:widowControl w:val="0"/>
        <w:rPr>
          <w:rFonts w:eastAsia="Times New Roman" w:cs="Times New Roman"/>
          <w:szCs w:val="24"/>
        </w:rPr>
      </w:pPr>
      <w:r>
        <w:rPr>
          <w:rFonts w:eastAsia="Times New Roman" w:cs="Times New Roman"/>
          <w:noProof/>
          <w:szCs w:val="24"/>
        </w:rPr>
        <w:lastRenderedPageBreak/>
        <w:drawing>
          <wp:inline distT="19050" distB="19050" distL="19050" distR="19050" wp14:anchorId="2838AA16" wp14:editId="20E1CA03">
            <wp:extent cx="5943600" cy="42291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43600" cy="4229100"/>
                    </a:xfrm>
                    <a:prstGeom prst="rect">
                      <a:avLst/>
                    </a:prstGeom>
                    <a:ln/>
                  </pic:spPr>
                </pic:pic>
              </a:graphicData>
            </a:graphic>
          </wp:inline>
        </w:drawing>
      </w:r>
    </w:p>
    <w:p w14:paraId="7A7A1CCA" w14:textId="30271FA2" w:rsidR="004C7216" w:rsidRDefault="004C7216" w:rsidP="004C7216">
      <w:pPr>
        <w:widowControl w:val="0"/>
        <w:rPr>
          <w:rFonts w:eastAsia="Times New Roman" w:cs="Times New Roman"/>
          <w:szCs w:val="24"/>
        </w:rPr>
      </w:pPr>
      <w:r w:rsidRPr="0001436A">
        <w:rPr>
          <w:rFonts w:cs="Times New Roman"/>
          <w:b/>
          <w:szCs w:val="24"/>
        </w:rPr>
        <w:t xml:space="preserve">Supplementary Figure </w:t>
      </w:r>
      <w:r>
        <w:rPr>
          <w:rFonts w:cs="Times New Roman"/>
          <w:b/>
          <w:szCs w:val="24"/>
        </w:rPr>
        <w:t>6</w:t>
      </w:r>
      <w:r w:rsidRPr="0001436A">
        <w:rPr>
          <w:rFonts w:cs="Times New Roman"/>
          <w:b/>
          <w:szCs w:val="24"/>
        </w:rPr>
        <w:t>.</w:t>
      </w:r>
      <w:r w:rsidRPr="001549D3">
        <w:rPr>
          <w:rFonts w:cs="Times New Roman"/>
          <w:szCs w:val="24"/>
        </w:rPr>
        <w:t xml:space="preserve"> </w:t>
      </w:r>
      <w:r>
        <w:rPr>
          <w:rFonts w:eastAsia="Times New Roman" w:cs="Times New Roman"/>
          <w:szCs w:val="24"/>
        </w:rPr>
        <w:t>Location of the Soudan Underground Mine State Park and the other Canadian Shield sites used as comparison points.</w:t>
      </w:r>
    </w:p>
    <w:p w14:paraId="7C70C4DC" w14:textId="77777777" w:rsidR="004C7216" w:rsidRDefault="004C7216" w:rsidP="004C7216">
      <w:pPr>
        <w:widowControl w:val="0"/>
        <w:rPr>
          <w:rFonts w:eastAsia="Times New Roman" w:cs="Times New Roman"/>
          <w:szCs w:val="24"/>
        </w:rPr>
      </w:pPr>
    </w:p>
    <w:p w14:paraId="7B4A6A69" w14:textId="7E6DF0D9" w:rsidR="004C7216" w:rsidRDefault="004C7216" w:rsidP="004C7216">
      <w:pPr>
        <w:pStyle w:val="Heading1"/>
      </w:pPr>
      <w:r>
        <w:t>Supplementary Tables</w:t>
      </w:r>
    </w:p>
    <w:p w14:paraId="730F115B" w14:textId="21BE513C" w:rsidR="004C7216" w:rsidRPr="004C7216" w:rsidRDefault="004C7216" w:rsidP="004C7216">
      <w:pPr>
        <w:widowControl w:val="0"/>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Pr>
          <w:rFonts w:cs="Times New Roman"/>
          <w:b/>
          <w:szCs w:val="24"/>
        </w:rPr>
        <w:t>1</w:t>
      </w:r>
      <w:r w:rsidRPr="0001436A">
        <w:rPr>
          <w:rFonts w:cs="Times New Roman"/>
          <w:b/>
          <w:szCs w:val="24"/>
        </w:rPr>
        <w:t>.</w:t>
      </w:r>
      <w:r w:rsidRPr="001549D3">
        <w:rPr>
          <w:rFonts w:cs="Times New Roman"/>
          <w:szCs w:val="24"/>
        </w:rPr>
        <w:t xml:space="preserve"> </w:t>
      </w:r>
      <w:r>
        <w:rPr>
          <w:rFonts w:eastAsia="Times New Roman" w:cs="Times New Roman"/>
          <w:szCs w:val="24"/>
        </w:rPr>
        <w:t>Full geochemical dataset. Included as separate file.</w:t>
      </w:r>
    </w:p>
    <w:tbl>
      <w:tblPr>
        <w:tblpPr w:leftFromText="180" w:rightFromText="180" w:vertAnchor="text" w:horzAnchor="margin" w:tblpXSpec="center" w:tblpY="1324"/>
        <w:tblW w:w="9423" w:type="dxa"/>
        <w:tblLook w:val="04A0" w:firstRow="1" w:lastRow="0" w:firstColumn="1" w:lastColumn="0" w:noHBand="0" w:noVBand="1"/>
      </w:tblPr>
      <w:tblGrid>
        <w:gridCol w:w="1307"/>
        <w:gridCol w:w="1528"/>
        <w:gridCol w:w="1717"/>
        <w:gridCol w:w="2481"/>
        <w:gridCol w:w="2390"/>
      </w:tblGrid>
      <w:tr w:rsidR="00C82775" w:rsidRPr="004C7216" w14:paraId="0ADE3422" w14:textId="77777777" w:rsidTr="00C82775">
        <w:trPr>
          <w:trHeight w:val="526"/>
        </w:trPr>
        <w:tc>
          <w:tcPr>
            <w:tcW w:w="1307" w:type="dxa"/>
            <w:tcBorders>
              <w:top w:val="single" w:sz="8" w:space="0" w:color="auto"/>
              <w:left w:val="single" w:sz="8" w:space="0" w:color="auto"/>
              <w:bottom w:val="single" w:sz="4" w:space="0" w:color="auto"/>
              <w:right w:val="single" w:sz="4" w:space="0" w:color="auto"/>
            </w:tcBorders>
            <w:shd w:val="clear" w:color="000000" w:fill="D9D9D9"/>
            <w:vAlign w:val="bottom"/>
            <w:hideMark/>
          </w:tcPr>
          <w:p w14:paraId="11B1C476" w14:textId="77777777" w:rsidR="00C82775" w:rsidRPr="004C7216" w:rsidRDefault="00C82775" w:rsidP="00C82775">
            <w:pPr>
              <w:spacing w:before="0" w:after="0"/>
              <w:jc w:val="center"/>
              <w:rPr>
                <w:rFonts w:ascii="Arial" w:eastAsia="Times New Roman" w:hAnsi="Arial" w:cs="Arial"/>
                <w:b/>
                <w:bCs/>
                <w:color w:val="000000"/>
                <w:sz w:val="20"/>
                <w:szCs w:val="20"/>
              </w:rPr>
            </w:pPr>
            <w:r w:rsidRPr="004C7216">
              <w:rPr>
                <w:rFonts w:ascii="Arial" w:eastAsia="Times New Roman" w:hAnsi="Arial" w:cs="Arial"/>
                <w:b/>
                <w:bCs/>
                <w:color w:val="000000"/>
                <w:sz w:val="20"/>
                <w:szCs w:val="20"/>
              </w:rPr>
              <w:t>ID</w:t>
            </w:r>
          </w:p>
        </w:tc>
        <w:tc>
          <w:tcPr>
            <w:tcW w:w="1528" w:type="dxa"/>
            <w:tcBorders>
              <w:top w:val="single" w:sz="8" w:space="0" w:color="auto"/>
              <w:left w:val="nil"/>
              <w:bottom w:val="single" w:sz="4" w:space="0" w:color="auto"/>
              <w:right w:val="single" w:sz="4" w:space="0" w:color="auto"/>
            </w:tcBorders>
            <w:shd w:val="clear" w:color="000000" w:fill="D9D9D9"/>
            <w:vAlign w:val="bottom"/>
            <w:hideMark/>
          </w:tcPr>
          <w:p w14:paraId="6BCA98BD" w14:textId="77777777" w:rsidR="00C82775" w:rsidRPr="004C7216" w:rsidRDefault="00C82775" w:rsidP="00C82775">
            <w:pPr>
              <w:spacing w:before="0" w:after="0"/>
              <w:jc w:val="center"/>
              <w:rPr>
                <w:rFonts w:ascii="Arial" w:eastAsia="Times New Roman" w:hAnsi="Arial" w:cs="Arial"/>
                <w:b/>
                <w:bCs/>
                <w:color w:val="000000"/>
                <w:sz w:val="20"/>
                <w:szCs w:val="20"/>
              </w:rPr>
            </w:pPr>
            <w:r w:rsidRPr="004C7216">
              <w:rPr>
                <w:rFonts w:ascii="Arial" w:eastAsia="Times New Roman" w:hAnsi="Arial" w:cs="Arial"/>
                <w:b/>
                <w:bCs/>
                <w:color w:val="000000"/>
                <w:sz w:val="20"/>
                <w:szCs w:val="20"/>
              </w:rPr>
              <w:t>Borehole</w:t>
            </w:r>
          </w:p>
        </w:tc>
        <w:tc>
          <w:tcPr>
            <w:tcW w:w="1717" w:type="dxa"/>
            <w:tcBorders>
              <w:top w:val="single" w:sz="8" w:space="0" w:color="auto"/>
              <w:left w:val="nil"/>
              <w:bottom w:val="single" w:sz="4" w:space="0" w:color="auto"/>
              <w:right w:val="single" w:sz="4" w:space="0" w:color="auto"/>
            </w:tcBorders>
            <w:shd w:val="clear" w:color="000000" w:fill="D9D9D9"/>
            <w:vAlign w:val="bottom"/>
            <w:hideMark/>
          </w:tcPr>
          <w:p w14:paraId="56527B80" w14:textId="77777777" w:rsidR="00C82775" w:rsidRPr="004C7216" w:rsidRDefault="00C82775" w:rsidP="00C82775">
            <w:pPr>
              <w:spacing w:before="0" w:after="0"/>
              <w:jc w:val="center"/>
              <w:rPr>
                <w:rFonts w:ascii="Arial" w:eastAsia="Times New Roman" w:hAnsi="Arial" w:cs="Arial"/>
                <w:b/>
                <w:bCs/>
                <w:color w:val="000000"/>
                <w:sz w:val="20"/>
                <w:szCs w:val="20"/>
              </w:rPr>
            </w:pPr>
            <w:r w:rsidRPr="004C7216">
              <w:rPr>
                <w:rFonts w:ascii="Arial" w:eastAsia="Times New Roman" w:hAnsi="Arial" w:cs="Arial"/>
                <w:b/>
                <w:bCs/>
                <w:color w:val="000000"/>
                <w:sz w:val="20"/>
                <w:szCs w:val="20"/>
              </w:rPr>
              <w:t>Date</w:t>
            </w:r>
          </w:p>
        </w:tc>
        <w:tc>
          <w:tcPr>
            <w:tcW w:w="2481" w:type="dxa"/>
            <w:tcBorders>
              <w:top w:val="single" w:sz="8" w:space="0" w:color="auto"/>
              <w:left w:val="nil"/>
              <w:bottom w:val="single" w:sz="4" w:space="0" w:color="auto"/>
              <w:right w:val="single" w:sz="4" w:space="0" w:color="auto"/>
            </w:tcBorders>
            <w:shd w:val="clear" w:color="000000" w:fill="D9D9D9"/>
            <w:vAlign w:val="bottom"/>
            <w:hideMark/>
          </w:tcPr>
          <w:p w14:paraId="3558CC9F" w14:textId="77777777" w:rsidR="00C82775" w:rsidRPr="004C7216" w:rsidRDefault="00C82775" w:rsidP="00C82775">
            <w:pPr>
              <w:spacing w:before="0" w:after="0"/>
              <w:jc w:val="center"/>
              <w:rPr>
                <w:rFonts w:ascii="Arial" w:eastAsia="Times New Roman" w:hAnsi="Arial" w:cs="Arial"/>
                <w:b/>
                <w:bCs/>
                <w:color w:val="000000"/>
                <w:sz w:val="20"/>
                <w:szCs w:val="20"/>
              </w:rPr>
            </w:pPr>
            <w:r w:rsidRPr="004C7216">
              <w:rPr>
                <w:rFonts w:ascii="Arial" w:eastAsia="Times New Roman" w:hAnsi="Arial" w:cs="Arial"/>
                <w:b/>
                <w:bCs/>
                <w:color w:val="000000"/>
                <w:sz w:val="20"/>
                <w:szCs w:val="20"/>
                <w:vertAlign w:val="superscript"/>
              </w:rPr>
              <w:t>3</w:t>
            </w:r>
            <w:r w:rsidRPr="004C7216">
              <w:rPr>
                <w:rFonts w:ascii="Arial" w:eastAsia="Times New Roman" w:hAnsi="Arial" w:cs="Arial"/>
                <w:b/>
                <w:bCs/>
                <w:color w:val="000000"/>
                <w:sz w:val="20"/>
                <w:szCs w:val="20"/>
              </w:rPr>
              <w:t>H Concentration (TU)</w:t>
            </w:r>
          </w:p>
        </w:tc>
        <w:tc>
          <w:tcPr>
            <w:tcW w:w="2390" w:type="dxa"/>
            <w:tcBorders>
              <w:top w:val="single" w:sz="8" w:space="0" w:color="auto"/>
              <w:left w:val="nil"/>
              <w:bottom w:val="single" w:sz="4" w:space="0" w:color="auto"/>
              <w:right w:val="single" w:sz="8" w:space="0" w:color="auto"/>
            </w:tcBorders>
            <w:shd w:val="clear" w:color="000000" w:fill="D9D9D9"/>
            <w:vAlign w:val="bottom"/>
            <w:hideMark/>
          </w:tcPr>
          <w:p w14:paraId="2AAEB18D" w14:textId="77777777" w:rsidR="00C82775" w:rsidRPr="004C7216" w:rsidRDefault="00C82775" w:rsidP="00C82775">
            <w:pPr>
              <w:spacing w:before="0" w:after="0"/>
              <w:jc w:val="center"/>
              <w:rPr>
                <w:rFonts w:ascii="Arial" w:eastAsia="Times New Roman" w:hAnsi="Arial" w:cs="Arial"/>
                <w:b/>
                <w:bCs/>
                <w:color w:val="000000"/>
                <w:sz w:val="20"/>
                <w:szCs w:val="20"/>
              </w:rPr>
            </w:pPr>
            <w:r w:rsidRPr="004C7216">
              <w:rPr>
                <w:rFonts w:ascii="Arial" w:eastAsia="Times New Roman" w:hAnsi="Arial" w:cs="Arial"/>
                <w:b/>
                <w:bCs/>
                <w:color w:val="000000"/>
                <w:sz w:val="20"/>
                <w:szCs w:val="20"/>
              </w:rPr>
              <w:t>Standard Deviation (TU)</w:t>
            </w:r>
          </w:p>
        </w:tc>
      </w:tr>
      <w:tr w:rsidR="00C82775" w:rsidRPr="004C7216" w14:paraId="7F651C5F" w14:textId="77777777" w:rsidTr="00C82775">
        <w:trPr>
          <w:trHeight w:val="252"/>
        </w:trPr>
        <w:tc>
          <w:tcPr>
            <w:tcW w:w="1307" w:type="dxa"/>
            <w:tcBorders>
              <w:top w:val="nil"/>
              <w:left w:val="single" w:sz="8" w:space="0" w:color="auto"/>
              <w:bottom w:val="single" w:sz="4" w:space="0" w:color="auto"/>
              <w:right w:val="single" w:sz="4" w:space="0" w:color="auto"/>
            </w:tcBorders>
            <w:shd w:val="clear" w:color="auto" w:fill="auto"/>
            <w:vAlign w:val="bottom"/>
            <w:hideMark/>
          </w:tcPr>
          <w:p w14:paraId="0982C1E3"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13758</w:t>
            </w:r>
          </w:p>
        </w:tc>
        <w:tc>
          <w:tcPr>
            <w:tcW w:w="1528" w:type="dxa"/>
            <w:tcBorders>
              <w:top w:val="nil"/>
              <w:left w:val="nil"/>
              <w:bottom w:val="single" w:sz="4" w:space="0" w:color="auto"/>
              <w:right w:val="single" w:sz="4" w:space="0" w:color="auto"/>
            </w:tcBorders>
            <w:shd w:val="clear" w:color="auto" w:fill="auto"/>
            <w:vAlign w:val="bottom"/>
            <w:hideMark/>
          </w:tcPr>
          <w:p w14:paraId="7854EA84"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DDH 920</w:t>
            </w:r>
          </w:p>
        </w:tc>
        <w:tc>
          <w:tcPr>
            <w:tcW w:w="1717" w:type="dxa"/>
            <w:tcBorders>
              <w:top w:val="nil"/>
              <w:left w:val="nil"/>
              <w:bottom w:val="single" w:sz="4" w:space="0" w:color="auto"/>
              <w:right w:val="single" w:sz="4" w:space="0" w:color="auto"/>
            </w:tcBorders>
            <w:shd w:val="clear" w:color="auto" w:fill="auto"/>
            <w:vAlign w:val="bottom"/>
            <w:hideMark/>
          </w:tcPr>
          <w:p w14:paraId="6CB5CDF9"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1/20/2011</w:t>
            </w:r>
          </w:p>
        </w:tc>
        <w:tc>
          <w:tcPr>
            <w:tcW w:w="2481" w:type="dxa"/>
            <w:tcBorders>
              <w:top w:val="nil"/>
              <w:left w:val="nil"/>
              <w:bottom w:val="single" w:sz="4" w:space="0" w:color="auto"/>
              <w:right w:val="single" w:sz="4" w:space="0" w:color="auto"/>
            </w:tcBorders>
            <w:shd w:val="clear" w:color="auto" w:fill="auto"/>
            <w:vAlign w:val="bottom"/>
            <w:hideMark/>
          </w:tcPr>
          <w:p w14:paraId="15ABCBC3"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&lt; 0.8</w:t>
            </w:r>
          </w:p>
        </w:tc>
        <w:tc>
          <w:tcPr>
            <w:tcW w:w="2390" w:type="dxa"/>
            <w:tcBorders>
              <w:top w:val="nil"/>
              <w:left w:val="nil"/>
              <w:bottom w:val="single" w:sz="4" w:space="0" w:color="auto"/>
              <w:right w:val="single" w:sz="8" w:space="0" w:color="auto"/>
            </w:tcBorders>
            <w:shd w:val="clear" w:color="auto" w:fill="auto"/>
            <w:vAlign w:val="bottom"/>
            <w:hideMark/>
          </w:tcPr>
          <w:p w14:paraId="7AB4A684"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0.8</w:t>
            </w:r>
          </w:p>
        </w:tc>
      </w:tr>
      <w:tr w:rsidR="00C82775" w:rsidRPr="004C7216" w14:paraId="20A25C29" w14:textId="77777777" w:rsidTr="00C82775">
        <w:trPr>
          <w:trHeight w:val="252"/>
        </w:trPr>
        <w:tc>
          <w:tcPr>
            <w:tcW w:w="1307" w:type="dxa"/>
            <w:tcBorders>
              <w:top w:val="nil"/>
              <w:left w:val="single" w:sz="8" w:space="0" w:color="auto"/>
              <w:bottom w:val="single" w:sz="4" w:space="0" w:color="auto"/>
              <w:right w:val="single" w:sz="4" w:space="0" w:color="auto"/>
            </w:tcBorders>
            <w:shd w:val="clear" w:color="auto" w:fill="auto"/>
            <w:vAlign w:val="bottom"/>
            <w:hideMark/>
          </w:tcPr>
          <w:p w14:paraId="64FE639E"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13759</w:t>
            </w:r>
          </w:p>
        </w:tc>
        <w:tc>
          <w:tcPr>
            <w:tcW w:w="1528" w:type="dxa"/>
            <w:tcBorders>
              <w:top w:val="nil"/>
              <w:left w:val="nil"/>
              <w:bottom w:val="single" w:sz="4" w:space="0" w:color="auto"/>
              <w:right w:val="single" w:sz="4" w:space="0" w:color="auto"/>
            </w:tcBorders>
            <w:shd w:val="clear" w:color="auto" w:fill="auto"/>
            <w:vAlign w:val="bottom"/>
            <w:hideMark/>
          </w:tcPr>
          <w:p w14:paraId="0E408F06"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D</w:t>
            </w:r>
            <w:bookmarkStart w:id="0" w:name="_GoBack"/>
            <w:bookmarkEnd w:id="0"/>
            <w:r w:rsidRPr="004C7216">
              <w:rPr>
                <w:rFonts w:ascii="Arial" w:eastAsia="Times New Roman" w:hAnsi="Arial" w:cs="Arial"/>
                <w:color w:val="000000"/>
                <w:sz w:val="20"/>
                <w:szCs w:val="20"/>
              </w:rPr>
              <w:t>DH 932</w:t>
            </w:r>
          </w:p>
        </w:tc>
        <w:tc>
          <w:tcPr>
            <w:tcW w:w="1717" w:type="dxa"/>
            <w:tcBorders>
              <w:top w:val="nil"/>
              <w:left w:val="nil"/>
              <w:bottom w:val="single" w:sz="4" w:space="0" w:color="auto"/>
              <w:right w:val="single" w:sz="4" w:space="0" w:color="auto"/>
            </w:tcBorders>
            <w:shd w:val="clear" w:color="auto" w:fill="auto"/>
            <w:vAlign w:val="bottom"/>
            <w:hideMark/>
          </w:tcPr>
          <w:p w14:paraId="5DBB9EDD"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1/20/2011</w:t>
            </w:r>
          </w:p>
        </w:tc>
        <w:tc>
          <w:tcPr>
            <w:tcW w:w="2481" w:type="dxa"/>
            <w:tcBorders>
              <w:top w:val="nil"/>
              <w:left w:val="nil"/>
              <w:bottom w:val="single" w:sz="4" w:space="0" w:color="auto"/>
              <w:right w:val="single" w:sz="4" w:space="0" w:color="auto"/>
            </w:tcBorders>
            <w:shd w:val="clear" w:color="auto" w:fill="auto"/>
            <w:vAlign w:val="bottom"/>
            <w:hideMark/>
          </w:tcPr>
          <w:p w14:paraId="01CA5B48"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Unable to measure</w:t>
            </w:r>
          </w:p>
        </w:tc>
        <w:tc>
          <w:tcPr>
            <w:tcW w:w="2390" w:type="dxa"/>
            <w:tcBorders>
              <w:top w:val="nil"/>
              <w:left w:val="nil"/>
              <w:bottom w:val="single" w:sz="4" w:space="0" w:color="auto"/>
              <w:right w:val="single" w:sz="8" w:space="0" w:color="auto"/>
            </w:tcBorders>
            <w:shd w:val="clear" w:color="auto" w:fill="auto"/>
            <w:vAlign w:val="bottom"/>
            <w:hideMark/>
          </w:tcPr>
          <w:p w14:paraId="4B1C8836"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Unable to measure</w:t>
            </w:r>
          </w:p>
        </w:tc>
      </w:tr>
      <w:tr w:rsidR="00C82775" w:rsidRPr="004C7216" w14:paraId="1BB31683" w14:textId="77777777" w:rsidTr="00C82775">
        <w:trPr>
          <w:trHeight w:val="263"/>
        </w:trPr>
        <w:tc>
          <w:tcPr>
            <w:tcW w:w="1307" w:type="dxa"/>
            <w:tcBorders>
              <w:top w:val="nil"/>
              <w:left w:val="single" w:sz="8" w:space="0" w:color="auto"/>
              <w:bottom w:val="single" w:sz="8" w:space="0" w:color="auto"/>
              <w:right w:val="single" w:sz="4" w:space="0" w:color="auto"/>
            </w:tcBorders>
            <w:shd w:val="clear" w:color="auto" w:fill="auto"/>
            <w:vAlign w:val="bottom"/>
            <w:hideMark/>
          </w:tcPr>
          <w:p w14:paraId="0FB64187"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13760</w:t>
            </w:r>
          </w:p>
        </w:tc>
        <w:tc>
          <w:tcPr>
            <w:tcW w:w="1528" w:type="dxa"/>
            <w:tcBorders>
              <w:top w:val="nil"/>
              <w:left w:val="nil"/>
              <w:bottom w:val="single" w:sz="8" w:space="0" w:color="auto"/>
              <w:right w:val="single" w:sz="4" w:space="0" w:color="auto"/>
            </w:tcBorders>
            <w:shd w:val="clear" w:color="auto" w:fill="auto"/>
            <w:vAlign w:val="bottom"/>
            <w:hideMark/>
          </w:tcPr>
          <w:p w14:paraId="5DFC8719"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DDH 942</w:t>
            </w:r>
          </w:p>
        </w:tc>
        <w:tc>
          <w:tcPr>
            <w:tcW w:w="1717" w:type="dxa"/>
            <w:tcBorders>
              <w:top w:val="nil"/>
              <w:left w:val="nil"/>
              <w:bottom w:val="single" w:sz="8" w:space="0" w:color="auto"/>
              <w:right w:val="single" w:sz="4" w:space="0" w:color="auto"/>
            </w:tcBorders>
            <w:shd w:val="clear" w:color="auto" w:fill="auto"/>
            <w:vAlign w:val="bottom"/>
            <w:hideMark/>
          </w:tcPr>
          <w:p w14:paraId="3BD7A69E"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11/30/2011</w:t>
            </w:r>
          </w:p>
        </w:tc>
        <w:tc>
          <w:tcPr>
            <w:tcW w:w="2481" w:type="dxa"/>
            <w:tcBorders>
              <w:top w:val="nil"/>
              <w:left w:val="nil"/>
              <w:bottom w:val="single" w:sz="8" w:space="0" w:color="auto"/>
              <w:right w:val="single" w:sz="4" w:space="0" w:color="auto"/>
            </w:tcBorders>
            <w:shd w:val="clear" w:color="auto" w:fill="auto"/>
            <w:vAlign w:val="bottom"/>
            <w:hideMark/>
          </w:tcPr>
          <w:p w14:paraId="5B1FE1C0"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&lt; 0.8</w:t>
            </w:r>
          </w:p>
        </w:tc>
        <w:tc>
          <w:tcPr>
            <w:tcW w:w="2390" w:type="dxa"/>
            <w:tcBorders>
              <w:top w:val="nil"/>
              <w:left w:val="nil"/>
              <w:bottom w:val="single" w:sz="8" w:space="0" w:color="auto"/>
              <w:right w:val="single" w:sz="8" w:space="0" w:color="auto"/>
            </w:tcBorders>
            <w:shd w:val="clear" w:color="auto" w:fill="auto"/>
            <w:vAlign w:val="bottom"/>
            <w:hideMark/>
          </w:tcPr>
          <w:p w14:paraId="7124613B" w14:textId="77777777" w:rsidR="00C82775" w:rsidRPr="004C7216" w:rsidRDefault="00C82775" w:rsidP="00C82775">
            <w:pPr>
              <w:spacing w:before="0" w:after="0"/>
              <w:jc w:val="center"/>
              <w:rPr>
                <w:rFonts w:ascii="Arial" w:eastAsia="Times New Roman" w:hAnsi="Arial" w:cs="Arial"/>
                <w:color w:val="000000"/>
                <w:sz w:val="20"/>
                <w:szCs w:val="20"/>
              </w:rPr>
            </w:pPr>
            <w:r w:rsidRPr="004C7216">
              <w:rPr>
                <w:rFonts w:ascii="Arial" w:eastAsia="Times New Roman" w:hAnsi="Arial" w:cs="Arial"/>
                <w:color w:val="000000"/>
                <w:sz w:val="20"/>
                <w:szCs w:val="20"/>
              </w:rPr>
              <w:t>0.76</w:t>
            </w:r>
          </w:p>
        </w:tc>
      </w:tr>
    </w:tbl>
    <w:p w14:paraId="7B65BC41" w14:textId="23AC3D34" w:rsidR="00DE23E8" w:rsidRPr="001549D3" w:rsidRDefault="007F0A07" w:rsidP="00654E8F">
      <w:pPr>
        <w:spacing w:before="240"/>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Pr>
          <w:rFonts w:cs="Times New Roman"/>
          <w:b/>
          <w:szCs w:val="24"/>
        </w:rPr>
        <w:t>2</w:t>
      </w:r>
      <w:r w:rsidRPr="0001436A">
        <w:rPr>
          <w:rFonts w:cs="Times New Roman"/>
          <w:b/>
          <w:szCs w:val="24"/>
        </w:rPr>
        <w:t>.</w:t>
      </w:r>
      <w:r w:rsidRPr="001549D3">
        <w:rPr>
          <w:rFonts w:cs="Times New Roman"/>
          <w:szCs w:val="24"/>
        </w:rPr>
        <w:t xml:space="preserve"> </w:t>
      </w:r>
      <w:r>
        <w:rPr>
          <w:rFonts w:eastAsia="Times New Roman" w:cs="Times New Roman"/>
          <w:szCs w:val="24"/>
        </w:rPr>
        <w:t>Tritium data. Concentrations are given in Tritium Units. Due to the high salinity of the DDH 932 fluids, the conductivity of sample 13759 could not be brought low enough for measurement.</w:t>
      </w:r>
    </w:p>
    <w:sectPr w:rsidR="00DE23E8"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D4EC7" w14:textId="77777777" w:rsidR="00F025B2" w:rsidRDefault="00F025B2" w:rsidP="00117666">
      <w:pPr>
        <w:spacing w:after="0"/>
      </w:pPr>
      <w:r>
        <w:separator/>
      </w:r>
    </w:p>
  </w:endnote>
  <w:endnote w:type="continuationSeparator" w:id="0">
    <w:p w14:paraId="0B5408AF" w14:textId="77777777" w:rsidR="00F025B2" w:rsidRDefault="00F025B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9FF0F3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36A19">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9FF0F3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36A19">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17D92B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36A19">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17D92B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36A19">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C4C0B" w14:textId="77777777" w:rsidR="00F025B2" w:rsidRDefault="00F025B2" w:rsidP="00117666">
      <w:pPr>
        <w:spacing w:after="0"/>
      </w:pPr>
      <w:r>
        <w:separator/>
      </w:r>
    </w:p>
  </w:footnote>
  <w:footnote w:type="continuationSeparator" w:id="0">
    <w:p w14:paraId="51CB4BC3" w14:textId="77777777" w:rsidR="00F025B2" w:rsidRDefault="00F025B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4C7216"/>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7F0A07"/>
    <w:rsid w:val="00817DD6"/>
    <w:rsid w:val="0083759F"/>
    <w:rsid w:val="00885156"/>
    <w:rsid w:val="009151AA"/>
    <w:rsid w:val="0093429D"/>
    <w:rsid w:val="00943573"/>
    <w:rsid w:val="00964134"/>
    <w:rsid w:val="00970F7D"/>
    <w:rsid w:val="00994A3D"/>
    <w:rsid w:val="009C2B12"/>
    <w:rsid w:val="00A174D9"/>
    <w:rsid w:val="00A8192E"/>
    <w:rsid w:val="00AA4D24"/>
    <w:rsid w:val="00AB6715"/>
    <w:rsid w:val="00B1671E"/>
    <w:rsid w:val="00B25EB8"/>
    <w:rsid w:val="00B37F4D"/>
    <w:rsid w:val="00C52A7B"/>
    <w:rsid w:val="00C56BAF"/>
    <w:rsid w:val="00C679AA"/>
    <w:rsid w:val="00C75972"/>
    <w:rsid w:val="00C82775"/>
    <w:rsid w:val="00CD066B"/>
    <w:rsid w:val="00CE4FEE"/>
    <w:rsid w:val="00D060CF"/>
    <w:rsid w:val="00DB59C3"/>
    <w:rsid w:val="00DC259A"/>
    <w:rsid w:val="00DE23E8"/>
    <w:rsid w:val="00E36A19"/>
    <w:rsid w:val="00E52377"/>
    <w:rsid w:val="00E537AD"/>
    <w:rsid w:val="00E64E17"/>
    <w:rsid w:val="00E866C9"/>
    <w:rsid w:val="00EA3D3C"/>
    <w:rsid w:val="00EA4ADE"/>
    <w:rsid w:val="00EC090A"/>
    <w:rsid w:val="00ED20B5"/>
    <w:rsid w:val="00F025B2"/>
    <w:rsid w:val="00F46900"/>
    <w:rsid w:val="00F61D89"/>
    <w:rsid w:val="00F74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00350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ner@umn.edu"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A6A7476-F80C-40EA-B90F-6BC0874B2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TotalTime>
  <Pages>5</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Christopher J Schuler</cp:lastModifiedBy>
  <cp:revision>4</cp:revision>
  <cp:lastPrinted>2013-10-03T12:51:00Z</cp:lastPrinted>
  <dcterms:created xsi:type="dcterms:W3CDTF">2021-10-07T16:22:00Z</dcterms:created>
  <dcterms:modified xsi:type="dcterms:W3CDTF">2021-10-25T21:04:00Z</dcterms:modified>
</cp:coreProperties>
</file>