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2979FB82" w:rsidR="00654E8F" w:rsidRPr="0052682F" w:rsidRDefault="00654E8F" w:rsidP="0001436A">
      <w:pPr>
        <w:pStyle w:val="SupplementaryMaterial"/>
        <w:rPr>
          <w:b w:val="0"/>
        </w:rPr>
      </w:pPr>
      <w:r w:rsidRPr="0052682F">
        <w:t>Supplementary Material</w:t>
      </w:r>
      <w:r w:rsidR="00CE5308" w:rsidRPr="0052682F">
        <w:t>s</w:t>
      </w:r>
    </w:p>
    <w:p w14:paraId="3BD5A427" w14:textId="23826EF6" w:rsidR="00EA3D3C" w:rsidRPr="0052682F" w:rsidRDefault="00654E8F" w:rsidP="0001436A">
      <w:pPr>
        <w:pStyle w:val="Heading1"/>
      </w:pPr>
      <w:r w:rsidRPr="0052682F">
        <w:t>Supplementary Data</w:t>
      </w:r>
    </w:p>
    <w:p w14:paraId="1B1AC55E" w14:textId="77777777" w:rsidR="00A81969" w:rsidRPr="0052682F" w:rsidRDefault="00A81969" w:rsidP="00A81969">
      <w:pPr>
        <w:rPr>
          <w:rFonts w:cs="Times New Roman"/>
          <w:b/>
          <w:bCs/>
          <w:szCs w:val="24"/>
        </w:rPr>
      </w:pPr>
      <w:r w:rsidRPr="0052682F">
        <w:rPr>
          <w:rFonts w:cs="Times New Roman"/>
          <w:b/>
          <w:bCs/>
          <w:szCs w:val="24"/>
        </w:rPr>
        <w:t>Sample selection and comparison of sample characteristics</w:t>
      </w:r>
    </w:p>
    <w:p w14:paraId="6D127A77" w14:textId="10F15CC5" w:rsidR="00A81969" w:rsidRPr="0052682F" w:rsidRDefault="00A81969" w:rsidP="00A81969">
      <w:pPr>
        <w:rPr>
          <w:rFonts w:cs="Times New Roman"/>
          <w:szCs w:val="24"/>
        </w:rPr>
      </w:pPr>
      <w:r w:rsidRPr="0052682F">
        <w:rPr>
          <w:rFonts w:cs="Times New Roman"/>
          <w:szCs w:val="24"/>
        </w:rPr>
        <w:t>To maximize the sample size for classifying the latent class membership of youths based on their parent-reported ADHD and irritability symptoms, the latent class analysis (LCA) was first conducted in the full baseline sample on the K-SADS in the 3.0 Release (</w:t>
      </w:r>
      <w:r w:rsidRPr="0052682F">
        <w:rPr>
          <w:rFonts w:cs="Times New Roman"/>
          <w:i/>
          <w:iCs/>
          <w:szCs w:val="24"/>
        </w:rPr>
        <w:t>N</w:t>
      </w:r>
      <w:r w:rsidRPr="0052682F">
        <w:rPr>
          <w:rFonts w:cs="Times New Roman"/>
          <w:szCs w:val="24"/>
        </w:rPr>
        <w:t xml:space="preserve"> = 11,87</w:t>
      </w:r>
      <w:r w:rsidR="00BE3C83" w:rsidRPr="0052682F">
        <w:rPr>
          <w:rFonts w:cs="Times New Roman"/>
          <w:szCs w:val="24"/>
        </w:rPr>
        <w:t>5</w:t>
      </w:r>
      <w:r w:rsidRPr="0052682F">
        <w:rPr>
          <w:rFonts w:cs="Times New Roman"/>
          <w:szCs w:val="24"/>
        </w:rPr>
        <w:t>). Of the full sample, 1</w:t>
      </w:r>
      <w:r w:rsidR="00BE3C83" w:rsidRPr="0052682F">
        <w:rPr>
          <w:rFonts w:cs="Times New Roman"/>
          <w:szCs w:val="24"/>
        </w:rPr>
        <w:t>27</w:t>
      </w:r>
      <w:r w:rsidRPr="0052682F">
        <w:rPr>
          <w:rFonts w:cs="Times New Roman"/>
          <w:szCs w:val="24"/>
        </w:rPr>
        <w:t xml:space="preserve"> cases lacked the sufficient information on the ADHD and irritability symptoms, which resulted in a corrected sample of 11,748 in the latent class analysis with occasionally missing information handled by full information maximum likelihood robust estimation. This strategy was to ensure that the latent class analysis would be most sufficiently powered, and that the classification of symptom profiles would be based on the entire spectrum of ADHD symptom and child irritability available across all participating youths, thereby bolstering generalizability of the classification results. Following the LCA, youths with complete and quality neuroimaging data, i.e., those who completed the Stop Signal Task (SST) scan with functional neuroimaging data surpassing quality control, were included in the subsequent analyses, including the latent variable </w:t>
      </w:r>
      <w:r w:rsidR="002B5926" w:rsidRPr="0052682F">
        <w:rPr>
          <w:rFonts w:cs="Times New Roman"/>
          <w:szCs w:val="24"/>
        </w:rPr>
        <w:t>modeling</w:t>
      </w:r>
      <w:r w:rsidRPr="0052682F">
        <w:rPr>
          <w:rFonts w:cs="Times New Roman"/>
          <w:szCs w:val="24"/>
        </w:rPr>
        <w:t xml:space="preserve"> and multilevel </w:t>
      </w:r>
      <w:r w:rsidR="002B5926" w:rsidRPr="0052682F">
        <w:rPr>
          <w:rFonts w:cs="Times New Roman"/>
          <w:szCs w:val="24"/>
        </w:rPr>
        <w:t>modeling</w:t>
      </w:r>
      <w:r w:rsidRPr="0052682F">
        <w:rPr>
          <w:rFonts w:cs="Times New Roman"/>
          <w:szCs w:val="24"/>
        </w:rPr>
        <w:t xml:space="preserve"> procedures. Consistent with prior work using the ABCD datasets (</w:t>
      </w:r>
      <w:r w:rsidR="00E95940" w:rsidRPr="0052682F">
        <w:rPr>
          <w:rFonts w:cs="Times New Roman"/>
          <w:szCs w:val="24"/>
        </w:rPr>
        <w:t>1-3</w:t>
      </w:r>
      <w:r w:rsidRPr="0052682F">
        <w:rPr>
          <w:rFonts w:cs="Times New Roman"/>
          <w:szCs w:val="24"/>
        </w:rPr>
        <w:t>), the current sample was selected based on various quality control parameters, motion effects, and screening of outliers in the functional neuroimaging data on the SST. As summarized in the main text, the quality control parameters were FreeSurfer quality control parameter (</w:t>
      </w:r>
      <w:bookmarkStart w:id="0" w:name="_Hlk76055926"/>
      <w:r w:rsidRPr="0052682F">
        <w:rPr>
          <w:rFonts w:cs="Times New Roman"/>
          <w:szCs w:val="24"/>
        </w:rPr>
        <w:t>fsqc_qc</w:t>
      </w:r>
      <w:bookmarkEnd w:id="0"/>
      <w:r w:rsidRPr="0052682F">
        <w:rPr>
          <w:rFonts w:cs="Times New Roman"/>
          <w:szCs w:val="24"/>
        </w:rPr>
        <w:t>), degrees of freedom across runs (tfmri_sa_beta_dof &gt; 200), and average framewise displacement on the SST (tfmri_sa_beta_mm &lt; 0.9mm). Based on (</w:t>
      </w:r>
      <w:r w:rsidR="00E95940" w:rsidRPr="0052682F">
        <w:rPr>
          <w:rFonts w:cs="Times New Roman"/>
          <w:color w:val="202124"/>
          <w:szCs w:val="24"/>
          <w:shd w:val="clear" w:color="auto" w:fill="FFFFFF"/>
        </w:rPr>
        <w:t>4-5</w:t>
      </w:r>
      <w:r w:rsidRPr="0052682F">
        <w:rPr>
          <w:rFonts w:cs="Times New Roman"/>
          <w:szCs w:val="24"/>
        </w:rPr>
        <w:t xml:space="preserve">) and </w:t>
      </w:r>
      <w:r w:rsidR="00680153" w:rsidRPr="0052682F">
        <w:rPr>
          <w:rFonts w:cs="Times New Roman"/>
          <w:szCs w:val="24"/>
        </w:rPr>
        <w:t xml:space="preserve">after </w:t>
      </w:r>
      <w:r w:rsidRPr="0052682F">
        <w:rPr>
          <w:rFonts w:cs="Times New Roman"/>
          <w:szCs w:val="24"/>
        </w:rPr>
        <w:t xml:space="preserve">consultation with the ABCD Data Analysis and Informatics Center, various behavioral quality control parameters were also introduced to the screening, namely poor SST task performance (tfmri_sst_beh_performflag), task coding error indicated by the glitch flag (tfmri_sst_beh_glitchflag), and number of Stop trials with 0ms Stop Signal Delay (tfmri_sst_beh_0ssdcount &lt; 10% of all Stop trials). The application of the various screening criteria was to balance between the generalizability of the current findings and the inclusion of quality data, as data of poor imaging or behavioral quality may introduce biases and noises and </w:t>
      </w:r>
      <w:r w:rsidR="00680153" w:rsidRPr="0052682F">
        <w:rPr>
          <w:rFonts w:cs="Times New Roman"/>
          <w:szCs w:val="24"/>
        </w:rPr>
        <w:t xml:space="preserve">hurt </w:t>
      </w:r>
      <w:r w:rsidRPr="0052682F">
        <w:rPr>
          <w:rFonts w:cs="Times New Roman"/>
          <w:szCs w:val="24"/>
        </w:rPr>
        <w:t xml:space="preserve">the power of analyses. Missingness of these variables </w:t>
      </w:r>
      <w:r w:rsidR="00680153" w:rsidRPr="0052682F">
        <w:rPr>
          <w:rFonts w:cs="Times New Roman"/>
          <w:szCs w:val="24"/>
        </w:rPr>
        <w:t xml:space="preserve">and socio-demographic data </w:t>
      </w:r>
      <w:r w:rsidRPr="0052682F">
        <w:rPr>
          <w:rFonts w:cs="Times New Roman"/>
          <w:szCs w:val="24"/>
        </w:rPr>
        <w:t xml:space="preserve">was handled by maximum likelihood estimation in Mplus.  </w:t>
      </w:r>
    </w:p>
    <w:p w14:paraId="78F126D5" w14:textId="639884F4" w:rsidR="00A81969" w:rsidRPr="0052682F" w:rsidRDefault="00A81969" w:rsidP="00976BBB">
      <w:pPr>
        <w:ind w:firstLine="720"/>
      </w:pPr>
      <w:r w:rsidRPr="0052682F">
        <w:rPr>
          <w:rFonts w:cs="Times New Roman"/>
          <w:szCs w:val="24"/>
        </w:rPr>
        <w:t xml:space="preserve">The above screening resulted in a current sample of 5,948 youths. As commonly reported in previous work (e.g., </w:t>
      </w:r>
      <w:r w:rsidR="00E95940" w:rsidRPr="0052682F">
        <w:rPr>
          <w:rFonts w:cs="Times New Roman"/>
          <w:szCs w:val="24"/>
        </w:rPr>
        <w:t>1-3</w:t>
      </w:r>
      <w:r w:rsidRPr="0052682F">
        <w:rPr>
          <w:rFonts w:cs="Times New Roman"/>
          <w:szCs w:val="24"/>
        </w:rPr>
        <w:t xml:space="preserve">), </w:t>
      </w:r>
      <w:r w:rsidR="000139E7" w:rsidRPr="0052682F">
        <w:rPr>
          <w:rFonts w:cs="Times New Roman"/>
          <w:szCs w:val="24"/>
        </w:rPr>
        <w:t>visual inspection and statistical group</w:t>
      </w:r>
      <w:r w:rsidRPr="0052682F">
        <w:rPr>
          <w:rFonts w:cs="Times New Roman"/>
          <w:szCs w:val="24"/>
        </w:rPr>
        <w:t xml:space="preserve"> comparisons with the excluded sample (</w:t>
      </w:r>
      <w:r w:rsidRPr="0052682F">
        <w:rPr>
          <w:rFonts w:cs="Times New Roman"/>
          <w:i/>
          <w:iCs/>
          <w:szCs w:val="24"/>
        </w:rPr>
        <w:t>N</w:t>
      </w:r>
      <w:r w:rsidRPr="0052682F">
        <w:rPr>
          <w:rFonts w:cs="Times New Roman"/>
          <w:szCs w:val="24"/>
        </w:rPr>
        <w:t xml:space="preserve"> = 5,930) revealed </w:t>
      </w:r>
      <w:r w:rsidR="000139E7" w:rsidRPr="0052682F">
        <w:rPr>
          <w:rFonts w:cs="Times New Roman"/>
          <w:szCs w:val="24"/>
        </w:rPr>
        <w:t xml:space="preserve">significant </w:t>
      </w:r>
      <w:r w:rsidRPr="0052682F">
        <w:rPr>
          <w:rFonts w:cs="Times New Roman"/>
          <w:szCs w:val="24"/>
        </w:rPr>
        <w:t xml:space="preserve">differences in </w:t>
      </w:r>
      <w:r w:rsidR="000139E7" w:rsidRPr="0052682F">
        <w:rPr>
          <w:rFonts w:cs="Times New Roman"/>
          <w:szCs w:val="24"/>
        </w:rPr>
        <w:t xml:space="preserve">all </w:t>
      </w:r>
      <w:r w:rsidRPr="0052682F">
        <w:rPr>
          <w:rFonts w:cs="Times New Roman"/>
          <w:szCs w:val="24"/>
        </w:rPr>
        <w:t>socio-demographic variables</w:t>
      </w:r>
      <w:r w:rsidR="00F128EC" w:rsidRPr="0052682F">
        <w:rPr>
          <w:rFonts w:cs="Times New Roman"/>
          <w:szCs w:val="24"/>
        </w:rPr>
        <w:t xml:space="preserve">; and the same </w:t>
      </w:r>
      <w:r w:rsidR="00665B70" w:rsidRPr="0052682F">
        <w:rPr>
          <w:rFonts w:cs="Times New Roman"/>
          <w:szCs w:val="24"/>
        </w:rPr>
        <w:t>sociodemographic</w:t>
      </w:r>
      <w:r w:rsidR="00F128EC" w:rsidRPr="0052682F">
        <w:rPr>
          <w:rFonts w:cs="Times New Roman"/>
          <w:szCs w:val="24"/>
        </w:rPr>
        <w:t xml:space="preserve"> differences were observed among the included LCA groups,</w:t>
      </w:r>
      <w:r w:rsidR="000139E7" w:rsidRPr="0052682F">
        <w:rPr>
          <w:rFonts w:cs="Times New Roman"/>
          <w:szCs w:val="24"/>
        </w:rPr>
        <w:t xml:space="preserve"> except for </w:t>
      </w:r>
      <w:r w:rsidR="00665B70" w:rsidRPr="0052682F">
        <w:rPr>
          <w:rFonts w:cs="Times New Roman"/>
          <w:szCs w:val="24"/>
        </w:rPr>
        <w:t>age</w:t>
      </w:r>
      <w:r w:rsidR="000139E7" w:rsidRPr="0052682F">
        <w:rPr>
          <w:rFonts w:cs="Times New Roman"/>
          <w:szCs w:val="24"/>
        </w:rPr>
        <w:t xml:space="preserve"> </w:t>
      </w:r>
      <w:r w:rsidRPr="0052682F">
        <w:rPr>
          <w:rFonts w:cs="Times New Roman"/>
          <w:szCs w:val="24"/>
        </w:rPr>
        <w:t>(see Table S1 for a summary of the sample characteristics comparison and Table S</w:t>
      </w:r>
      <w:r w:rsidR="00C83E57" w:rsidRPr="0052682F">
        <w:rPr>
          <w:rFonts w:cs="Times New Roman"/>
          <w:szCs w:val="24"/>
        </w:rPr>
        <w:t>2</w:t>
      </w:r>
      <w:r w:rsidRPr="0052682F">
        <w:rPr>
          <w:rFonts w:cs="Times New Roman"/>
          <w:szCs w:val="24"/>
        </w:rPr>
        <w:t xml:space="preserve"> for the sample characteristics of the included sample). All the socio-demographic variables were therefore included as covariates in the data analyses. </w:t>
      </w:r>
      <w:r w:rsidR="00D755F7" w:rsidRPr="0052682F">
        <w:rPr>
          <w:rFonts w:cs="Times New Roman"/>
          <w:szCs w:val="24"/>
        </w:rPr>
        <w:t>Modeling results</w:t>
      </w:r>
      <w:r w:rsidR="00F128EC" w:rsidRPr="0052682F">
        <w:rPr>
          <w:rFonts w:cs="Times New Roman"/>
          <w:szCs w:val="24"/>
        </w:rPr>
        <w:t xml:space="preserve"> remained largely unchanged when removing </w:t>
      </w:r>
      <w:r w:rsidR="00665B70" w:rsidRPr="0052682F">
        <w:rPr>
          <w:rFonts w:cs="Times New Roman"/>
          <w:szCs w:val="24"/>
        </w:rPr>
        <w:t>age as a covariate</w:t>
      </w:r>
      <w:r w:rsidR="006C473C" w:rsidRPr="0052682F">
        <w:rPr>
          <w:rFonts w:cs="Times New Roman"/>
          <w:szCs w:val="24"/>
        </w:rPr>
        <w:t xml:space="preserve">, except for the group comparison </w:t>
      </w:r>
      <w:r w:rsidR="00CD3774" w:rsidRPr="0052682F">
        <w:rPr>
          <w:rFonts w:cs="Times New Roman"/>
          <w:szCs w:val="24"/>
        </w:rPr>
        <w:t xml:space="preserve">using selected regions from (6) </w:t>
      </w:r>
      <w:r w:rsidR="006C473C" w:rsidRPr="0052682F">
        <w:rPr>
          <w:rFonts w:cs="Times New Roman"/>
          <w:szCs w:val="24"/>
        </w:rPr>
        <w:t>between typically</w:t>
      </w:r>
      <w:r w:rsidR="00700EF2" w:rsidRPr="0052682F">
        <w:rPr>
          <w:rFonts w:cs="Times New Roman"/>
          <w:szCs w:val="24"/>
        </w:rPr>
        <w:t xml:space="preserve"> </w:t>
      </w:r>
      <w:r w:rsidR="006C473C" w:rsidRPr="0052682F">
        <w:rPr>
          <w:rFonts w:cs="Times New Roman"/>
          <w:szCs w:val="24"/>
        </w:rPr>
        <w:t>developing peers and youths with high irritability symptoms</w:t>
      </w:r>
      <w:r w:rsidR="00DC366F" w:rsidRPr="0052682F">
        <w:rPr>
          <w:rFonts w:cs="Times New Roman"/>
          <w:szCs w:val="24"/>
        </w:rPr>
        <w:t xml:space="preserve"> only</w:t>
      </w:r>
      <w:r w:rsidR="006C473C" w:rsidRPr="0052682F">
        <w:rPr>
          <w:rFonts w:cs="Times New Roman"/>
          <w:szCs w:val="24"/>
        </w:rPr>
        <w:t xml:space="preserve">, which was significant at a trend level </w:t>
      </w:r>
      <w:r w:rsidR="00700EF2" w:rsidRPr="0052682F">
        <w:rPr>
          <w:rFonts w:cs="Times New Roman"/>
          <w:szCs w:val="24"/>
        </w:rPr>
        <w:t>corrected for false discovery rate (FDR)</w:t>
      </w:r>
      <w:r w:rsidR="006C473C" w:rsidRPr="0052682F">
        <w:rPr>
          <w:rFonts w:cs="Times New Roman"/>
          <w:szCs w:val="24"/>
        </w:rPr>
        <w:t xml:space="preserve"> (Estimate = .40, SE = .16, </w:t>
      </w:r>
      <w:r w:rsidR="006C473C" w:rsidRPr="0052682F">
        <w:rPr>
          <w:rFonts w:cs="Times New Roman"/>
          <w:i/>
          <w:iCs/>
          <w:szCs w:val="24"/>
        </w:rPr>
        <w:t>p</w:t>
      </w:r>
      <w:r w:rsidR="006C473C" w:rsidRPr="0052682F">
        <w:rPr>
          <w:rFonts w:cs="Times New Roman"/>
          <w:szCs w:val="24"/>
        </w:rPr>
        <w:t xml:space="preserve"> = .09). </w:t>
      </w:r>
      <w:r w:rsidRPr="0052682F">
        <w:rPr>
          <w:rFonts w:cs="Times New Roman"/>
          <w:szCs w:val="24"/>
        </w:rPr>
        <w:t xml:space="preserve">The hierarchical structure introduced by scan sites was taken into account in the latent </w:t>
      </w:r>
      <w:r w:rsidR="002B5926" w:rsidRPr="0052682F">
        <w:rPr>
          <w:rFonts w:cs="Times New Roman"/>
          <w:szCs w:val="24"/>
        </w:rPr>
        <w:t>modeling</w:t>
      </w:r>
      <w:r w:rsidRPr="0052682F">
        <w:rPr>
          <w:rFonts w:cs="Times New Roman"/>
          <w:szCs w:val="24"/>
        </w:rPr>
        <w:t xml:space="preserve"> procedures</w:t>
      </w:r>
      <w:r w:rsidR="000139E7" w:rsidRPr="0052682F">
        <w:rPr>
          <w:rFonts w:cs="Times New Roman"/>
          <w:szCs w:val="24"/>
        </w:rPr>
        <w:t xml:space="preserve"> as </w:t>
      </w:r>
      <w:r w:rsidR="00700EF2" w:rsidRPr="0052682F">
        <w:rPr>
          <w:rFonts w:cs="Times New Roman"/>
          <w:szCs w:val="24"/>
        </w:rPr>
        <w:t>described</w:t>
      </w:r>
      <w:r w:rsidR="000139E7" w:rsidRPr="0052682F">
        <w:rPr>
          <w:rFonts w:cs="Times New Roman"/>
          <w:szCs w:val="24"/>
        </w:rPr>
        <w:t xml:space="preserve"> in the main text</w:t>
      </w:r>
      <w:r w:rsidRPr="0052682F">
        <w:rPr>
          <w:rFonts w:cs="Times New Roman"/>
          <w:szCs w:val="24"/>
        </w:rPr>
        <w:t xml:space="preserve">. Where applicable, the statistical procedures were corrected for multiple comparisons using </w:t>
      </w:r>
      <w:r w:rsidR="00700EF2" w:rsidRPr="0052682F">
        <w:rPr>
          <w:rFonts w:cs="Times New Roman"/>
          <w:szCs w:val="24"/>
        </w:rPr>
        <w:t>FDR</w:t>
      </w:r>
      <w:r w:rsidRPr="0052682F">
        <w:rPr>
          <w:rFonts w:cs="Times New Roman"/>
          <w:szCs w:val="24"/>
        </w:rPr>
        <w:t xml:space="preserve"> and significant at alpha = .05. </w:t>
      </w:r>
    </w:p>
    <w:p w14:paraId="566BA01B" w14:textId="77777777" w:rsidR="00A81969" w:rsidRPr="0052682F" w:rsidRDefault="00A81969" w:rsidP="00A81969">
      <w:pPr>
        <w:rPr>
          <w:rFonts w:cs="Times New Roman"/>
          <w:b/>
          <w:bCs/>
          <w:szCs w:val="24"/>
        </w:rPr>
      </w:pPr>
      <w:r w:rsidRPr="0052682F">
        <w:rPr>
          <w:rFonts w:cs="Times New Roman"/>
          <w:b/>
          <w:bCs/>
          <w:szCs w:val="24"/>
        </w:rPr>
        <w:lastRenderedPageBreak/>
        <w:t xml:space="preserve">Group comparison using all available brain regions </w:t>
      </w:r>
    </w:p>
    <w:p w14:paraId="79EA06D8" w14:textId="15CB7E10" w:rsidR="00A81969" w:rsidRPr="0052682F" w:rsidRDefault="00A81969" w:rsidP="00A81969">
      <w:pPr>
        <w:rPr>
          <w:rFonts w:cs="Times New Roman"/>
          <w:szCs w:val="24"/>
        </w:rPr>
      </w:pPr>
      <w:r w:rsidRPr="0052682F">
        <w:rPr>
          <w:rFonts w:cs="Times New Roman"/>
          <w:szCs w:val="24"/>
        </w:rPr>
        <w:t>Table S</w:t>
      </w:r>
      <w:r w:rsidR="00C83E57" w:rsidRPr="0052682F">
        <w:rPr>
          <w:rFonts w:cs="Times New Roman"/>
          <w:szCs w:val="24"/>
        </w:rPr>
        <w:t>3</w:t>
      </w:r>
      <w:r w:rsidRPr="0052682F">
        <w:rPr>
          <w:rFonts w:cs="Times New Roman"/>
          <w:szCs w:val="24"/>
        </w:rPr>
        <w:t xml:space="preserve"> summarizes the full list of brain regions included in the main analysis and their respective variable names in the ABCD dataset, which were selected based on ICC &gt; .60 from Korucuoglu and colleagues (</w:t>
      </w:r>
      <w:r w:rsidR="00E95940" w:rsidRPr="0052682F">
        <w:rPr>
          <w:rFonts w:cs="Times New Roman"/>
          <w:szCs w:val="24"/>
        </w:rPr>
        <w:t>6</w:t>
      </w:r>
      <w:r w:rsidRPr="0052682F">
        <w:rPr>
          <w:rFonts w:cs="Times New Roman"/>
          <w:szCs w:val="24"/>
        </w:rPr>
        <w:t>) (see Tables S4 and S5 for model fit and measurement invariance). While the work of Korucuoglu and colleagues (</w:t>
      </w:r>
      <w:r w:rsidR="00E95940" w:rsidRPr="0052682F">
        <w:rPr>
          <w:rFonts w:cs="Times New Roman"/>
          <w:szCs w:val="24"/>
        </w:rPr>
        <w:t>6</w:t>
      </w:r>
      <w:r w:rsidRPr="0052682F">
        <w:rPr>
          <w:rFonts w:cs="Times New Roman"/>
          <w:szCs w:val="24"/>
        </w:rPr>
        <w:t xml:space="preserve">) provided </w:t>
      </w:r>
      <w:r w:rsidR="0042589E" w:rsidRPr="0052682F">
        <w:rPr>
          <w:rFonts w:cs="Times New Roman"/>
          <w:szCs w:val="24"/>
        </w:rPr>
        <w:t xml:space="preserve">the </w:t>
      </w:r>
      <w:r w:rsidRPr="0052682F">
        <w:rPr>
          <w:rFonts w:cs="Times New Roman"/>
          <w:szCs w:val="24"/>
        </w:rPr>
        <w:t xml:space="preserve">much-needed evidence for the most robust brain regions that showed </w:t>
      </w:r>
      <w:r w:rsidR="0042589E" w:rsidRPr="0052682F">
        <w:rPr>
          <w:rFonts w:cs="Times New Roman"/>
          <w:szCs w:val="24"/>
        </w:rPr>
        <w:t xml:space="preserve">moderate to </w:t>
      </w:r>
      <w:r w:rsidRPr="0052682F">
        <w:rPr>
          <w:rFonts w:cs="Times New Roman"/>
          <w:szCs w:val="24"/>
        </w:rPr>
        <w:t>high test-retest reliability for response inhibition and error processing (termed error monitoring in the article) on the SST, we acknowledged that such evidence was based on a young adult sample, and hence might not be entirely applicable to younger children, such as those included in the current study. To supplement the main results based on selected regions from Korucuoglu and colleagues (</w:t>
      </w:r>
      <w:r w:rsidR="00E95940" w:rsidRPr="0052682F">
        <w:rPr>
          <w:rFonts w:cs="Times New Roman"/>
          <w:szCs w:val="24"/>
        </w:rPr>
        <w:t>6</w:t>
      </w:r>
      <w:r w:rsidRPr="0052682F">
        <w:rPr>
          <w:rFonts w:cs="Times New Roman"/>
          <w:szCs w:val="24"/>
        </w:rPr>
        <w:t xml:space="preserve">), the same series of model identification and latent </w:t>
      </w:r>
      <w:r w:rsidR="002B5926" w:rsidRPr="0052682F">
        <w:rPr>
          <w:rFonts w:cs="Times New Roman"/>
          <w:szCs w:val="24"/>
        </w:rPr>
        <w:t>modeling</w:t>
      </w:r>
      <w:r w:rsidRPr="0052682F">
        <w:rPr>
          <w:rFonts w:cs="Times New Roman"/>
          <w:szCs w:val="24"/>
        </w:rPr>
        <w:t xml:space="preserve"> procedures were conducted with the use of all 34 bilateral sets of available brain regions in the SST dataset (</w:t>
      </w:r>
      <w:r w:rsidR="00E95940" w:rsidRPr="0052682F">
        <w:rPr>
          <w:rFonts w:cs="Times New Roman"/>
          <w:szCs w:val="24"/>
        </w:rPr>
        <w:t>7</w:t>
      </w:r>
      <w:r w:rsidRPr="0052682F">
        <w:rPr>
          <w:rFonts w:cs="Times New Roman"/>
          <w:szCs w:val="24"/>
        </w:rPr>
        <w:t xml:space="preserve">). </w:t>
      </w:r>
    </w:p>
    <w:p w14:paraId="221580E9" w14:textId="3C245932" w:rsidR="00A81969" w:rsidRPr="0052682F" w:rsidRDefault="00A81969" w:rsidP="00976BBB">
      <w:pPr>
        <w:ind w:firstLine="720"/>
        <w:rPr>
          <w:rFonts w:cs="Times New Roman"/>
          <w:szCs w:val="24"/>
        </w:rPr>
      </w:pPr>
      <w:r w:rsidRPr="0052682F">
        <w:rPr>
          <w:rFonts w:cs="Times New Roman"/>
          <w:szCs w:val="24"/>
        </w:rPr>
        <w:t xml:space="preserve">To derive coactivation network for response inhibition, exploratory factor analysis was conducted to identify indicators and factor structures. Subsequent confirmatory factor analysis revealed excellent model fit, </w:t>
      </w:r>
      <w:r w:rsidRPr="0052682F">
        <w:rPr>
          <w:rFonts w:eastAsia="Times New Roman" w:cs="Times New Roman"/>
          <w:color w:val="000000"/>
          <w:szCs w:val="24"/>
        </w:rPr>
        <w:t>χ</w:t>
      </w:r>
      <w:r w:rsidRPr="0052682F">
        <w:rPr>
          <w:rFonts w:eastAsia="Times New Roman" w:cs="Times New Roman"/>
          <w:color w:val="000000"/>
          <w:szCs w:val="24"/>
          <w:vertAlign w:val="superscript"/>
        </w:rPr>
        <w:t>2</w:t>
      </w:r>
      <w:r w:rsidRPr="0052682F">
        <w:rPr>
          <w:rFonts w:eastAsia="Times New Roman" w:cs="Times New Roman"/>
          <w:color w:val="000000"/>
          <w:szCs w:val="24"/>
        </w:rPr>
        <w:t xml:space="preserve">(29) = 49.27, </w:t>
      </w:r>
      <w:r w:rsidRPr="0052682F">
        <w:rPr>
          <w:rFonts w:eastAsia="Times New Roman" w:cs="Times New Roman"/>
          <w:i/>
          <w:iCs/>
          <w:color w:val="000000"/>
          <w:szCs w:val="24"/>
        </w:rPr>
        <w:t>p</w:t>
      </w:r>
      <w:r w:rsidRPr="0052682F">
        <w:rPr>
          <w:rFonts w:eastAsia="Times New Roman" w:cs="Times New Roman"/>
          <w:color w:val="000000"/>
          <w:szCs w:val="24"/>
        </w:rPr>
        <w:t xml:space="preserve"> = .01, </w:t>
      </w:r>
      <w:r w:rsidRPr="0052682F">
        <w:rPr>
          <w:rFonts w:cs="Times New Roman"/>
          <w:szCs w:val="24"/>
        </w:rPr>
        <w:t>CFI = 1.00, TFI = 1.00, RMSEA = .01 [.01, .02], SRMR = .01, with measurement invariance achieved, ΔCFI&gt; .01 and ΔRMSEA&gt;.015 (</w:t>
      </w:r>
      <w:r w:rsidR="001D5D82" w:rsidRPr="0052682F">
        <w:rPr>
          <w:rFonts w:cs="Times New Roman"/>
          <w:szCs w:val="24"/>
        </w:rPr>
        <w:t>8</w:t>
      </w:r>
      <w:r w:rsidRPr="0052682F">
        <w:rPr>
          <w:rFonts w:cs="Times New Roman"/>
          <w:szCs w:val="24"/>
        </w:rPr>
        <w:t xml:space="preserve">). Table S6 presents the model fit information and measurement invariance test results of the response inhibition coactivation network. This response inhibition coactivation network comprised of five regions (see Figure S1A), characterized by significant factor loadings (all </w:t>
      </w:r>
      <w:r w:rsidRPr="0052682F">
        <w:rPr>
          <w:rFonts w:cs="Times New Roman"/>
          <w:i/>
          <w:iCs/>
          <w:szCs w:val="24"/>
        </w:rPr>
        <w:t>p</w:t>
      </w:r>
      <w:r w:rsidRPr="0052682F">
        <w:rPr>
          <w:rFonts w:cs="Times New Roman"/>
          <w:szCs w:val="24"/>
        </w:rPr>
        <w:t xml:space="preserve">s &lt;.001) in the right pericalcarine cortex (.93), bilateral lingual gyri (right = .92, left = .91), and bilateral cuneus (right = .85, left = .90). </w:t>
      </w:r>
    </w:p>
    <w:p w14:paraId="2DFF289D" w14:textId="5EA058B1" w:rsidR="00A81969" w:rsidRPr="0052682F" w:rsidRDefault="00A81969" w:rsidP="00976BBB">
      <w:pPr>
        <w:ind w:firstLine="720"/>
        <w:rPr>
          <w:rFonts w:cs="Times New Roman"/>
          <w:szCs w:val="24"/>
        </w:rPr>
      </w:pPr>
      <w:r w:rsidRPr="0052682F">
        <w:rPr>
          <w:rFonts w:cs="Times New Roman"/>
          <w:szCs w:val="24"/>
        </w:rPr>
        <w:t xml:space="preserve">Similarly, to derive coactivation network for error processing, confirmatory factor analysis, based on indicators and factor structures derived from exploratory factor analysis, suggested excellent model fit, </w:t>
      </w:r>
      <w:r w:rsidRPr="0052682F">
        <w:rPr>
          <w:rFonts w:eastAsia="Times New Roman" w:cs="Times New Roman"/>
          <w:color w:val="000000"/>
          <w:szCs w:val="24"/>
        </w:rPr>
        <w:t>χ</w:t>
      </w:r>
      <w:r w:rsidRPr="0052682F">
        <w:rPr>
          <w:rFonts w:eastAsia="Times New Roman" w:cs="Times New Roman"/>
          <w:color w:val="000000"/>
          <w:szCs w:val="24"/>
          <w:vertAlign w:val="superscript"/>
        </w:rPr>
        <w:t>2</w:t>
      </w:r>
      <w:r w:rsidRPr="0052682F">
        <w:rPr>
          <w:rFonts w:eastAsia="Times New Roman" w:cs="Times New Roman"/>
          <w:color w:val="000000"/>
          <w:szCs w:val="24"/>
        </w:rPr>
        <w:t xml:space="preserve">(22) = 114.24, </w:t>
      </w:r>
      <w:r w:rsidRPr="0052682F">
        <w:rPr>
          <w:rFonts w:eastAsia="Times New Roman" w:cs="Times New Roman"/>
          <w:i/>
          <w:iCs/>
          <w:color w:val="000000"/>
          <w:szCs w:val="24"/>
        </w:rPr>
        <w:t>p</w:t>
      </w:r>
      <w:r w:rsidRPr="0052682F">
        <w:rPr>
          <w:rFonts w:eastAsia="Times New Roman" w:cs="Times New Roman"/>
          <w:color w:val="000000"/>
          <w:szCs w:val="24"/>
        </w:rPr>
        <w:t xml:space="preserve"> = &lt;.001, </w:t>
      </w:r>
      <w:r w:rsidRPr="0052682F">
        <w:rPr>
          <w:rFonts w:cs="Times New Roman"/>
          <w:szCs w:val="24"/>
        </w:rPr>
        <w:t>CFI = .99, TFI = .99, RMSEA = .03 [.02, .03], SRMR = .01, with measurement invariance achieved, ΔCFI&gt; .01 and ΔRMSEA&gt;.015 (</w:t>
      </w:r>
      <w:r w:rsidR="00E95940" w:rsidRPr="0052682F">
        <w:rPr>
          <w:rFonts w:cs="Times New Roman"/>
          <w:szCs w:val="24"/>
        </w:rPr>
        <w:t>8</w:t>
      </w:r>
      <w:r w:rsidRPr="0052682F">
        <w:rPr>
          <w:rFonts w:cs="Times New Roman"/>
          <w:szCs w:val="24"/>
        </w:rPr>
        <w:t>). Table S7 presented the model fit information and measurement invariance test results of the error processing coactivation network</w:t>
      </w:r>
      <w:r w:rsidR="00B9202C" w:rsidRPr="0052682F">
        <w:rPr>
          <w:rFonts w:cs="Times New Roman"/>
          <w:szCs w:val="24"/>
        </w:rPr>
        <w:t>.</w:t>
      </w:r>
      <w:r w:rsidRPr="0052682F">
        <w:rPr>
          <w:rFonts w:cs="Times New Roman"/>
          <w:szCs w:val="24"/>
        </w:rPr>
        <w:t xml:space="preserve"> This error processing coactivation network was indicated by four regions (see Figure S1B) with significant factor loadings (all </w:t>
      </w:r>
      <w:r w:rsidRPr="0052682F">
        <w:rPr>
          <w:rFonts w:cs="Times New Roman"/>
          <w:i/>
          <w:iCs/>
          <w:szCs w:val="24"/>
        </w:rPr>
        <w:t>p</w:t>
      </w:r>
      <w:r w:rsidRPr="0052682F">
        <w:rPr>
          <w:rFonts w:cs="Times New Roman"/>
          <w:szCs w:val="24"/>
        </w:rPr>
        <w:t xml:space="preserve">s &lt;.001), represented by the bilateral superior frontal cortices (right = .97, left = .91), left caudal middle frontal cortex (.84), and the right caudal anterior cingulate cortex (.72). </w:t>
      </w:r>
      <w:r w:rsidRPr="0052682F">
        <w:rPr>
          <w:rFonts w:cs="Times New Roman"/>
          <w:szCs w:val="24"/>
        </w:rPr>
        <w:tab/>
      </w:r>
    </w:p>
    <w:p w14:paraId="30C5CAD4" w14:textId="1EC80F65" w:rsidR="00A81969" w:rsidRPr="0052682F" w:rsidRDefault="00A81969" w:rsidP="00976BBB">
      <w:pPr>
        <w:ind w:firstLine="720"/>
        <w:rPr>
          <w:rFonts w:cs="Times New Roman"/>
          <w:szCs w:val="24"/>
        </w:rPr>
      </w:pPr>
      <w:r w:rsidRPr="0052682F">
        <w:rPr>
          <w:rFonts w:cs="Times New Roman"/>
          <w:szCs w:val="24"/>
        </w:rPr>
        <w:t>Table S8 summarizes the group comparison results of the latent neural coactivation networks across latent classes. The group comparison results were conducted using the model constraint and difference test procedures in Mplus version 8.3 (</w:t>
      </w:r>
      <w:r w:rsidR="00E95940" w:rsidRPr="0052682F">
        <w:rPr>
          <w:rFonts w:cs="Times New Roman"/>
          <w:color w:val="1C1D1E"/>
          <w:szCs w:val="24"/>
        </w:rPr>
        <w:t>9</w:t>
      </w:r>
      <w:r w:rsidRPr="0052682F">
        <w:rPr>
          <w:rFonts w:cs="Times New Roman"/>
          <w:szCs w:val="24"/>
        </w:rPr>
        <w:t xml:space="preserve">), with all the socio-demographics and the hierarchical structure of scan sites adjusted for. </w:t>
      </w:r>
      <w:r w:rsidR="009815B6" w:rsidRPr="0052682F">
        <w:rPr>
          <w:rFonts w:cs="Times New Roman"/>
          <w:szCs w:val="24"/>
        </w:rPr>
        <w:t>While the same coactivation patterns were observed for response inhibition, where there was increased coactivation in youths with high ADHD symptoms and co-occurring irritability and decreased coactivation in youths with moderate ADHD symptoms only and in youths with high irritability symptoms only, these group differences did not reach statistical significance after FDR-corrected for multiple comparisons</w:t>
      </w:r>
      <w:r w:rsidR="001B624C" w:rsidRPr="0052682F">
        <w:rPr>
          <w:rFonts w:cs="Times New Roman"/>
          <w:szCs w:val="24"/>
        </w:rPr>
        <w:t xml:space="preserve"> (Estimates ranged from </w:t>
      </w:r>
      <w:r w:rsidR="000C5976" w:rsidRPr="0052682F">
        <w:rPr>
          <w:rFonts w:cs="Times New Roman"/>
          <w:szCs w:val="24"/>
        </w:rPr>
        <w:t>-.54 to .31</w:t>
      </w:r>
      <w:r w:rsidR="001B624C" w:rsidRPr="0052682F">
        <w:rPr>
          <w:rFonts w:cs="Times New Roman"/>
          <w:szCs w:val="24"/>
        </w:rPr>
        <w:t xml:space="preserve">, </w:t>
      </w:r>
      <w:r w:rsidR="001B624C" w:rsidRPr="0052682F">
        <w:rPr>
          <w:rFonts w:cs="Times New Roman"/>
          <w:i/>
          <w:iCs/>
          <w:szCs w:val="24"/>
        </w:rPr>
        <w:t>p</w:t>
      </w:r>
      <w:r w:rsidR="001B624C" w:rsidRPr="0052682F">
        <w:rPr>
          <w:rFonts w:cs="Times New Roman"/>
          <w:szCs w:val="24"/>
        </w:rPr>
        <w:t xml:space="preserve">s = .12 to .66). As for error processing, the same null results were found across all developmental groups (Estimates ranged from </w:t>
      </w:r>
      <w:r w:rsidR="000C5976" w:rsidRPr="0052682F">
        <w:rPr>
          <w:rFonts w:cs="Times New Roman"/>
          <w:szCs w:val="24"/>
        </w:rPr>
        <w:t>-.44 to .16</w:t>
      </w:r>
      <w:r w:rsidR="001B624C" w:rsidRPr="0052682F">
        <w:rPr>
          <w:rFonts w:cs="Times New Roman"/>
          <w:szCs w:val="24"/>
        </w:rPr>
        <w:t xml:space="preserve">, </w:t>
      </w:r>
      <w:r w:rsidR="001B624C" w:rsidRPr="0052682F">
        <w:rPr>
          <w:rFonts w:cs="Times New Roman"/>
          <w:i/>
          <w:iCs/>
          <w:szCs w:val="24"/>
        </w:rPr>
        <w:t>p</w:t>
      </w:r>
      <w:r w:rsidR="001B624C" w:rsidRPr="0052682F">
        <w:rPr>
          <w:rFonts w:cs="Times New Roman"/>
          <w:szCs w:val="24"/>
        </w:rPr>
        <w:t>s ranged from .16 to .61).</w:t>
      </w:r>
      <w:r w:rsidR="00CD3774" w:rsidRPr="0052682F">
        <w:rPr>
          <w:rFonts w:cs="Times New Roman"/>
          <w:szCs w:val="24"/>
        </w:rPr>
        <w:t xml:space="preserve"> Results remained unchanged when excluding race and caregiver marital status as covariates (Estimates ranged from </w:t>
      </w:r>
      <w:r w:rsidR="001073FB" w:rsidRPr="0052682F">
        <w:rPr>
          <w:rFonts w:cs="Times New Roman"/>
          <w:szCs w:val="24"/>
        </w:rPr>
        <w:t xml:space="preserve">-.51 to .25, </w:t>
      </w:r>
      <w:r w:rsidR="001073FB" w:rsidRPr="0052682F">
        <w:rPr>
          <w:rFonts w:cs="Times New Roman"/>
          <w:i/>
          <w:iCs/>
          <w:szCs w:val="24"/>
        </w:rPr>
        <w:t>p</w:t>
      </w:r>
      <w:r w:rsidR="001073FB" w:rsidRPr="0052682F">
        <w:rPr>
          <w:rFonts w:cs="Times New Roman"/>
          <w:szCs w:val="24"/>
        </w:rPr>
        <w:t xml:space="preserve">s ranged from .21 to .89 for response inhibition; Estimates ranged from -.38 to .13, </w:t>
      </w:r>
      <w:r w:rsidR="001073FB" w:rsidRPr="0052682F">
        <w:rPr>
          <w:rFonts w:cs="Times New Roman"/>
          <w:i/>
          <w:iCs/>
          <w:szCs w:val="24"/>
        </w:rPr>
        <w:t>p</w:t>
      </w:r>
      <w:r w:rsidR="001073FB" w:rsidRPr="0052682F">
        <w:rPr>
          <w:rFonts w:cs="Times New Roman"/>
          <w:szCs w:val="24"/>
        </w:rPr>
        <w:t>s ranged from .13 to .21</w:t>
      </w:r>
      <w:r w:rsidR="006063BA" w:rsidRPr="0052682F">
        <w:rPr>
          <w:rFonts w:cs="Times New Roman"/>
          <w:szCs w:val="24"/>
        </w:rPr>
        <w:t xml:space="preserve"> for error processing</w:t>
      </w:r>
      <w:r w:rsidR="001073FB" w:rsidRPr="0052682F">
        <w:rPr>
          <w:rFonts w:cs="Times New Roman"/>
          <w:szCs w:val="24"/>
        </w:rPr>
        <w:t>).</w:t>
      </w:r>
      <w:r w:rsidR="00CD3774" w:rsidRPr="0052682F">
        <w:rPr>
          <w:rFonts w:cs="Times New Roman"/>
          <w:szCs w:val="24"/>
        </w:rPr>
        <w:t xml:space="preserve"> </w:t>
      </w:r>
      <w:r w:rsidRPr="0052682F">
        <w:rPr>
          <w:rFonts w:cs="Times New Roman"/>
          <w:szCs w:val="24"/>
        </w:rPr>
        <w:t xml:space="preserve"> </w:t>
      </w:r>
    </w:p>
    <w:p w14:paraId="2F02FEE8" w14:textId="77777777" w:rsidR="00A81969" w:rsidRPr="0052682F" w:rsidRDefault="00A81969" w:rsidP="00A81969">
      <w:pPr>
        <w:rPr>
          <w:rFonts w:cs="Times New Roman"/>
          <w:b/>
          <w:bCs/>
          <w:szCs w:val="24"/>
        </w:rPr>
      </w:pPr>
      <w:r w:rsidRPr="0052682F">
        <w:rPr>
          <w:rFonts w:cs="Times New Roman"/>
          <w:b/>
          <w:bCs/>
          <w:szCs w:val="24"/>
        </w:rPr>
        <w:lastRenderedPageBreak/>
        <w:t>Sex by group interaction in regional brain activation</w:t>
      </w:r>
    </w:p>
    <w:p w14:paraId="20F9E698" w14:textId="06ACA51D" w:rsidR="00A81969" w:rsidRPr="004B3719" w:rsidRDefault="00D72680" w:rsidP="00A81969">
      <w:pPr>
        <w:rPr>
          <w:color w:val="000000"/>
        </w:rPr>
      </w:pPr>
      <w:r w:rsidRPr="0052682F">
        <w:rPr>
          <w:color w:val="000000"/>
        </w:rPr>
        <w:t>The large sample in the ABCD study provided a unique opportunity to explore potential sex differences in the shared and nonshared neural correlates in youths affected by ADHD or irritability alone, and their co-occurrence. Research shows that boys with ADHD tend to be more hyperactive and have more difficulties in motor response inhibition and cognitive flexibility compared to girls with ADHD (for a meta-analysis, see 30); yet sex differences in irritability, with or without ADHD, and their neural correlates remain largely unknown due to limited and underpowered studies. </w:t>
      </w:r>
      <w:r w:rsidR="0073026D" w:rsidRPr="0052682F">
        <w:rPr>
          <w:color w:val="000000"/>
        </w:rPr>
        <w:t>Here, w</w:t>
      </w:r>
      <w:r w:rsidR="00A81969" w:rsidRPr="0052682F">
        <w:rPr>
          <w:rFonts w:cs="Times New Roman"/>
          <w:szCs w:val="24"/>
        </w:rPr>
        <w:t xml:space="preserve">e </w:t>
      </w:r>
      <w:r w:rsidR="0073026D" w:rsidRPr="0052682F">
        <w:rPr>
          <w:rFonts w:cs="Times New Roman"/>
          <w:szCs w:val="24"/>
        </w:rPr>
        <w:t>tested</w:t>
      </w:r>
      <w:r w:rsidR="00A81969" w:rsidRPr="0052682F">
        <w:rPr>
          <w:rFonts w:cs="Times New Roman"/>
          <w:szCs w:val="24"/>
        </w:rPr>
        <w:t xml:space="preserve"> if sex moderates the differences in each of the constituent brain regions of the response inhibition and error processing coactivation networks across the four latent classes. Because of the Mplus limitation that latent group comparisons are not available for multiple hierarchical structure yet, the sex by group interaction analysis was conducted on a regional level, which would nonetheless allow for some inspection of potential sex differences in the neural correlates across the latent phenotypes of ADHD and irritability. Following similar procedures as detailed in the main text, average beta weights of each of the selected brain regions (</w:t>
      </w:r>
      <w:r w:rsidR="00E95940" w:rsidRPr="0052682F">
        <w:rPr>
          <w:rFonts w:cs="Times New Roman"/>
          <w:szCs w:val="24"/>
        </w:rPr>
        <w:t>6</w:t>
      </w:r>
      <w:r w:rsidR="00A81969" w:rsidRPr="0052682F">
        <w:rPr>
          <w:rFonts w:cs="Times New Roman"/>
          <w:szCs w:val="24"/>
        </w:rPr>
        <w:t xml:space="preserve">) were fitted to a series of linear mixed models, with the sex by group interaction term introduced to the models. The models were adjusted for all the socio-demographic variables and scan site. </w:t>
      </w:r>
    </w:p>
    <w:p w14:paraId="6F730DAB" w14:textId="2BC3D877" w:rsidR="007423E6" w:rsidRPr="0052682F" w:rsidRDefault="00A81969" w:rsidP="00976BBB">
      <w:pPr>
        <w:ind w:firstLine="720"/>
        <w:rPr>
          <w:rFonts w:cs="Times New Roman"/>
          <w:szCs w:val="24"/>
        </w:rPr>
      </w:pPr>
      <w:r w:rsidRPr="0052682F">
        <w:rPr>
          <w:rFonts w:cs="Times New Roman"/>
          <w:szCs w:val="24"/>
        </w:rPr>
        <w:t xml:space="preserve">Table S9 summarized results of the sex by group interaction analysis. Results suggested that none of the constituent brain regions showed significant sex by group differences in activation level across latent classes for both response inhibition and error processing, </w:t>
      </w:r>
      <w:r w:rsidRPr="0052682F">
        <w:rPr>
          <w:rFonts w:cs="Times New Roman"/>
          <w:i/>
          <w:iCs/>
          <w:szCs w:val="24"/>
        </w:rPr>
        <w:t>F</w:t>
      </w:r>
      <w:r w:rsidRPr="0052682F">
        <w:rPr>
          <w:rFonts w:cs="Times New Roman"/>
          <w:szCs w:val="24"/>
        </w:rPr>
        <w:t xml:space="preserve">s ranged from .20 to 2.77, </w:t>
      </w:r>
      <w:r w:rsidRPr="0052682F">
        <w:rPr>
          <w:rFonts w:cs="Times New Roman"/>
          <w:i/>
          <w:iCs/>
          <w:szCs w:val="24"/>
        </w:rPr>
        <w:t>p</w:t>
      </w:r>
      <w:r w:rsidRPr="0052682F">
        <w:rPr>
          <w:rFonts w:cs="Times New Roman"/>
          <w:szCs w:val="24"/>
        </w:rPr>
        <w:t>s ranged from .40 to .90.</w:t>
      </w:r>
    </w:p>
    <w:p w14:paraId="13541371" w14:textId="6B73068F" w:rsidR="00831F80" w:rsidRPr="0052682F" w:rsidRDefault="00831F80" w:rsidP="00A81969">
      <w:pPr>
        <w:rPr>
          <w:rFonts w:cs="Times New Roman"/>
          <w:b/>
          <w:bCs/>
          <w:szCs w:val="24"/>
        </w:rPr>
      </w:pPr>
      <w:r w:rsidRPr="0052682F">
        <w:rPr>
          <w:rFonts w:cs="Times New Roman"/>
          <w:b/>
          <w:bCs/>
          <w:szCs w:val="24"/>
        </w:rPr>
        <w:t>Group comparison with family clustering</w:t>
      </w:r>
    </w:p>
    <w:p w14:paraId="14A1C238" w14:textId="67A9DA20" w:rsidR="000652E5" w:rsidRPr="0052682F" w:rsidRDefault="00E7325A" w:rsidP="00A81969">
      <w:pPr>
        <w:rPr>
          <w:rFonts w:cs="Times New Roman"/>
          <w:szCs w:val="24"/>
        </w:rPr>
      </w:pPr>
      <w:r w:rsidRPr="0052682F">
        <w:rPr>
          <w:rFonts w:cs="Times New Roman"/>
          <w:szCs w:val="24"/>
        </w:rPr>
        <w:t>W</w:t>
      </w:r>
      <w:r w:rsidR="009041B8" w:rsidRPr="0052682F">
        <w:rPr>
          <w:rFonts w:cs="Times New Roman"/>
          <w:szCs w:val="24"/>
        </w:rPr>
        <w:t xml:space="preserve">e </w:t>
      </w:r>
      <w:r w:rsidRPr="0052682F">
        <w:rPr>
          <w:rFonts w:cs="Times New Roman"/>
          <w:szCs w:val="24"/>
        </w:rPr>
        <w:t>conducted</w:t>
      </w:r>
      <w:r w:rsidR="009041B8" w:rsidRPr="0052682F">
        <w:rPr>
          <w:rFonts w:cs="Times New Roman"/>
          <w:szCs w:val="24"/>
        </w:rPr>
        <w:t xml:space="preserve"> post-hoc group comparisons of the latent neural coactivation network for response inhibition and error processing with family clustering. </w:t>
      </w:r>
      <w:r w:rsidRPr="0052682F">
        <w:rPr>
          <w:rFonts w:cs="Times New Roman"/>
          <w:szCs w:val="24"/>
        </w:rPr>
        <w:t>Specifically</w:t>
      </w:r>
      <w:r w:rsidR="009041B8" w:rsidRPr="0052682F">
        <w:rPr>
          <w:rFonts w:cs="Times New Roman"/>
          <w:szCs w:val="24"/>
        </w:rPr>
        <w:t xml:space="preserve">, the same </w:t>
      </w:r>
      <w:r w:rsidR="002B5926" w:rsidRPr="0052682F">
        <w:rPr>
          <w:rFonts w:cs="Times New Roman"/>
          <w:szCs w:val="24"/>
        </w:rPr>
        <w:t>modeling</w:t>
      </w:r>
      <w:r w:rsidR="009041B8" w:rsidRPr="0052682F">
        <w:rPr>
          <w:rFonts w:cs="Times New Roman"/>
          <w:szCs w:val="24"/>
        </w:rPr>
        <w:t xml:space="preserve"> procedures were used </w:t>
      </w:r>
      <w:r w:rsidR="00D84309" w:rsidRPr="0052682F">
        <w:rPr>
          <w:rFonts w:cs="Times New Roman"/>
          <w:szCs w:val="24"/>
        </w:rPr>
        <w:t>as described in the main text</w:t>
      </w:r>
      <w:r w:rsidR="009041B8" w:rsidRPr="0052682F">
        <w:rPr>
          <w:rFonts w:cs="Times New Roman"/>
          <w:szCs w:val="24"/>
        </w:rPr>
        <w:t xml:space="preserve"> (see </w:t>
      </w:r>
      <w:r w:rsidR="009041B8" w:rsidRPr="0052682F">
        <w:rPr>
          <w:rFonts w:cs="Times New Roman"/>
          <w:b/>
          <w:bCs/>
          <w:szCs w:val="24"/>
        </w:rPr>
        <w:t>Methods</w:t>
      </w:r>
      <w:r w:rsidR="009041B8" w:rsidRPr="0052682F">
        <w:rPr>
          <w:rFonts w:cs="Times New Roman"/>
          <w:szCs w:val="24"/>
        </w:rPr>
        <w:t>), except that the nesting structure of families was taken into account by using family ID as a clustering variable in Mplus</w:t>
      </w:r>
      <w:r w:rsidR="000652E5" w:rsidRPr="0052682F">
        <w:rPr>
          <w:rFonts w:cs="Times New Roman"/>
          <w:szCs w:val="24"/>
        </w:rPr>
        <w:t>, instead of scan site as presented in the main text</w:t>
      </w:r>
      <w:r w:rsidR="009041B8" w:rsidRPr="0052682F">
        <w:rPr>
          <w:rFonts w:cs="Times New Roman"/>
          <w:szCs w:val="24"/>
        </w:rPr>
        <w:t>.</w:t>
      </w:r>
      <w:r w:rsidR="000652E5" w:rsidRPr="0052682F">
        <w:rPr>
          <w:rFonts w:cs="Times New Roman"/>
          <w:szCs w:val="24"/>
        </w:rPr>
        <w:t xml:space="preserve"> We first presented results using the a priori brain regions specified in Korucuoglu and colleagues (6), and then whole-brain results using all available </w:t>
      </w:r>
      <w:r w:rsidR="00FB7E4D" w:rsidRPr="0052682F">
        <w:rPr>
          <w:rFonts w:cs="Times New Roman"/>
          <w:szCs w:val="24"/>
        </w:rPr>
        <w:t>brain regions in the SST dataset</w:t>
      </w:r>
      <w:r w:rsidR="000652E5" w:rsidRPr="0052682F">
        <w:rPr>
          <w:rFonts w:cs="Times New Roman"/>
          <w:szCs w:val="24"/>
        </w:rPr>
        <w:t>.</w:t>
      </w:r>
      <w:r w:rsidR="00FB7E4D" w:rsidRPr="0052682F">
        <w:rPr>
          <w:rFonts w:cs="Times New Roman"/>
          <w:szCs w:val="24"/>
        </w:rPr>
        <w:t xml:space="preserve"> </w:t>
      </w:r>
      <w:r w:rsidR="00DC00DB" w:rsidRPr="0052682F">
        <w:rPr>
          <w:rFonts w:cs="Times New Roman"/>
          <w:szCs w:val="24"/>
        </w:rPr>
        <w:t>Statistical significance of the m</w:t>
      </w:r>
      <w:r w:rsidR="00FB7E4D" w:rsidRPr="0052682F">
        <w:rPr>
          <w:rFonts w:cs="Times New Roman"/>
          <w:szCs w:val="24"/>
        </w:rPr>
        <w:t xml:space="preserve">ultiple group comparisons </w:t>
      </w:r>
      <w:r w:rsidR="00DC00DB" w:rsidRPr="0052682F">
        <w:rPr>
          <w:rFonts w:cs="Times New Roman"/>
          <w:szCs w:val="24"/>
        </w:rPr>
        <w:t>was</w:t>
      </w:r>
      <w:r w:rsidR="00FB7E4D" w:rsidRPr="0052682F">
        <w:rPr>
          <w:rFonts w:cs="Times New Roman"/>
          <w:szCs w:val="24"/>
        </w:rPr>
        <w:t xml:space="preserve"> corrected </w:t>
      </w:r>
      <w:r w:rsidR="00DC00DB" w:rsidRPr="0052682F">
        <w:rPr>
          <w:rFonts w:cs="Times New Roman"/>
          <w:szCs w:val="24"/>
        </w:rPr>
        <w:t>using</w:t>
      </w:r>
      <w:r w:rsidR="00FB7E4D" w:rsidRPr="0052682F">
        <w:rPr>
          <w:rFonts w:cs="Times New Roman"/>
          <w:szCs w:val="24"/>
        </w:rPr>
        <w:t xml:space="preserve"> false discovery rate. </w:t>
      </w:r>
      <w:r w:rsidR="000652E5" w:rsidRPr="0052682F">
        <w:rPr>
          <w:rFonts w:cs="Times New Roman"/>
          <w:szCs w:val="24"/>
        </w:rPr>
        <w:t xml:space="preserve"> </w:t>
      </w:r>
    </w:p>
    <w:p w14:paraId="36CF9F86" w14:textId="2C9CFFC1" w:rsidR="00831F80" w:rsidRPr="0052682F" w:rsidRDefault="000652E5" w:rsidP="00976BBB">
      <w:pPr>
        <w:ind w:firstLine="720"/>
        <w:rPr>
          <w:rFonts w:cs="Times New Roman"/>
          <w:szCs w:val="24"/>
        </w:rPr>
      </w:pPr>
      <w:r w:rsidRPr="0052682F">
        <w:rPr>
          <w:rFonts w:cs="Times New Roman"/>
          <w:szCs w:val="24"/>
        </w:rPr>
        <w:t>For the set of a priori selected brains, confirmatory factor analysis revealed excellent model fit</w:t>
      </w:r>
      <w:r w:rsidR="001D5D82" w:rsidRPr="0052682F">
        <w:rPr>
          <w:rFonts w:cs="Times New Roman"/>
          <w:szCs w:val="24"/>
        </w:rPr>
        <w:t xml:space="preserve">, </w:t>
      </w:r>
      <w:r w:rsidR="001D5D82" w:rsidRPr="0052682F">
        <w:rPr>
          <w:rFonts w:eastAsia="Times New Roman" w:cs="Times New Roman"/>
          <w:color w:val="000000"/>
          <w:szCs w:val="24"/>
        </w:rPr>
        <w:t>χ</w:t>
      </w:r>
      <w:r w:rsidR="001D5D82" w:rsidRPr="0052682F">
        <w:rPr>
          <w:rFonts w:eastAsia="Times New Roman" w:cs="Times New Roman"/>
          <w:color w:val="000000"/>
          <w:szCs w:val="24"/>
          <w:vertAlign w:val="superscript"/>
        </w:rPr>
        <w:t>2</w:t>
      </w:r>
      <w:r w:rsidR="001D5D82" w:rsidRPr="0052682F">
        <w:rPr>
          <w:rFonts w:eastAsia="Times New Roman" w:cs="Times New Roman"/>
          <w:color w:val="000000"/>
          <w:szCs w:val="24"/>
        </w:rPr>
        <w:t xml:space="preserve">(23) = 66.81, </w:t>
      </w:r>
      <w:r w:rsidR="001D5D82" w:rsidRPr="0052682F">
        <w:rPr>
          <w:rFonts w:eastAsia="Times New Roman" w:cs="Times New Roman"/>
          <w:i/>
          <w:iCs/>
          <w:color w:val="000000"/>
          <w:szCs w:val="24"/>
        </w:rPr>
        <w:t>p</w:t>
      </w:r>
      <w:r w:rsidR="001D5D82" w:rsidRPr="0052682F">
        <w:rPr>
          <w:rFonts w:eastAsia="Times New Roman" w:cs="Times New Roman"/>
          <w:color w:val="000000"/>
          <w:szCs w:val="24"/>
        </w:rPr>
        <w:t xml:space="preserve"> &lt; .001, </w:t>
      </w:r>
      <w:r w:rsidR="001D5D82" w:rsidRPr="0052682F">
        <w:rPr>
          <w:rFonts w:cs="Times New Roman"/>
          <w:szCs w:val="24"/>
        </w:rPr>
        <w:t>CFI = .99, TFI = .99, RMSEA = .02 [.01, .02], SRMR = .01, with measurement invariance achieved, ΔCFI&gt; .01 and ΔRMSEA&gt;.015 (8) for response inhibition</w:t>
      </w:r>
      <w:r w:rsidR="00A36141" w:rsidRPr="0052682F">
        <w:rPr>
          <w:rFonts w:cs="Times New Roman"/>
          <w:szCs w:val="24"/>
        </w:rPr>
        <w:t xml:space="preserve"> (Table S10)</w:t>
      </w:r>
      <w:r w:rsidR="00F42388" w:rsidRPr="0052682F">
        <w:rPr>
          <w:rFonts w:cs="Times New Roman"/>
          <w:szCs w:val="24"/>
        </w:rPr>
        <w:t>.E</w:t>
      </w:r>
      <w:r w:rsidR="001D5D82" w:rsidRPr="0052682F">
        <w:rPr>
          <w:rFonts w:cs="Times New Roman"/>
          <w:szCs w:val="24"/>
        </w:rPr>
        <w:t xml:space="preserve">xcellent model fit, </w:t>
      </w:r>
      <w:r w:rsidR="001D5D82" w:rsidRPr="0052682F">
        <w:rPr>
          <w:rFonts w:eastAsia="Times New Roman" w:cs="Times New Roman"/>
          <w:color w:val="000000"/>
          <w:szCs w:val="24"/>
        </w:rPr>
        <w:t>χ</w:t>
      </w:r>
      <w:r w:rsidR="001D5D82" w:rsidRPr="0052682F">
        <w:rPr>
          <w:rFonts w:eastAsia="Times New Roman" w:cs="Times New Roman"/>
          <w:color w:val="000000"/>
          <w:szCs w:val="24"/>
          <w:vertAlign w:val="superscript"/>
        </w:rPr>
        <w:t>2</w:t>
      </w:r>
      <w:r w:rsidR="001D5D82" w:rsidRPr="0052682F">
        <w:rPr>
          <w:rFonts w:eastAsia="Times New Roman" w:cs="Times New Roman"/>
          <w:color w:val="000000"/>
          <w:szCs w:val="24"/>
        </w:rPr>
        <w:t xml:space="preserve">(36) = 55.80, </w:t>
      </w:r>
      <w:r w:rsidR="001D5D82" w:rsidRPr="0052682F">
        <w:rPr>
          <w:rFonts w:eastAsia="Times New Roman" w:cs="Times New Roman"/>
          <w:i/>
          <w:iCs/>
          <w:color w:val="000000"/>
          <w:szCs w:val="24"/>
        </w:rPr>
        <w:t>p</w:t>
      </w:r>
      <w:r w:rsidR="001D5D82" w:rsidRPr="0052682F">
        <w:rPr>
          <w:rFonts w:eastAsia="Times New Roman" w:cs="Times New Roman"/>
          <w:color w:val="000000"/>
          <w:szCs w:val="24"/>
        </w:rPr>
        <w:t xml:space="preserve"> =</w:t>
      </w:r>
      <w:r w:rsidR="00DC00DB" w:rsidRPr="0052682F">
        <w:rPr>
          <w:rFonts w:eastAsia="Times New Roman" w:cs="Times New Roman"/>
          <w:color w:val="000000"/>
          <w:szCs w:val="24"/>
        </w:rPr>
        <w:t xml:space="preserve"> </w:t>
      </w:r>
      <w:r w:rsidR="001D5D82" w:rsidRPr="0052682F">
        <w:rPr>
          <w:rFonts w:eastAsia="Times New Roman" w:cs="Times New Roman"/>
          <w:color w:val="000000"/>
          <w:szCs w:val="24"/>
        </w:rPr>
        <w:t xml:space="preserve">.02, </w:t>
      </w:r>
      <w:r w:rsidR="001D5D82" w:rsidRPr="0052682F">
        <w:rPr>
          <w:rFonts w:cs="Times New Roman"/>
          <w:szCs w:val="24"/>
        </w:rPr>
        <w:t xml:space="preserve">CFI = 1.00, TFI = .99, RMSEA = .01 [.004, .02], SRMR = .01, </w:t>
      </w:r>
      <w:r w:rsidR="00A36141" w:rsidRPr="0052682F">
        <w:rPr>
          <w:rFonts w:cs="Times New Roman"/>
          <w:szCs w:val="24"/>
        </w:rPr>
        <w:t>and measurement invariance</w:t>
      </w:r>
      <w:r w:rsidR="001D5D82" w:rsidRPr="0052682F">
        <w:rPr>
          <w:rFonts w:cs="Times New Roman"/>
          <w:szCs w:val="24"/>
        </w:rPr>
        <w:t>, ΔCFI&gt; .01 and ΔRMSEA&gt;.015 (8)</w:t>
      </w:r>
      <w:r w:rsidR="00A36141" w:rsidRPr="0052682F">
        <w:rPr>
          <w:rFonts w:cs="Times New Roman"/>
          <w:szCs w:val="24"/>
        </w:rPr>
        <w:t xml:space="preserve">, were also observed for error processing (Table S11). </w:t>
      </w:r>
      <w:r w:rsidR="00F42388" w:rsidRPr="0052682F">
        <w:rPr>
          <w:rFonts w:cs="Times New Roman"/>
          <w:szCs w:val="24"/>
        </w:rPr>
        <w:t xml:space="preserve">Similar to </w:t>
      </w:r>
      <w:r w:rsidR="00FB7E4D" w:rsidRPr="0052682F">
        <w:rPr>
          <w:rFonts w:cs="Times New Roman"/>
          <w:szCs w:val="24"/>
        </w:rPr>
        <w:t>the main results with scan site clustering, subsequent c</w:t>
      </w:r>
      <w:r w:rsidR="00A36141" w:rsidRPr="0052682F">
        <w:rPr>
          <w:rFonts w:cs="Times New Roman"/>
          <w:szCs w:val="24"/>
        </w:rPr>
        <w:t>omparison of the latent brain coactivation patterns with the a priori regions revealed significant group differences for response inhibition. These group differences were marked by a significant decreased in neural coactivation in youths with irritability symptoms only relative to typically developing peers</w:t>
      </w:r>
      <w:r w:rsidR="00FB7E4D" w:rsidRPr="0052682F">
        <w:rPr>
          <w:rFonts w:cs="Times New Roman"/>
          <w:szCs w:val="24"/>
        </w:rPr>
        <w:t xml:space="preserve"> (Estimate = </w:t>
      </w:r>
      <w:r w:rsidR="00BA2A2E" w:rsidRPr="0052682F">
        <w:rPr>
          <w:rFonts w:cs="Times New Roman"/>
          <w:szCs w:val="24"/>
        </w:rPr>
        <w:t>-</w:t>
      </w:r>
      <w:r w:rsidR="00FB7E4D" w:rsidRPr="0052682F">
        <w:rPr>
          <w:rFonts w:cs="Times New Roman"/>
          <w:szCs w:val="24"/>
        </w:rPr>
        <w:t xml:space="preserve">.56, SE = .17, </w:t>
      </w:r>
      <w:r w:rsidR="00FB7E4D" w:rsidRPr="0052682F">
        <w:rPr>
          <w:rFonts w:cs="Times New Roman"/>
          <w:i/>
          <w:iCs/>
          <w:szCs w:val="24"/>
        </w:rPr>
        <w:t>p</w:t>
      </w:r>
      <w:r w:rsidR="00FB7E4D" w:rsidRPr="0052682F">
        <w:rPr>
          <w:rFonts w:cs="Times New Roman"/>
          <w:szCs w:val="24"/>
        </w:rPr>
        <w:t xml:space="preserve"> = .01)</w:t>
      </w:r>
      <w:r w:rsidR="00A36141" w:rsidRPr="0052682F">
        <w:rPr>
          <w:rFonts w:cs="Times New Roman"/>
          <w:szCs w:val="24"/>
        </w:rPr>
        <w:t xml:space="preserve">, </w:t>
      </w:r>
      <w:r w:rsidR="00FB7E4D" w:rsidRPr="0052682F">
        <w:rPr>
          <w:rFonts w:cs="Times New Roman"/>
          <w:szCs w:val="24"/>
        </w:rPr>
        <w:t xml:space="preserve">and youths with </w:t>
      </w:r>
      <w:r w:rsidR="003C0A9D" w:rsidRPr="0052682F">
        <w:rPr>
          <w:rFonts w:cs="Times New Roman"/>
          <w:szCs w:val="24"/>
        </w:rPr>
        <w:t xml:space="preserve">high </w:t>
      </w:r>
      <w:r w:rsidR="00FB7E4D" w:rsidRPr="0052682F">
        <w:rPr>
          <w:rFonts w:cs="Times New Roman"/>
          <w:szCs w:val="24"/>
        </w:rPr>
        <w:t xml:space="preserve">ADHD symptoms and co-occurring irritability (Estimate = </w:t>
      </w:r>
      <w:r w:rsidR="00BA2A2E" w:rsidRPr="0052682F">
        <w:rPr>
          <w:rFonts w:cs="Times New Roman"/>
          <w:szCs w:val="24"/>
        </w:rPr>
        <w:t>-</w:t>
      </w:r>
      <w:r w:rsidR="00FB7E4D" w:rsidRPr="0052682F">
        <w:rPr>
          <w:rFonts w:cs="Times New Roman"/>
          <w:szCs w:val="24"/>
        </w:rPr>
        <w:t xml:space="preserve">.73, SE = .23, </w:t>
      </w:r>
      <w:r w:rsidR="00FB7E4D" w:rsidRPr="0052682F">
        <w:rPr>
          <w:rFonts w:cs="Times New Roman"/>
          <w:i/>
          <w:iCs/>
          <w:szCs w:val="24"/>
        </w:rPr>
        <w:t>p</w:t>
      </w:r>
      <w:r w:rsidR="00FB7E4D" w:rsidRPr="0052682F">
        <w:rPr>
          <w:rFonts w:cs="Times New Roman"/>
          <w:szCs w:val="24"/>
        </w:rPr>
        <w:t xml:space="preserve"> = .01). No significant group differences were observed for error processing, Estimates ranged from -</w:t>
      </w:r>
      <w:r w:rsidR="00BA2A2E" w:rsidRPr="0052682F">
        <w:rPr>
          <w:rFonts w:cs="Times New Roman"/>
          <w:szCs w:val="24"/>
        </w:rPr>
        <w:t>.21</w:t>
      </w:r>
      <w:r w:rsidR="00FB7E4D" w:rsidRPr="0052682F">
        <w:rPr>
          <w:rFonts w:cs="Times New Roman"/>
          <w:szCs w:val="24"/>
        </w:rPr>
        <w:t xml:space="preserve"> to .</w:t>
      </w:r>
      <w:r w:rsidR="00BA2A2E" w:rsidRPr="0052682F">
        <w:rPr>
          <w:rFonts w:cs="Times New Roman"/>
          <w:szCs w:val="24"/>
        </w:rPr>
        <w:t>33</w:t>
      </w:r>
      <w:r w:rsidR="00FB7E4D" w:rsidRPr="0052682F">
        <w:rPr>
          <w:rFonts w:cs="Times New Roman"/>
          <w:szCs w:val="24"/>
        </w:rPr>
        <w:t xml:space="preserve">, </w:t>
      </w:r>
      <w:r w:rsidR="00FB7E4D" w:rsidRPr="0052682F">
        <w:rPr>
          <w:rFonts w:cs="Times New Roman"/>
          <w:i/>
          <w:iCs/>
          <w:szCs w:val="24"/>
        </w:rPr>
        <w:t>p</w:t>
      </w:r>
      <w:r w:rsidR="00FB7E4D" w:rsidRPr="0052682F">
        <w:rPr>
          <w:rFonts w:cs="Times New Roman"/>
          <w:szCs w:val="24"/>
        </w:rPr>
        <w:t>s ranged from .49 to .90.</w:t>
      </w:r>
      <w:r w:rsidR="003078CF" w:rsidRPr="0052682F">
        <w:rPr>
          <w:rFonts w:cs="Times New Roman"/>
          <w:szCs w:val="24"/>
        </w:rPr>
        <w:t xml:space="preserve"> Table S1</w:t>
      </w:r>
      <w:r w:rsidR="00D84309" w:rsidRPr="0052682F">
        <w:rPr>
          <w:rFonts w:cs="Times New Roman"/>
          <w:szCs w:val="24"/>
        </w:rPr>
        <w:t>2</w:t>
      </w:r>
      <w:r w:rsidR="003078CF" w:rsidRPr="0052682F">
        <w:rPr>
          <w:rFonts w:cs="Times New Roman"/>
          <w:szCs w:val="24"/>
        </w:rPr>
        <w:t xml:space="preserve"> summarizes the estimates and effect sizes for these latent group comparisons.</w:t>
      </w:r>
      <w:r w:rsidR="00BD64DD" w:rsidRPr="0052682F">
        <w:rPr>
          <w:rFonts w:cs="Times New Roman"/>
          <w:szCs w:val="24"/>
        </w:rPr>
        <w:t xml:space="preserve"> Further investigation </w:t>
      </w:r>
      <w:r w:rsidR="00F93AA8" w:rsidRPr="0052682F">
        <w:rPr>
          <w:rFonts w:cs="Times New Roman"/>
          <w:szCs w:val="24"/>
        </w:rPr>
        <w:t xml:space="preserve">of regional activation revealed that there was a significant group difference in the left pars orbitalis during error processing using linear mixed model with the random intercept for family </w:t>
      </w:r>
      <w:r w:rsidR="00F93AA8" w:rsidRPr="0052682F">
        <w:rPr>
          <w:rFonts w:cs="Times New Roman"/>
          <w:szCs w:val="24"/>
        </w:rPr>
        <w:lastRenderedPageBreak/>
        <w:t xml:space="preserve">nesting, </w:t>
      </w:r>
      <w:r w:rsidR="00F93AA8" w:rsidRPr="0052682F">
        <w:rPr>
          <w:rFonts w:cs="Times New Roman"/>
          <w:i/>
          <w:iCs/>
          <w:szCs w:val="24"/>
        </w:rPr>
        <w:t>F</w:t>
      </w:r>
      <w:r w:rsidR="00F93AA8" w:rsidRPr="0052682F">
        <w:rPr>
          <w:rFonts w:cs="Times New Roman"/>
          <w:szCs w:val="24"/>
        </w:rPr>
        <w:t xml:space="preserve">(3, 5260) = 4.80, </w:t>
      </w:r>
      <w:r w:rsidR="00F93AA8" w:rsidRPr="0052682F">
        <w:rPr>
          <w:rFonts w:cs="Times New Roman"/>
          <w:i/>
          <w:iCs/>
          <w:szCs w:val="24"/>
        </w:rPr>
        <w:t>p</w:t>
      </w:r>
      <w:r w:rsidR="00F93AA8" w:rsidRPr="0052682F">
        <w:rPr>
          <w:rFonts w:cs="Times New Roman"/>
          <w:szCs w:val="24"/>
        </w:rPr>
        <w:t xml:space="preserve"> = .02 (Table S13). </w:t>
      </w:r>
      <w:r w:rsidR="006467FE" w:rsidRPr="0052682F">
        <w:rPr>
          <w:rFonts w:cs="Times New Roman"/>
          <w:szCs w:val="24"/>
        </w:rPr>
        <w:t xml:space="preserve">Specifically, </w:t>
      </w:r>
      <w:r w:rsidR="00F93AA8" w:rsidRPr="0052682F">
        <w:rPr>
          <w:rFonts w:cs="Times New Roman"/>
          <w:szCs w:val="24"/>
        </w:rPr>
        <w:t xml:space="preserve">there was </w:t>
      </w:r>
      <w:r w:rsidR="006467FE" w:rsidRPr="0052682F">
        <w:rPr>
          <w:rFonts w:cs="Times New Roman"/>
          <w:szCs w:val="24"/>
        </w:rPr>
        <w:t xml:space="preserve">a </w:t>
      </w:r>
      <w:r w:rsidR="00F93AA8" w:rsidRPr="0052682F">
        <w:rPr>
          <w:rFonts w:cs="Times New Roman"/>
          <w:szCs w:val="24"/>
        </w:rPr>
        <w:t xml:space="preserve">significant increased activation </w:t>
      </w:r>
      <w:r w:rsidR="003C0A9D" w:rsidRPr="0052682F">
        <w:rPr>
          <w:rFonts w:cs="Times New Roman"/>
          <w:szCs w:val="24"/>
        </w:rPr>
        <w:t>in the left pars orbitalis in youths with high ADHD symptoms and co-occurring irritability, relative to all other groups (Figure S2). No significant group differences were found for response inhibition (</w:t>
      </w:r>
      <w:r w:rsidR="003C0A9D" w:rsidRPr="0052682F">
        <w:rPr>
          <w:rFonts w:cs="Times New Roman"/>
          <w:i/>
          <w:iCs/>
          <w:szCs w:val="24"/>
        </w:rPr>
        <w:t>F</w:t>
      </w:r>
      <w:r w:rsidR="003C0A9D" w:rsidRPr="0052682F">
        <w:rPr>
          <w:rFonts w:cs="Times New Roman"/>
          <w:szCs w:val="24"/>
        </w:rPr>
        <w:t xml:space="preserve">s ranged from 1.14 to 2.31, </w:t>
      </w:r>
      <w:r w:rsidR="003C0A9D" w:rsidRPr="0052682F">
        <w:rPr>
          <w:rFonts w:cs="Times New Roman"/>
          <w:i/>
          <w:iCs/>
          <w:szCs w:val="24"/>
        </w:rPr>
        <w:t>p</w:t>
      </w:r>
      <w:r w:rsidR="003C0A9D" w:rsidRPr="0052682F">
        <w:rPr>
          <w:rFonts w:cs="Times New Roman"/>
          <w:szCs w:val="24"/>
        </w:rPr>
        <w:t>s ranged from .18 to .41), and the remaining indicating regions for error processing (</w:t>
      </w:r>
      <w:r w:rsidR="003C0A9D" w:rsidRPr="0052682F">
        <w:rPr>
          <w:rFonts w:cs="Times New Roman"/>
          <w:i/>
          <w:iCs/>
          <w:szCs w:val="24"/>
        </w:rPr>
        <w:t>F</w:t>
      </w:r>
      <w:r w:rsidR="003C0A9D" w:rsidRPr="0052682F">
        <w:rPr>
          <w:rFonts w:cs="Times New Roman"/>
          <w:szCs w:val="24"/>
        </w:rPr>
        <w:t xml:space="preserve">s ranged from .36 to 3.21, </w:t>
      </w:r>
      <w:r w:rsidR="003C0A9D" w:rsidRPr="0052682F">
        <w:rPr>
          <w:rFonts w:cs="Times New Roman"/>
          <w:i/>
          <w:iCs/>
          <w:szCs w:val="24"/>
        </w:rPr>
        <w:t>p</w:t>
      </w:r>
      <w:r w:rsidR="003C0A9D" w:rsidRPr="0052682F">
        <w:rPr>
          <w:rFonts w:cs="Times New Roman"/>
          <w:szCs w:val="24"/>
        </w:rPr>
        <w:t xml:space="preserve">s ranged from .67 to .75). See Table S13 for the regional estimates and effect sizes.   </w:t>
      </w:r>
      <w:r w:rsidR="00F93AA8" w:rsidRPr="0052682F">
        <w:rPr>
          <w:rFonts w:cs="Times New Roman"/>
          <w:szCs w:val="24"/>
        </w:rPr>
        <w:t xml:space="preserve">   </w:t>
      </w:r>
      <w:r w:rsidR="003078CF" w:rsidRPr="0052682F">
        <w:rPr>
          <w:rFonts w:cs="Times New Roman"/>
          <w:szCs w:val="24"/>
        </w:rPr>
        <w:t xml:space="preserve"> </w:t>
      </w:r>
      <w:r w:rsidR="00FB7E4D" w:rsidRPr="0052682F">
        <w:rPr>
          <w:rFonts w:cs="Times New Roman"/>
          <w:szCs w:val="24"/>
        </w:rPr>
        <w:t xml:space="preserve">  </w:t>
      </w:r>
    </w:p>
    <w:p w14:paraId="5DE7A7BC" w14:textId="09701228" w:rsidR="00A81969" w:rsidRPr="0052682F" w:rsidRDefault="00DC00DB" w:rsidP="00976BBB">
      <w:pPr>
        <w:ind w:firstLine="567"/>
      </w:pPr>
      <w:r w:rsidRPr="0052682F">
        <w:rPr>
          <w:rFonts w:cs="Times New Roman"/>
          <w:szCs w:val="24"/>
        </w:rPr>
        <w:t>For the full set of whole-brain regions, both the neural coactivation</w:t>
      </w:r>
      <w:r w:rsidR="003078CF" w:rsidRPr="0052682F">
        <w:rPr>
          <w:rFonts w:cs="Times New Roman"/>
          <w:szCs w:val="24"/>
        </w:rPr>
        <w:t xml:space="preserve"> networks</w:t>
      </w:r>
      <w:r w:rsidRPr="0052682F">
        <w:rPr>
          <w:rFonts w:cs="Times New Roman"/>
          <w:szCs w:val="24"/>
        </w:rPr>
        <w:t xml:space="preserve"> for response inhibition, </w:t>
      </w:r>
      <w:r w:rsidRPr="0052682F">
        <w:rPr>
          <w:rFonts w:eastAsia="Times New Roman" w:cs="Times New Roman"/>
          <w:color w:val="000000"/>
          <w:szCs w:val="24"/>
        </w:rPr>
        <w:t>χ</w:t>
      </w:r>
      <w:r w:rsidRPr="0052682F">
        <w:rPr>
          <w:rFonts w:eastAsia="Times New Roman" w:cs="Times New Roman"/>
          <w:color w:val="000000"/>
          <w:szCs w:val="24"/>
          <w:vertAlign w:val="superscript"/>
        </w:rPr>
        <w:t>2</w:t>
      </w:r>
      <w:r w:rsidRPr="0052682F">
        <w:rPr>
          <w:rFonts w:eastAsia="Times New Roman" w:cs="Times New Roman"/>
          <w:color w:val="000000"/>
          <w:szCs w:val="24"/>
        </w:rPr>
        <w:t xml:space="preserve">(29) = 45.42, </w:t>
      </w:r>
      <w:r w:rsidRPr="0052682F">
        <w:rPr>
          <w:rFonts w:eastAsia="Times New Roman" w:cs="Times New Roman"/>
          <w:i/>
          <w:iCs/>
          <w:color w:val="000000"/>
          <w:szCs w:val="24"/>
        </w:rPr>
        <w:t>p</w:t>
      </w:r>
      <w:r w:rsidRPr="0052682F">
        <w:rPr>
          <w:rFonts w:eastAsia="Times New Roman" w:cs="Times New Roman"/>
          <w:color w:val="000000"/>
          <w:szCs w:val="24"/>
        </w:rPr>
        <w:t xml:space="preserve"> = .03, </w:t>
      </w:r>
      <w:r w:rsidRPr="0052682F">
        <w:rPr>
          <w:rFonts w:cs="Times New Roman"/>
          <w:szCs w:val="24"/>
        </w:rPr>
        <w:t>CFI = 1.00, TFI = 1.00, RMSEA = .01 [.004, .02], SRMR = .01</w:t>
      </w:r>
      <w:r w:rsidR="003078CF" w:rsidRPr="0052682F">
        <w:rPr>
          <w:rFonts w:cs="Times New Roman"/>
          <w:szCs w:val="24"/>
        </w:rPr>
        <w:t xml:space="preserve"> (Table S14)</w:t>
      </w:r>
      <w:r w:rsidRPr="0052682F">
        <w:rPr>
          <w:rFonts w:cs="Times New Roman"/>
          <w:szCs w:val="24"/>
        </w:rPr>
        <w:t xml:space="preserve"> and error processing, </w:t>
      </w:r>
      <w:r w:rsidRPr="0052682F">
        <w:rPr>
          <w:rFonts w:eastAsia="Times New Roman" w:cs="Times New Roman"/>
          <w:color w:val="000000"/>
          <w:szCs w:val="24"/>
        </w:rPr>
        <w:t>χ</w:t>
      </w:r>
      <w:r w:rsidRPr="0052682F">
        <w:rPr>
          <w:rFonts w:eastAsia="Times New Roman" w:cs="Times New Roman"/>
          <w:color w:val="000000"/>
          <w:szCs w:val="24"/>
          <w:vertAlign w:val="superscript"/>
        </w:rPr>
        <w:t>2</w:t>
      </w:r>
      <w:r w:rsidRPr="0052682F">
        <w:rPr>
          <w:rFonts w:eastAsia="Times New Roman" w:cs="Times New Roman"/>
          <w:color w:val="000000"/>
          <w:szCs w:val="24"/>
        </w:rPr>
        <w:t>(2</w:t>
      </w:r>
      <w:r w:rsidR="003078CF" w:rsidRPr="0052682F">
        <w:rPr>
          <w:rFonts w:eastAsia="Times New Roman" w:cs="Times New Roman"/>
          <w:color w:val="000000"/>
          <w:szCs w:val="24"/>
        </w:rPr>
        <w:t>2</w:t>
      </w:r>
      <w:r w:rsidRPr="0052682F">
        <w:rPr>
          <w:rFonts w:eastAsia="Times New Roman" w:cs="Times New Roman"/>
          <w:color w:val="000000"/>
          <w:szCs w:val="24"/>
        </w:rPr>
        <w:t xml:space="preserve">) = </w:t>
      </w:r>
      <w:r w:rsidR="003078CF" w:rsidRPr="0052682F">
        <w:rPr>
          <w:rFonts w:eastAsia="Times New Roman" w:cs="Times New Roman"/>
          <w:color w:val="000000"/>
          <w:szCs w:val="24"/>
        </w:rPr>
        <w:t>116.05</w:t>
      </w:r>
      <w:r w:rsidRPr="0052682F">
        <w:rPr>
          <w:rFonts w:eastAsia="Times New Roman" w:cs="Times New Roman"/>
          <w:color w:val="000000"/>
          <w:szCs w:val="24"/>
        </w:rPr>
        <w:t xml:space="preserve">, </w:t>
      </w:r>
      <w:r w:rsidRPr="0052682F">
        <w:rPr>
          <w:rFonts w:eastAsia="Times New Roman" w:cs="Times New Roman"/>
          <w:i/>
          <w:iCs/>
          <w:color w:val="000000"/>
          <w:szCs w:val="24"/>
        </w:rPr>
        <w:t>p</w:t>
      </w:r>
      <w:r w:rsidRPr="0052682F">
        <w:rPr>
          <w:rFonts w:eastAsia="Times New Roman" w:cs="Times New Roman"/>
          <w:color w:val="000000"/>
          <w:szCs w:val="24"/>
        </w:rPr>
        <w:t xml:space="preserve"> </w:t>
      </w:r>
      <w:r w:rsidR="003078CF" w:rsidRPr="0052682F">
        <w:rPr>
          <w:rFonts w:eastAsia="Times New Roman" w:cs="Times New Roman"/>
          <w:color w:val="000000"/>
          <w:szCs w:val="24"/>
        </w:rPr>
        <w:t>&lt; .001</w:t>
      </w:r>
      <w:r w:rsidRPr="0052682F">
        <w:rPr>
          <w:rFonts w:eastAsia="Times New Roman" w:cs="Times New Roman"/>
          <w:color w:val="000000"/>
          <w:szCs w:val="24"/>
        </w:rPr>
        <w:t xml:space="preserve">, </w:t>
      </w:r>
      <w:r w:rsidRPr="0052682F">
        <w:rPr>
          <w:rFonts w:cs="Times New Roman"/>
          <w:szCs w:val="24"/>
        </w:rPr>
        <w:t xml:space="preserve">CFI = </w:t>
      </w:r>
      <w:r w:rsidR="003078CF" w:rsidRPr="0052682F">
        <w:rPr>
          <w:rFonts w:cs="Times New Roman"/>
          <w:szCs w:val="24"/>
        </w:rPr>
        <w:t>.99</w:t>
      </w:r>
      <w:r w:rsidRPr="0052682F">
        <w:rPr>
          <w:rFonts w:cs="Times New Roman"/>
          <w:szCs w:val="24"/>
        </w:rPr>
        <w:t xml:space="preserve">, TFI = </w:t>
      </w:r>
      <w:r w:rsidR="003078CF" w:rsidRPr="0052682F">
        <w:rPr>
          <w:rFonts w:cs="Times New Roman"/>
          <w:szCs w:val="24"/>
        </w:rPr>
        <w:t>.99</w:t>
      </w:r>
      <w:r w:rsidRPr="0052682F">
        <w:rPr>
          <w:rFonts w:cs="Times New Roman"/>
          <w:szCs w:val="24"/>
        </w:rPr>
        <w:t>, RMSEA = .0</w:t>
      </w:r>
      <w:r w:rsidR="003078CF" w:rsidRPr="0052682F">
        <w:rPr>
          <w:rFonts w:cs="Times New Roman"/>
          <w:szCs w:val="24"/>
        </w:rPr>
        <w:t>3</w:t>
      </w:r>
      <w:r w:rsidRPr="0052682F">
        <w:rPr>
          <w:rFonts w:cs="Times New Roman"/>
          <w:szCs w:val="24"/>
        </w:rPr>
        <w:t xml:space="preserve"> [.0</w:t>
      </w:r>
      <w:r w:rsidR="003078CF" w:rsidRPr="0052682F">
        <w:rPr>
          <w:rFonts w:cs="Times New Roman"/>
          <w:szCs w:val="24"/>
        </w:rPr>
        <w:t>2</w:t>
      </w:r>
      <w:r w:rsidRPr="0052682F">
        <w:rPr>
          <w:rFonts w:cs="Times New Roman"/>
          <w:szCs w:val="24"/>
        </w:rPr>
        <w:t>, .0</w:t>
      </w:r>
      <w:r w:rsidR="003078CF" w:rsidRPr="0052682F">
        <w:rPr>
          <w:rFonts w:cs="Times New Roman"/>
          <w:szCs w:val="24"/>
        </w:rPr>
        <w:t>3</w:t>
      </w:r>
      <w:r w:rsidRPr="0052682F">
        <w:rPr>
          <w:rFonts w:cs="Times New Roman"/>
          <w:szCs w:val="24"/>
        </w:rPr>
        <w:t>], SRMR = .01</w:t>
      </w:r>
      <w:r w:rsidR="003078CF" w:rsidRPr="0052682F">
        <w:rPr>
          <w:rFonts w:cs="Times New Roman"/>
          <w:szCs w:val="24"/>
        </w:rPr>
        <w:t xml:space="preserve"> (Table S15)</w:t>
      </w:r>
      <w:r w:rsidRPr="0052682F">
        <w:rPr>
          <w:rFonts w:cs="Times New Roman"/>
          <w:szCs w:val="24"/>
        </w:rPr>
        <w:t xml:space="preserve"> revealed excellent model fit and achieved measurement invariance, ΔCFI&gt; .01 and ΔRMSEA&gt;.015 (8).</w:t>
      </w:r>
      <w:r w:rsidR="003078CF" w:rsidRPr="0052682F">
        <w:rPr>
          <w:rFonts w:cs="Times New Roman"/>
          <w:szCs w:val="24"/>
        </w:rPr>
        <w:t xml:space="preserve"> Subsequent comparison of the latent brain coactivation patterns, however, revealed no significant group differences for response inhibition (Estimates ranged from -</w:t>
      </w:r>
      <w:r w:rsidR="006A3977" w:rsidRPr="0052682F">
        <w:rPr>
          <w:rFonts w:cs="Times New Roman"/>
          <w:szCs w:val="24"/>
        </w:rPr>
        <w:t xml:space="preserve">.54 to </w:t>
      </w:r>
      <w:r w:rsidR="003078CF" w:rsidRPr="0052682F">
        <w:rPr>
          <w:rFonts w:cs="Times New Roman"/>
          <w:szCs w:val="24"/>
        </w:rPr>
        <w:t xml:space="preserve">.31, </w:t>
      </w:r>
      <w:r w:rsidR="003078CF" w:rsidRPr="0052682F">
        <w:rPr>
          <w:rFonts w:cs="Times New Roman"/>
          <w:i/>
          <w:iCs/>
          <w:szCs w:val="24"/>
        </w:rPr>
        <w:t>p</w:t>
      </w:r>
      <w:r w:rsidR="003078CF" w:rsidRPr="0052682F">
        <w:rPr>
          <w:rFonts w:cs="Times New Roman"/>
          <w:szCs w:val="24"/>
        </w:rPr>
        <w:t xml:space="preserve">s ranged from .13 to .73), and error processing (Estimates ranged from </w:t>
      </w:r>
      <w:r w:rsidR="00D84309" w:rsidRPr="0052682F">
        <w:rPr>
          <w:rFonts w:cs="Times New Roman"/>
          <w:szCs w:val="24"/>
        </w:rPr>
        <w:t>-.</w:t>
      </w:r>
      <w:r w:rsidR="00D8010D" w:rsidRPr="0052682F">
        <w:rPr>
          <w:rFonts w:cs="Times New Roman"/>
          <w:szCs w:val="24"/>
        </w:rPr>
        <w:t>44</w:t>
      </w:r>
      <w:r w:rsidR="00D84309" w:rsidRPr="0052682F">
        <w:rPr>
          <w:rFonts w:cs="Times New Roman"/>
          <w:szCs w:val="24"/>
        </w:rPr>
        <w:t xml:space="preserve"> to .</w:t>
      </w:r>
      <w:r w:rsidR="00D8010D" w:rsidRPr="0052682F">
        <w:rPr>
          <w:rFonts w:cs="Times New Roman"/>
          <w:szCs w:val="24"/>
        </w:rPr>
        <w:t>16</w:t>
      </w:r>
      <w:r w:rsidR="00D84309" w:rsidRPr="0052682F">
        <w:rPr>
          <w:rFonts w:cs="Times New Roman"/>
          <w:szCs w:val="24"/>
        </w:rPr>
        <w:t xml:space="preserve">, </w:t>
      </w:r>
      <w:r w:rsidR="00D84309" w:rsidRPr="0052682F">
        <w:rPr>
          <w:rFonts w:cs="Times New Roman"/>
          <w:i/>
          <w:iCs/>
          <w:szCs w:val="24"/>
        </w:rPr>
        <w:t>p</w:t>
      </w:r>
      <w:r w:rsidR="00D84309" w:rsidRPr="0052682F">
        <w:rPr>
          <w:rFonts w:cs="Times New Roman"/>
          <w:szCs w:val="24"/>
        </w:rPr>
        <w:t xml:space="preserve">s ranged from .13 to .66). See Table S16 for the respective estimates and effect sizes of the whole-brain comparisons. </w:t>
      </w:r>
      <w:r w:rsidR="003078CF" w:rsidRPr="0052682F">
        <w:rPr>
          <w:rFonts w:cs="Times New Roman"/>
          <w:szCs w:val="24"/>
        </w:rPr>
        <w:t xml:space="preserve"> </w:t>
      </w:r>
      <w:r w:rsidRPr="0052682F">
        <w:rPr>
          <w:rFonts w:cs="Times New Roman"/>
          <w:szCs w:val="24"/>
        </w:rPr>
        <w:t xml:space="preserve"> </w:t>
      </w:r>
      <w:r w:rsidR="007423E6" w:rsidRPr="0052682F">
        <w:rPr>
          <w:rFonts w:cs="Times New Roman"/>
          <w:szCs w:val="24"/>
        </w:rPr>
        <w:t xml:space="preserve"> </w:t>
      </w:r>
      <w:r w:rsidR="00A81969" w:rsidRPr="0052682F">
        <w:rPr>
          <w:rFonts w:cs="Times New Roman"/>
          <w:szCs w:val="24"/>
        </w:rPr>
        <w:t xml:space="preserve">     </w:t>
      </w:r>
    </w:p>
    <w:p w14:paraId="4DB53426" w14:textId="77777777" w:rsidR="006110F8" w:rsidRPr="0052682F" w:rsidRDefault="006110F8" w:rsidP="006110F8">
      <w:pPr>
        <w:rPr>
          <w:b/>
          <w:bCs/>
        </w:rPr>
      </w:pPr>
      <w:r w:rsidRPr="0052682F">
        <w:rPr>
          <w:b/>
          <w:bCs/>
        </w:rPr>
        <w:t>Group comparison removing all covariates</w:t>
      </w:r>
    </w:p>
    <w:p w14:paraId="191A27AE" w14:textId="0578709D" w:rsidR="006110F8" w:rsidRPr="0052682F" w:rsidRDefault="00FD62A2" w:rsidP="006110F8">
      <w:r w:rsidRPr="0052682F">
        <w:t>Given that various sociodemographic differences between the LCA groups were of small to medium effect sizes, we re-ran the main latent group comparisons on a post-hoc basis with all sociodemographic covariates removed from the modeling procedures. These comparisons were conducted for the pre-selected brain regions and across the whole brain on the SST.</w:t>
      </w:r>
      <w:r w:rsidR="00EC41E1" w:rsidRPr="0052682F">
        <w:t xml:space="preserve"> </w:t>
      </w:r>
    </w:p>
    <w:p w14:paraId="224AC275" w14:textId="0D6124E4" w:rsidR="00FD62A2" w:rsidRPr="0052682F" w:rsidRDefault="00FD62A2" w:rsidP="002331CE">
      <w:pPr>
        <w:ind w:firstLine="567"/>
      </w:pPr>
      <w:r w:rsidRPr="0052682F">
        <w:t>Among the pre-selected brain regions</w:t>
      </w:r>
      <w:r w:rsidR="002F05AB" w:rsidRPr="0052682F">
        <w:t xml:space="preserve"> (Table S17)</w:t>
      </w:r>
      <w:r w:rsidRPr="0052682F">
        <w:t xml:space="preserve">, </w:t>
      </w:r>
      <w:r w:rsidR="003B1F69" w:rsidRPr="0052682F">
        <w:t xml:space="preserve">the neural coactivation differences for response inhibition did not survive FDR-correction for multiple comparisons (Estimates ranged from </w:t>
      </w:r>
      <w:r w:rsidR="002F05AB" w:rsidRPr="0052682F">
        <w:t xml:space="preserve">-.001 to .02, </w:t>
      </w:r>
      <w:r w:rsidR="002F05AB" w:rsidRPr="0052682F">
        <w:rPr>
          <w:i/>
          <w:iCs/>
        </w:rPr>
        <w:t>p</w:t>
      </w:r>
      <w:r w:rsidR="002F05AB" w:rsidRPr="0052682F">
        <w:t>s ranged from .18 to .97</w:t>
      </w:r>
      <w:r w:rsidR="003B1F69" w:rsidRPr="0052682F">
        <w:t xml:space="preserve">). Interestingly, we found two significance group differences for the first latent coactivation factor of error processing, marked by hyper-activation in the ADHD + irritability group relative to typically developing peers (Estimate = </w:t>
      </w:r>
      <w:r w:rsidR="002F05AB" w:rsidRPr="0052682F">
        <w:t xml:space="preserve">.05, SE = .02, </w:t>
      </w:r>
      <w:r w:rsidR="002F05AB" w:rsidRPr="0052682F">
        <w:rPr>
          <w:i/>
          <w:iCs/>
        </w:rPr>
        <w:t>p</w:t>
      </w:r>
      <w:r w:rsidR="002F05AB" w:rsidRPr="0052682F">
        <w:t xml:space="preserve"> = .03</w:t>
      </w:r>
      <w:r w:rsidR="003B1F69" w:rsidRPr="0052682F">
        <w:t xml:space="preserve">), and relative to the ADHD only group (Estimate = </w:t>
      </w:r>
      <w:r w:rsidR="002F05AB" w:rsidRPr="0052682F">
        <w:t xml:space="preserve">-.07, SE = .02, </w:t>
      </w:r>
      <w:r w:rsidR="002F05AB" w:rsidRPr="0052682F">
        <w:rPr>
          <w:i/>
          <w:iCs/>
        </w:rPr>
        <w:t>p</w:t>
      </w:r>
      <w:r w:rsidR="002F05AB" w:rsidRPr="0052682F">
        <w:t xml:space="preserve"> = .02</w:t>
      </w:r>
      <w:r w:rsidR="003B1F69" w:rsidRPr="0052682F">
        <w:t>). Whole-brain results remained non-significant for response inhibition and error processing (Estimates ranged from</w:t>
      </w:r>
      <w:r w:rsidR="002F05AB" w:rsidRPr="0052682F">
        <w:t xml:space="preserve"> -.02 to .01, </w:t>
      </w:r>
      <w:r w:rsidR="002F05AB" w:rsidRPr="0052682F">
        <w:rPr>
          <w:i/>
          <w:iCs/>
        </w:rPr>
        <w:t>p</w:t>
      </w:r>
      <w:r w:rsidR="002F05AB" w:rsidRPr="0052682F">
        <w:t>s ranged from .24 to 1.00, see Table S18)</w:t>
      </w:r>
      <w:r w:rsidR="003B1F69" w:rsidRPr="0052682F">
        <w:t xml:space="preserve">.   </w:t>
      </w:r>
    </w:p>
    <w:p w14:paraId="563409E4" w14:textId="767C496F" w:rsidR="00FD62A2" w:rsidRPr="0052682F" w:rsidRDefault="00FD62A2" w:rsidP="006110F8">
      <w:pPr>
        <w:sectPr w:rsidR="00FD62A2" w:rsidRPr="0052682F" w:rsidSect="0017234F">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4E3ABC44" w14:textId="23EBC5DE" w:rsidR="007423E6" w:rsidRPr="0052682F" w:rsidRDefault="007423E6" w:rsidP="0001436A">
      <w:pPr>
        <w:pStyle w:val="Heading1"/>
      </w:pPr>
      <w:r w:rsidRPr="0052682F">
        <w:lastRenderedPageBreak/>
        <w:t>References</w:t>
      </w:r>
    </w:p>
    <w:tbl>
      <w:tblPr>
        <w:tblW w:w="9026" w:type="dxa"/>
        <w:tblLook w:val="04A0" w:firstRow="1" w:lastRow="0" w:firstColumn="1" w:lastColumn="0" w:noHBand="0" w:noVBand="1"/>
      </w:tblPr>
      <w:tblGrid>
        <w:gridCol w:w="336"/>
        <w:gridCol w:w="8740"/>
      </w:tblGrid>
      <w:tr w:rsidR="00E95940" w:rsidRPr="0052682F" w14:paraId="3734EB5A" w14:textId="77777777" w:rsidTr="00E95940">
        <w:trPr>
          <w:trHeight w:val="315"/>
        </w:trPr>
        <w:tc>
          <w:tcPr>
            <w:tcW w:w="286" w:type="dxa"/>
            <w:tcBorders>
              <w:top w:val="nil"/>
              <w:left w:val="nil"/>
              <w:bottom w:val="nil"/>
              <w:right w:val="nil"/>
            </w:tcBorders>
            <w:shd w:val="clear" w:color="auto" w:fill="auto"/>
            <w:noWrap/>
            <w:hideMark/>
          </w:tcPr>
          <w:p w14:paraId="33D02CE7"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1</w:t>
            </w:r>
          </w:p>
        </w:tc>
        <w:tc>
          <w:tcPr>
            <w:tcW w:w="8740" w:type="dxa"/>
            <w:tcBorders>
              <w:top w:val="nil"/>
              <w:left w:val="nil"/>
              <w:bottom w:val="nil"/>
              <w:right w:val="nil"/>
            </w:tcBorders>
            <w:shd w:val="clear" w:color="auto" w:fill="auto"/>
            <w:noWrap/>
            <w:hideMark/>
          </w:tcPr>
          <w:p w14:paraId="54576119" w14:textId="019DD3DB"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Chaarani B, Hahn S, Allgaier N, Adise S, Owens MM, Juliano AC, et al. Baseline brain function in the preadolescents of the ABCD Study. </w:t>
            </w:r>
            <w:r w:rsidRPr="0052682F">
              <w:rPr>
                <w:rFonts w:eastAsia="Times New Roman" w:cs="Times New Roman"/>
                <w:i/>
                <w:iCs/>
                <w:color w:val="000000"/>
                <w:szCs w:val="24"/>
                <w:lang w:val="en-GB" w:eastAsia="zh-TW"/>
              </w:rPr>
              <w:t>Nat Neurosci.</w:t>
            </w:r>
            <w:r w:rsidRPr="0052682F">
              <w:rPr>
                <w:rFonts w:eastAsia="Times New Roman" w:cs="Times New Roman"/>
                <w:color w:val="000000"/>
                <w:szCs w:val="24"/>
                <w:lang w:val="en-GB" w:eastAsia="zh-TW"/>
              </w:rPr>
              <w:t xml:space="preserve"> 2021;24(8):1176–86. doi:10.1038/s41593-021-00867-9</w:t>
            </w:r>
          </w:p>
        </w:tc>
      </w:tr>
      <w:tr w:rsidR="00E95940" w:rsidRPr="0052682F" w14:paraId="421B6333" w14:textId="77777777" w:rsidTr="00E95940">
        <w:trPr>
          <w:trHeight w:val="315"/>
        </w:trPr>
        <w:tc>
          <w:tcPr>
            <w:tcW w:w="286" w:type="dxa"/>
            <w:tcBorders>
              <w:top w:val="nil"/>
              <w:left w:val="nil"/>
              <w:bottom w:val="nil"/>
              <w:right w:val="nil"/>
            </w:tcBorders>
            <w:shd w:val="clear" w:color="auto" w:fill="auto"/>
            <w:noWrap/>
            <w:hideMark/>
          </w:tcPr>
          <w:p w14:paraId="0435AB6C"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2</w:t>
            </w:r>
          </w:p>
        </w:tc>
        <w:tc>
          <w:tcPr>
            <w:tcW w:w="8740" w:type="dxa"/>
            <w:tcBorders>
              <w:top w:val="nil"/>
              <w:left w:val="nil"/>
              <w:bottom w:val="nil"/>
              <w:right w:val="nil"/>
            </w:tcBorders>
            <w:shd w:val="clear" w:color="auto" w:fill="auto"/>
            <w:noWrap/>
            <w:hideMark/>
          </w:tcPr>
          <w:p w14:paraId="19FE0BE7" w14:textId="73D1CDD2"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Hawes SW, Waller R, Byrd AL, Bjork JM, Dick AS, Sutherland MT, et al. Reward processing in children with disruptive behavior disorders and callous-unemotional traits in the ABCD study. </w:t>
            </w:r>
            <w:r w:rsidRPr="0052682F">
              <w:rPr>
                <w:rFonts w:eastAsia="Times New Roman" w:cs="Times New Roman"/>
                <w:i/>
                <w:iCs/>
                <w:color w:val="000000"/>
                <w:szCs w:val="24"/>
                <w:lang w:val="en-GB" w:eastAsia="zh-TW"/>
              </w:rPr>
              <w:t>Am J Psychiatry.</w:t>
            </w:r>
            <w:r w:rsidRPr="0052682F">
              <w:rPr>
                <w:rFonts w:eastAsia="Times New Roman" w:cs="Times New Roman"/>
                <w:color w:val="000000"/>
                <w:szCs w:val="24"/>
                <w:lang w:val="en-GB" w:eastAsia="zh-TW"/>
              </w:rPr>
              <w:t xml:space="preserve"> 2021;178(4):333–42. doi:10.1176/appi.ajp.2020.19101092</w:t>
            </w:r>
          </w:p>
        </w:tc>
      </w:tr>
      <w:tr w:rsidR="00E95940" w:rsidRPr="0052682F" w14:paraId="32965878" w14:textId="77777777" w:rsidTr="00E95940">
        <w:trPr>
          <w:trHeight w:val="315"/>
        </w:trPr>
        <w:tc>
          <w:tcPr>
            <w:tcW w:w="286" w:type="dxa"/>
            <w:tcBorders>
              <w:top w:val="nil"/>
              <w:left w:val="nil"/>
              <w:bottom w:val="nil"/>
              <w:right w:val="nil"/>
            </w:tcBorders>
            <w:shd w:val="clear" w:color="auto" w:fill="auto"/>
            <w:noWrap/>
            <w:hideMark/>
          </w:tcPr>
          <w:p w14:paraId="2FB983E7"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3</w:t>
            </w:r>
          </w:p>
        </w:tc>
        <w:tc>
          <w:tcPr>
            <w:tcW w:w="8740" w:type="dxa"/>
            <w:tcBorders>
              <w:top w:val="nil"/>
              <w:left w:val="nil"/>
              <w:bottom w:val="nil"/>
              <w:right w:val="nil"/>
            </w:tcBorders>
            <w:shd w:val="clear" w:color="auto" w:fill="auto"/>
            <w:noWrap/>
            <w:hideMark/>
          </w:tcPr>
          <w:p w14:paraId="7B060FBA" w14:textId="77777777"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de-DE" w:eastAsia="zh-TW"/>
              </w:rPr>
              <w:t xml:space="preserve">Lichenstein SD, Roos C, Kohler R, Kiluk B, Carroll KM, Worhunsky PD, et al. </w:t>
            </w:r>
            <w:r w:rsidRPr="0052682F">
              <w:rPr>
                <w:rFonts w:eastAsia="Times New Roman" w:cs="Times New Roman"/>
                <w:color w:val="000000"/>
                <w:szCs w:val="24"/>
                <w:lang w:val="en-GB" w:eastAsia="zh-TW"/>
              </w:rPr>
              <w:t xml:space="preserve">Identification and validation of distinct latent neurodevelopmental profiles in the Adolescent Brain and Cognitive Development study. </w:t>
            </w:r>
            <w:r w:rsidRPr="0052682F">
              <w:rPr>
                <w:rFonts w:eastAsia="Times New Roman" w:cs="Times New Roman"/>
                <w:i/>
                <w:iCs/>
                <w:color w:val="000000"/>
                <w:szCs w:val="24"/>
                <w:lang w:val="en-GB" w:eastAsia="zh-TW"/>
              </w:rPr>
              <w:t>Biol Psychiatry Cogn Neurosci Neuroimaging</w:t>
            </w:r>
            <w:r w:rsidRPr="0052682F">
              <w:rPr>
                <w:rFonts w:eastAsia="Times New Roman" w:cs="Times New Roman"/>
                <w:color w:val="000000"/>
                <w:szCs w:val="24"/>
                <w:lang w:val="en-GB" w:eastAsia="zh-TW"/>
              </w:rPr>
              <w:t xml:space="preserve"> [Internet]. 2021; Available from: http://dx.doi.org/10.1016/j.bpsc.2021.02.013</w:t>
            </w:r>
          </w:p>
        </w:tc>
      </w:tr>
      <w:tr w:rsidR="00E95940" w:rsidRPr="0052682F" w14:paraId="2DE7C2C5" w14:textId="77777777" w:rsidTr="00E95940">
        <w:trPr>
          <w:trHeight w:val="315"/>
        </w:trPr>
        <w:tc>
          <w:tcPr>
            <w:tcW w:w="286" w:type="dxa"/>
            <w:tcBorders>
              <w:top w:val="nil"/>
              <w:left w:val="nil"/>
              <w:bottom w:val="nil"/>
              <w:right w:val="nil"/>
            </w:tcBorders>
            <w:shd w:val="clear" w:color="auto" w:fill="auto"/>
            <w:noWrap/>
            <w:hideMark/>
          </w:tcPr>
          <w:p w14:paraId="4CCCBDD9"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4</w:t>
            </w:r>
          </w:p>
        </w:tc>
        <w:tc>
          <w:tcPr>
            <w:tcW w:w="8740" w:type="dxa"/>
            <w:tcBorders>
              <w:top w:val="nil"/>
              <w:left w:val="nil"/>
              <w:bottom w:val="nil"/>
              <w:right w:val="nil"/>
            </w:tcBorders>
            <w:shd w:val="clear" w:color="auto" w:fill="auto"/>
            <w:noWrap/>
            <w:hideMark/>
          </w:tcPr>
          <w:p w14:paraId="659C07E5" w14:textId="77777777"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Bissett PG, Hagen MP, Jones HM, Poldrack RA. Design issues and solutions for stop-signal data from the Adolescent Brain Cognitive Development (ABCD) study. </w:t>
            </w:r>
            <w:r w:rsidRPr="0052682F">
              <w:rPr>
                <w:rFonts w:eastAsia="Times New Roman" w:cs="Times New Roman"/>
                <w:i/>
                <w:iCs/>
                <w:color w:val="000000"/>
                <w:szCs w:val="24"/>
                <w:lang w:val="en-GB" w:eastAsia="zh-TW"/>
              </w:rPr>
              <w:t>Elife</w:t>
            </w:r>
            <w:r w:rsidRPr="0052682F">
              <w:rPr>
                <w:rFonts w:eastAsia="Times New Roman" w:cs="Times New Roman"/>
                <w:color w:val="000000"/>
                <w:szCs w:val="24"/>
                <w:lang w:val="en-GB" w:eastAsia="zh-TW"/>
              </w:rPr>
              <w:t xml:space="preserve"> [Internet]. 2021;10. Available from: http://dx.doi.org/10.7554/eLife.60185</w:t>
            </w:r>
          </w:p>
        </w:tc>
      </w:tr>
      <w:tr w:rsidR="00E95940" w:rsidRPr="0052682F" w14:paraId="5B2F4C3A" w14:textId="77777777" w:rsidTr="00E95940">
        <w:trPr>
          <w:trHeight w:val="315"/>
        </w:trPr>
        <w:tc>
          <w:tcPr>
            <w:tcW w:w="286" w:type="dxa"/>
            <w:tcBorders>
              <w:top w:val="nil"/>
              <w:left w:val="nil"/>
              <w:bottom w:val="nil"/>
              <w:right w:val="nil"/>
            </w:tcBorders>
            <w:shd w:val="clear" w:color="auto" w:fill="auto"/>
            <w:noWrap/>
            <w:hideMark/>
          </w:tcPr>
          <w:p w14:paraId="2F27CC98"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5</w:t>
            </w:r>
          </w:p>
        </w:tc>
        <w:tc>
          <w:tcPr>
            <w:tcW w:w="8740" w:type="dxa"/>
            <w:tcBorders>
              <w:top w:val="nil"/>
              <w:left w:val="nil"/>
              <w:bottom w:val="nil"/>
              <w:right w:val="nil"/>
            </w:tcBorders>
            <w:shd w:val="clear" w:color="auto" w:fill="auto"/>
            <w:noWrap/>
            <w:hideMark/>
          </w:tcPr>
          <w:p w14:paraId="24E0B292" w14:textId="77777777"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Garavan H, Hahn S, Chaarani B, Juliano A, Allgaier N, Yuan DK, et al. The ABCD Stop Signal Data: Response to Bissett et al [Internet]. </w:t>
            </w:r>
            <w:r w:rsidRPr="0052682F">
              <w:rPr>
                <w:rFonts w:eastAsia="Times New Roman" w:cs="Times New Roman"/>
                <w:i/>
                <w:iCs/>
                <w:color w:val="000000"/>
                <w:szCs w:val="24"/>
                <w:lang w:val="en-GB" w:eastAsia="zh-TW"/>
              </w:rPr>
              <w:t>bioRxiv.</w:t>
            </w:r>
            <w:r w:rsidRPr="0052682F">
              <w:rPr>
                <w:rFonts w:eastAsia="Times New Roman" w:cs="Times New Roman"/>
                <w:color w:val="000000"/>
                <w:szCs w:val="24"/>
                <w:lang w:val="en-GB" w:eastAsia="zh-TW"/>
              </w:rPr>
              <w:t xml:space="preserve"> 2020. Available from: http://dx.doi.org/10.1101/2020.07.27.223057</w:t>
            </w:r>
          </w:p>
        </w:tc>
      </w:tr>
      <w:tr w:rsidR="00E95940" w:rsidRPr="0052682F" w14:paraId="1949E94A" w14:textId="77777777" w:rsidTr="00E95940">
        <w:trPr>
          <w:trHeight w:val="315"/>
        </w:trPr>
        <w:tc>
          <w:tcPr>
            <w:tcW w:w="286" w:type="dxa"/>
            <w:tcBorders>
              <w:top w:val="nil"/>
              <w:left w:val="nil"/>
              <w:bottom w:val="nil"/>
              <w:right w:val="nil"/>
            </w:tcBorders>
            <w:shd w:val="clear" w:color="auto" w:fill="auto"/>
            <w:noWrap/>
            <w:hideMark/>
          </w:tcPr>
          <w:p w14:paraId="408C27F5"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6</w:t>
            </w:r>
          </w:p>
        </w:tc>
        <w:tc>
          <w:tcPr>
            <w:tcW w:w="8740" w:type="dxa"/>
            <w:tcBorders>
              <w:top w:val="nil"/>
              <w:left w:val="nil"/>
              <w:bottom w:val="nil"/>
              <w:right w:val="nil"/>
            </w:tcBorders>
            <w:shd w:val="clear" w:color="auto" w:fill="auto"/>
            <w:noWrap/>
            <w:hideMark/>
          </w:tcPr>
          <w:p w14:paraId="5BE5C881" w14:textId="5C66724B"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Korucuoglu O, Harms MP, Astafiev SV, Golosheykin S, Kennedy JT, Barch DM, et al. Test-retest reliability of neural correlates of response inhibition and error monitoring: An fMRI study of a stop-signal task. </w:t>
            </w:r>
            <w:r w:rsidRPr="0052682F">
              <w:rPr>
                <w:rFonts w:eastAsia="Times New Roman" w:cs="Times New Roman"/>
                <w:i/>
                <w:iCs/>
                <w:color w:val="000000"/>
                <w:szCs w:val="24"/>
                <w:lang w:val="en-GB" w:eastAsia="zh-TW"/>
              </w:rPr>
              <w:t xml:space="preserve">Front Neurosci. </w:t>
            </w:r>
            <w:r w:rsidRPr="0052682F">
              <w:rPr>
                <w:rFonts w:eastAsia="Times New Roman" w:cs="Times New Roman"/>
                <w:color w:val="000000"/>
                <w:szCs w:val="24"/>
                <w:lang w:val="en-GB" w:eastAsia="zh-TW"/>
              </w:rPr>
              <w:t>2021;15:624911. doi:10.3389/fnins.2021.624911</w:t>
            </w:r>
          </w:p>
        </w:tc>
      </w:tr>
      <w:tr w:rsidR="00E95940" w:rsidRPr="0052682F" w14:paraId="1CA4BF68" w14:textId="77777777" w:rsidTr="00E95940">
        <w:trPr>
          <w:trHeight w:val="315"/>
        </w:trPr>
        <w:tc>
          <w:tcPr>
            <w:tcW w:w="286" w:type="dxa"/>
            <w:tcBorders>
              <w:top w:val="nil"/>
              <w:left w:val="nil"/>
              <w:bottom w:val="nil"/>
              <w:right w:val="nil"/>
            </w:tcBorders>
            <w:shd w:val="clear" w:color="auto" w:fill="auto"/>
            <w:noWrap/>
            <w:hideMark/>
          </w:tcPr>
          <w:p w14:paraId="438768FD"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7</w:t>
            </w:r>
          </w:p>
        </w:tc>
        <w:tc>
          <w:tcPr>
            <w:tcW w:w="8740" w:type="dxa"/>
            <w:tcBorders>
              <w:top w:val="nil"/>
              <w:left w:val="nil"/>
              <w:bottom w:val="nil"/>
              <w:right w:val="nil"/>
            </w:tcBorders>
            <w:shd w:val="clear" w:color="auto" w:fill="auto"/>
            <w:noWrap/>
            <w:hideMark/>
          </w:tcPr>
          <w:p w14:paraId="3CD39916" w14:textId="44DC4342"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Hagler DJ Jr, Hatton S, Cornejo MD, Makowski C, Fair DA, Dick AS, et al. Image processing and analysis methods for the Adolescent Brain Cognitive Development Study. </w:t>
            </w:r>
            <w:r w:rsidRPr="0052682F">
              <w:rPr>
                <w:rFonts w:eastAsia="Times New Roman" w:cs="Times New Roman"/>
                <w:i/>
                <w:iCs/>
                <w:color w:val="000000"/>
                <w:szCs w:val="24"/>
                <w:lang w:val="en-GB" w:eastAsia="zh-TW"/>
              </w:rPr>
              <w:t>Neuroimage.</w:t>
            </w:r>
            <w:r w:rsidRPr="0052682F">
              <w:rPr>
                <w:rFonts w:eastAsia="Times New Roman" w:cs="Times New Roman"/>
                <w:color w:val="000000"/>
                <w:szCs w:val="24"/>
                <w:lang w:val="en-GB" w:eastAsia="zh-TW"/>
              </w:rPr>
              <w:t xml:space="preserve"> 2019;202(116091):116091. doi:10.1016/j.neuroimage.2019.116091</w:t>
            </w:r>
          </w:p>
        </w:tc>
      </w:tr>
      <w:tr w:rsidR="00E95940" w:rsidRPr="0052682F" w14:paraId="5A196647" w14:textId="77777777" w:rsidTr="00E95940">
        <w:trPr>
          <w:trHeight w:val="315"/>
        </w:trPr>
        <w:tc>
          <w:tcPr>
            <w:tcW w:w="286" w:type="dxa"/>
            <w:tcBorders>
              <w:top w:val="nil"/>
              <w:left w:val="nil"/>
              <w:bottom w:val="nil"/>
              <w:right w:val="nil"/>
            </w:tcBorders>
            <w:shd w:val="clear" w:color="auto" w:fill="auto"/>
            <w:noWrap/>
            <w:hideMark/>
          </w:tcPr>
          <w:p w14:paraId="774FA729"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8</w:t>
            </w:r>
          </w:p>
        </w:tc>
        <w:tc>
          <w:tcPr>
            <w:tcW w:w="8740" w:type="dxa"/>
            <w:tcBorders>
              <w:top w:val="nil"/>
              <w:left w:val="nil"/>
              <w:bottom w:val="nil"/>
              <w:right w:val="nil"/>
            </w:tcBorders>
            <w:shd w:val="clear" w:color="auto" w:fill="auto"/>
            <w:noWrap/>
            <w:hideMark/>
          </w:tcPr>
          <w:p w14:paraId="45CCBA71" w14:textId="7B46A5BA"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 xml:space="preserve">Chen FF. Sensitivity of goodness of fit indexes to lack of measurement invariance. </w:t>
            </w:r>
            <w:r w:rsidRPr="0052682F">
              <w:rPr>
                <w:rFonts w:eastAsia="Times New Roman" w:cs="Times New Roman"/>
                <w:i/>
                <w:iCs/>
                <w:color w:val="000000"/>
                <w:szCs w:val="24"/>
                <w:lang w:val="en-GB" w:eastAsia="zh-TW"/>
              </w:rPr>
              <w:t xml:space="preserve">Struct Equ Modeling. </w:t>
            </w:r>
            <w:r w:rsidRPr="0052682F">
              <w:rPr>
                <w:rFonts w:eastAsia="Times New Roman" w:cs="Times New Roman"/>
                <w:color w:val="000000"/>
                <w:szCs w:val="24"/>
                <w:lang w:val="en-GB" w:eastAsia="zh-TW"/>
              </w:rPr>
              <w:t>2007;14(3):464–504. doi:10.1080/10705510701301834</w:t>
            </w:r>
          </w:p>
        </w:tc>
      </w:tr>
      <w:tr w:rsidR="00E95940" w:rsidRPr="0052682F" w14:paraId="76E9C0DF" w14:textId="77777777" w:rsidTr="00E95940">
        <w:trPr>
          <w:trHeight w:val="315"/>
        </w:trPr>
        <w:tc>
          <w:tcPr>
            <w:tcW w:w="286" w:type="dxa"/>
            <w:tcBorders>
              <w:top w:val="nil"/>
              <w:left w:val="nil"/>
              <w:bottom w:val="nil"/>
              <w:right w:val="nil"/>
            </w:tcBorders>
            <w:shd w:val="clear" w:color="auto" w:fill="auto"/>
            <w:noWrap/>
            <w:hideMark/>
          </w:tcPr>
          <w:p w14:paraId="1B759AD8" w14:textId="77777777" w:rsidR="00E95940" w:rsidRPr="0052682F" w:rsidRDefault="00E95940" w:rsidP="00E95940">
            <w:pPr>
              <w:spacing w:before="0" w:after="0"/>
              <w:jc w:val="right"/>
              <w:rPr>
                <w:rFonts w:eastAsia="Times New Roman" w:cs="Times New Roman"/>
                <w:color w:val="000000"/>
                <w:szCs w:val="24"/>
                <w:lang w:val="en-GB" w:eastAsia="zh-TW"/>
              </w:rPr>
            </w:pPr>
            <w:r w:rsidRPr="0052682F">
              <w:rPr>
                <w:rFonts w:eastAsia="Times New Roman" w:cs="Times New Roman"/>
                <w:color w:val="000000"/>
                <w:szCs w:val="24"/>
                <w:lang w:val="en-GB" w:eastAsia="zh-TW"/>
              </w:rPr>
              <w:t>9</w:t>
            </w:r>
          </w:p>
        </w:tc>
        <w:tc>
          <w:tcPr>
            <w:tcW w:w="8740" w:type="dxa"/>
            <w:tcBorders>
              <w:top w:val="nil"/>
              <w:left w:val="nil"/>
              <w:bottom w:val="nil"/>
              <w:right w:val="nil"/>
            </w:tcBorders>
            <w:shd w:val="clear" w:color="auto" w:fill="auto"/>
            <w:noWrap/>
            <w:hideMark/>
          </w:tcPr>
          <w:p w14:paraId="09C21D46" w14:textId="5140F4A9" w:rsidR="00E95940" w:rsidRPr="0052682F" w:rsidRDefault="00E95940" w:rsidP="00E95940">
            <w:pPr>
              <w:spacing w:before="0" w:after="0"/>
              <w:rPr>
                <w:rFonts w:eastAsia="Times New Roman" w:cs="Times New Roman"/>
                <w:color w:val="000000"/>
                <w:szCs w:val="24"/>
                <w:lang w:val="en-GB" w:eastAsia="zh-TW"/>
              </w:rPr>
            </w:pPr>
            <w:r w:rsidRPr="0052682F">
              <w:rPr>
                <w:rFonts w:eastAsia="Times New Roman" w:cs="Times New Roman"/>
                <w:color w:val="000000"/>
                <w:szCs w:val="24"/>
                <w:lang w:val="en-GB" w:eastAsia="zh-TW"/>
              </w:rPr>
              <w:t>Muthén L, Muthén B. Mplus (Version 8)</w:t>
            </w:r>
            <w:r w:rsidR="00281DFB" w:rsidRPr="0052682F">
              <w:rPr>
                <w:rFonts w:eastAsia="Times New Roman" w:cs="Times New Roman"/>
                <w:color w:val="000000"/>
                <w:szCs w:val="24"/>
                <w:lang w:val="en-GB" w:eastAsia="zh-TW"/>
              </w:rPr>
              <w:t xml:space="preserve"> </w:t>
            </w:r>
            <w:r w:rsidRPr="0052682F">
              <w:rPr>
                <w:rFonts w:eastAsia="Times New Roman" w:cs="Times New Roman"/>
                <w:color w:val="000000"/>
                <w:szCs w:val="24"/>
                <w:lang w:val="en-GB" w:eastAsia="zh-TW"/>
              </w:rPr>
              <w:t>[computer software]. 1998-2017.</w:t>
            </w:r>
          </w:p>
        </w:tc>
      </w:tr>
    </w:tbl>
    <w:p w14:paraId="2712AA65" w14:textId="77777777" w:rsidR="007423E6" w:rsidRPr="0052682F" w:rsidRDefault="007423E6" w:rsidP="007423E6"/>
    <w:p w14:paraId="639E7E74" w14:textId="77777777" w:rsidR="007423E6" w:rsidRPr="0052682F" w:rsidRDefault="007423E6">
      <w:pPr>
        <w:spacing w:before="0" w:after="200" w:line="276" w:lineRule="auto"/>
        <w:rPr>
          <w:rFonts w:eastAsia="Cambria" w:cs="Times New Roman"/>
          <w:b/>
          <w:szCs w:val="24"/>
        </w:rPr>
      </w:pPr>
      <w:r w:rsidRPr="0052682F">
        <w:br w:type="page"/>
      </w:r>
    </w:p>
    <w:p w14:paraId="4D059444" w14:textId="121FA8E1" w:rsidR="00994A3D" w:rsidRPr="0052682F" w:rsidRDefault="00654E8F" w:rsidP="0001436A">
      <w:pPr>
        <w:pStyle w:val="Heading1"/>
      </w:pPr>
      <w:r w:rsidRPr="0052682F">
        <w:lastRenderedPageBreak/>
        <w:t>Supplementary Figures and Tables</w:t>
      </w:r>
    </w:p>
    <w:p w14:paraId="6A15DD4D" w14:textId="7DE52C91" w:rsidR="00994A3D" w:rsidRPr="0052682F" w:rsidRDefault="00A81969" w:rsidP="002B4A57">
      <w:pPr>
        <w:rPr>
          <w:rFonts w:cs="Times New Roman"/>
          <w:szCs w:val="24"/>
          <w:u w:val="single"/>
        </w:rPr>
      </w:pPr>
      <w:r w:rsidRPr="0052682F">
        <w:t>Because of limited space, the supplementary tables were uploaded separately, av</w:t>
      </w:r>
      <w:r w:rsidR="00677CFF" w:rsidRPr="0052682F">
        <w:t>ailable online</w:t>
      </w:r>
      <w:r w:rsidRPr="0052682F">
        <w:t xml:space="preserve">. </w:t>
      </w:r>
    </w:p>
    <w:p w14:paraId="63D7C2B0" w14:textId="3DC2F166" w:rsidR="00994A3D" w:rsidRPr="0052682F" w:rsidRDefault="00994A3D" w:rsidP="0001436A">
      <w:pPr>
        <w:pStyle w:val="Heading2"/>
      </w:pPr>
      <w:r w:rsidRPr="0052682F">
        <w:t>Supplementary Figures</w:t>
      </w:r>
    </w:p>
    <w:p w14:paraId="6F2E3E4B" w14:textId="46BB3814" w:rsidR="00A81969" w:rsidRPr="0052682F" w:rsidRDefault="00A81969" w:rsidP="00A81969">
      <w:pPr>
        <w:rPr>
          <w:rFonts w:cs="Times New Roman"/>
          <w:b/>
          <w:bCs/>
          <w:szCs w:val="24"/>
        </w:rPr>
      </w:pPr>
      <w:r w:rsidRPr="0052682F">
        <w:rPr>
          <w:rFonts w:cs="Times New Roman"/>
          <w:b/>
          <w:bCs/>
          <w:szCs w:val="24"/>
        </w:rPr>
        <w:t xml:space="preserve">Figure S1. </w:t>
      </w:r>
      <w:r w:rsidRPr="0052682F">
        <w:rPr>
          <w:rFonts w:cs="Times New Roman"/>
          <w:szCs w:val="24"/>
        </w:rPr>
        <w:t>Neural coactivation networks of response inhibition and error processing based on all available brain regions</w:t>
      </w:r>
    </w:p>
    <w:p w14:paraId="5C18BC41" w14:textId="352B4972" w:rsidR="00A81969" w:rsidRPr="0052682F" w:rsidRDefault="00624B12" w:rsidP="00A81969">
      <w:pPr>
        <w:rPr>
          <w:rFonts w:cs="Times New Roman"/>
          <w:szCs w:val="24"/>
        </w:rPr>
      </w:pPr>
      <w:r w:rsidRPr="0052682F">
        <w:rPr>
          <w:rFonts w:cs="Times New Roman"/>
          <w:noProof/>
          <w:szCs w:val="24"/>
        </w:rPr>
        <w:drawing>
          <wp:inline distT="0" distB="0" distL="0" distR="0" wp14:anchorId="39FB65D0" wp14:editId="72B756BC">
            <wp:extent cx="5731650" cy="5040000"/>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650" cy="5040000"/>
                    </a:xfrm>
                    <a:prstGeom prst="rect">
                      <a:avLst/>
                    </a:prstGeom>
                    <a:noFill/>
                    <a:ln>
                      <a:noFill/>
                    </a:ln>
                  </pic:spPr>
                </pic:pic>
              </a:graphicData>
            </a:graphic>
          </wp:inline>
        </w:drawing>
      </w:r>
    </w:p>
    <w:p w14:paraId="3BFAF0F1" w14:textId="0C22055B" w:rsidR="00A81969" w:rsidRPr="0052682F" w:rsidRDefault="00A81969" w:rsidP="00A81969">
      <w:pPr>
        <w:rPr>
          <w:rFonts w:cs="Times New Roman"/>
          <w:b/>
          <w:bCs/>
          <w:szCs w:val="24"/>
        </w:rPr>
      </w:pPr>
      <w:r w:rsidRPr="0052682F">
        <w:rPr>
          <w:rFonts w:cs="Times New Roman"/>
          <w:i/>
          <w:iCs/>
          <w:szCs w:val="24"/>
        </w:rPr>
        <w:t>Notes.</w:t>
      </w:r>
      <w:r w:rsidRPr="0052682F">
        <w:rPr>
          <w:rFonts w:cs="Times New Roman"/>
          <w:szCs w:val="24"/>
        </w:rPr>
        <w:t xml:space="preserve"> (A) Response inhibition coactivation network and constituent brain regions. (B) Error processing coactivation network and constituent brain regions. Standardized estimates and standard errors were showed, all </w:t>
      </w:r>
      <w:r w:rsidR="008D299D" w:rsidRPr="0052682F">
        <w:rPr>
          <w:rFonts w:cs="Times New Roman"/>
          <w:szCs w:val="24"/>
        </w:rPr>
        <w:t>***</w:t>
      </w:r>
      <w:r w:rsidRPr="0052682F">
        <w:rPr>
          <w:rFonts w:cs="Times New Roman"/>
          <w:i/>
          <w:iCs/>
          <w:szCs w:val="24"/>
        </w:rPr>
        <w:t>p</w:t>
      </w:r>
      <w:r w:rsidRPr="0052682F">
        <w:rPr>
          <w:rFonts w:cs="Times New Roman"/>
          <w:szCs w:val="24"/>
        </w:rPr>
        <w:t xml:space="preserve">s &lt;.001. Paths covarying between individual brain regions within each of the coactivation networks were suggested by modification indices in Mplus. </w:t>
      </w:r>
      <w:r w:rsidRPr="0052682F">
        <w:rPr>
          <w:rFonts w:cs="Times New Roman"/>
          <w:b/>
          <w:bCs/>
          <w:szCs w:val="24"/>
        </w:rPr>
        <w:t xml:space="preserve"> </w:t>
      </w:r>
    </w:p>
    <w:p w14:paraId="10341B8D" w14:textId="3A119922" w:rsidR="004401AF" w:rsidRPr="0052682F" w:rsidRDefault="004401AF">
      <w:pPr>
        <w:spacing w:before="0" w:after="200" w:line="276" w:lineRule="auto"/>
        <w:rPr>
          <w:rFonts w:cs="Times New Roman"/>
          <w:b/>
          <w:bCs/>
          <w:szCs w:val="24"/>
        </w:rPr>
      </w:pPr>
      <w:r w:rsidRPr="0052682F">
        <w:rPr>
          <w:rFonts w:cs="Times New Roman"/>
          <w:b/>
          <w:bCs/>
          <w:szCs w:val="24"/>
        </w:rPr>
        <w:br w:type="page"/>
      </w:r>
    </w:p>
    <w:p w14:paraId="502C8DEF" w14:textId="04AB7FC6" w:rsidR="004401AF" w:rsidRPr="0052682F" w:rsidRDefault="004401AF" w:rsidP="00A81969">
      <w:r w:rsidRPr="0052682F">
        <w:rPr>
          <w:rFonts w:cs="Times New Roman"/>
          <w:b/>
          <w:bCs/>
          <w:szCs w:val="24"/>
        </w:rPr>
        <w:lastRenderedPageBreak/>
        <w:t xml:space="preserve">Figure S2. </w:t>
      </w:r>
      <w:r w:rsidRPr="0052682F">
        <w:t>Average beta weights of regional activation in the left pars orbitalis during error processing from family clustering analysis</w:t>
      </w:r>
      <w:r w:rsidRPr="0052682F">
        <w:rPr>
          <w:noProof/>
        </w:rPr>
        <w:drawing>
          <wp:inline distT="0" distB="0" distL="0" distR="0" wp14:anchorId="3F9A350B" wp14:editId="6700833A">
            <wp:extent cx="5296535" cy="2814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6535" cy="2814320"/>
                    </a:xfrm>
                    <a:prstGeom prst="rect">
                      <a:avLst/>
                    </a:prstGeom>
                    <a:noFill/>
                    <a:ln>
                      <a:noFill/>
                    </a:ln>
                  </pic:spPr>
                </pic:pic>
              </a:graphicData>
            </a:graphic>
          </wp:inline>
        </w:drawing>
      </w:r>
    </w:p>
    <w:p w14:paraId="19B43BA2" w14:textId="061E4DD1" w:rsidR="004401AF" w:rsidRPr="0052682F" w:rsidRDefault="004401AF" w:rsidP="004401AF">
      <w:r w:rsidRPr="0052682F">
        <w:rPr>
          <w:i/>
          <w:iCs/>
        </w:rPr>
        <w:t>Notes.</w:t>
      </w:r>
      <w:r w:rsidRPr="0052682F">
        <w:t xml:space="preserve"> L = left hemisphere; ADHD = attention-deficit/hyperactivity disorder; IRR = irritability; TD = typically developing. Raw average beta weights and standard errors of regional activation in the left pars orbitalis during error processing across the four latent classes of youths. Results remain</w:t>
      </w:r>
      <w:r w:rsidR="00C62EDD" w:rsidRPr="0052682F">
        <w:t>ed</w:t>
      </w:r>
      <w:r w:rsidRPr="0052682F">
        <w:t xml:space="preserve"> largely unchanged as compared to the main analysis with scan site clustering. </w:t>
      </w:r>
    </w:p>
    <w:p w14:paraId="425184A7" w14:textId="0841735A" w:rsidR="004401AF" w:rsidRPr="004401AF" w:rsidRDefault="004401AF" w:rsidP="004401AF">
      <w:pPr>
        <w:rPr>
          <w:rFonts w:cs="Times New Roman"/>
          <w:b/>
          <w:bCs/>
          <w:szCs w:val="24"/>
        </w:rPr>
      </w:pPr>
      <w:r w:rsidRPr="0052682F">
        <w:rPr>
          <w:color w:val="202124"/>
          <w:shd w:val="clear" w:color="auto" w:fill="FFFFFF"/>
        </w:rPr>
        <w:t xml:space="preserve">** </w:t>
      </w:r>
      <w:r w:rsidRPr="0052682F">
        <w:rPr>
          <w:i/>
          <w:iCs/>
          <w:color w:val="202124"/>
          <w:shd w:val="clear" w:color="auto" w:fill="FFFFFF"/>
        </w:rPr>
        <w:t>p</w:t>
      </w:r>
      <w:r w:rsidRPr="0052682F">
        <w:rPr>
          <w:color w:val="202124"/>
          <w:shd w:val="clear" w:color="auto" w:fill="FFFFFF"/>
        </w:rPr>
        <w:t xml:space="preserve"> ≤.01, *** </w:t>
      </w:r>
      <w:r w:rsidRPr="0052682F">
        <w:rPr>
          <w:i/>
          <w:iCs/>
          <w:color w:val="202124"/>
          <w:shd w:val="clear" w:color="auto" w:fill="FFFFFF"/>
        </w:rPr>
        <w:t>p</w:t>
      </w:r>
      <w:r w:rsidRPr="0052682F">
        <w:rPr>
          <w:color w:val="202124"/>
          <w:shd w:val="clear" w:color="auto" w:fill="FFFFFF"/>
        </w:rPr>
        <w:t xml:space="preserve"> </w:t>
      </w:r>
      <w:r w:rsidRPr="0052682F">
        <w:t>&lt;</w:t>
      </w:r>
      <w:r w:rsidRPr="0052682F">
        <w:rPr>
          <w:color w:val="202124"/>
          <w:shd w:val="clear" w:color="auto" w:fill="FFFFFF"/>
        </w:rPr>
        <w:t>.001.</w:t>
      </w:r>
    </w:p>
    <w:p w14:paraId="7AB3BC8E" w14:textId="77777777" w:rsidR="00A81969" w:rsidRPr="00A81969" w:rsidRDefault="00A81969" w:rsidP="00A81969"/>
    <w:sectPr w:rsidR="00A81969" w:rsidRPr="00A81969"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D6350" w14:textId="77777777" w:rsidR="006F2718" w:rsidRDefault="006F2718" w:rsidP="00117666">
      <w:pPr>
        <w:spacing w:after="0"/>
      </w:pPr>
      <w:r>
        <w:separator/>
      </w:r>
    </w:p>
  </w:endnote>
  <w:endnote w:type="continuationSeparator" w:id="0">
    <w:p w14:paraId="08B57BEC" w14:textId="77777777" w:rsidR="006F2718" w:rsidRDefault="006F271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3694F" w14:textId="77777777" w:rsidR="006F2718" w:rsidRDefault="006F2718" w:rsidP="00117666">
      <w:pPr>
        <w:spacing w:after="0"/>
      </w:pPr>
      <w:r>
        <w:separator/>
      </w:r>
    </w:p>
  </w:footnote>
  <w:footnote w:type="continuationSeparator" w:id="0">
    <w:p w14:paraId="389CE5DE" w14:textId="77777777" w:rsidR="006F2718" w:rsidRDefault="006F271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394B89B4"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r w:rsidR="0092718C">
      <w:rPr>
        <w:rFonts w:cs="Times New Roman"/>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39E7"/>
    <w:rsid w:val="0001436A"/>
    <w:rsid w:val="00030EB9"/>
    <w:rsid w:val="00034304"/>
    <w:rsid w:val="00035434"/>
    <w:rsid w:val="00052A14"/>
    <w:rsid w:val="000652E5"/>
    <w:rsid w:val="00077D53"/>
    <w:rsid w:val="000C5976"/>
    <w:rsid w:val="000F0E80"/>
    <w:rsid w:val="00105FD9"/>
    <w:rsid w:val="001073FB"/>
    <w:rsid w:val="00117666"/>
    <w:rsid w:val="00132E17"/>
    <w:rsid w:val="001549D3"/>
    <w:rsid w:val="00160065"/>
    <w:rsid w:val="001720C9"/>
    <w:rsid w:val="0017234F"/>
    <w:rsid w:val="00177D84"/>
    <w:rsid w:val="001B624C"/>
    <w:rsid w:val="001D5D82"/>
    <w:rsid w:val="002331CE"/>
    <w:rsid w:val="0023682C"/>
    <w:rsid w:val="00267D18"/>
    <w:rsid w:val="00274347"/>
    <w:rsid w:val="00281DFB"/>
    <w:rsid w:val="002868E2"/>
    <w:rsid w:val="002869C3"/>
    <w:rsid w:val="002936E4"/>
    <w:rsid w:val="002B4A57"/>
    <w:rsid w:val="002B5926"/>
    <w:rsid w:val="002C74CA"/>
    <w:rsid w:val="002F05AB"/>
    <w:rsid w:val="002F2688"/>
    <w:rsid w:val="003078CF"/>
    <w:rsid w:val="003123F4"/>
    <w:rsid w:val="003544FB"/>
    <w:rsid w:val="003937D2"/>
    <w:rsid w:val="003B1F69"/>
    <w:rsid w:val="003C0A9D"/>
    <w:rsid w:val="003D2F2D"/>
    <w:rsid w:val="00401590"/>
    <w:rsid w:val="0042589E"/>
    <w:rsid w:val="004401AF"/>
    <w:rsid w:val="00447801"/>
    <w:rsid w:val="00452E9C"/>
    <w:rsid w:val="004735C8"/>
    <w:rsid w:val="004947A6"/>
    <w:rsid w:val="004961FF"/>
    <w:rsid w:val="004B3719"/>
    <w:rsid w:val="004D2A97"/>
    <w:rsid w:val="004E5AAD"/>
    <w:rsid w:val="00517A89"/>
    <w:rsid w:val="005250F2"/>
    <w:rsid w:val="0052682F"/>
    <w:rsid w:val="00553CD9"/>
    <w:rsid w:val="005665E8"/>
    <w:rsid w:val="00593EEA"/>
    <w:rsid w:val="005A5EEE"/>
    <w:rsid w:val="006063BA"/>
    <w:rsid w:val="006110F8"/>
    <w:rsid w:val="00622702"/>
    <w:rsid w:val="00624B12"/>
    <w:rsid w:val="006335F2"/>
    <w:rsid w:val="006375C7"/>
    <w:rsid w:val="006467FE"/>
    <w:rsid w:val="00654E8F"/>
    <w:rsid w:val="00660D05"/>
    <w:rsid w:val="00665B70"/>
    <w:rsid w:val="00674D9E"/>
    <w:rsid w:val="00677CFF"/>
    <w:rsid w:val="00680153"/>
    <w:rsid w:val="006820B1"/>
    <w:rsid w:val="006A3977"/>
    <w:rsid w:val="006B5CE9"/>
    <w:rsid w:val="006B7D14"/>
    <w:rsid w:val="006C473C"/>
    <w:rsid w:val="006F2718"/>
    <w:rsid w:val="00700EF2"/>
    <w:rsid w:val="00701727"/>
    <w:rsid w:val="0070566C"/>
    <w:rsid w:val="00714C50"/>
    <w:rsid w:val="00725A7D"/>
    <w:rsid w:val="0073026D"/>
    <w:rsid w:val="007423E6"/>
    <w:rsid w:val="007455E0"/>
    <w:rsid w:val="007501BE"/>
    <w:rsid w:val="00754A43"/>
    <w:rsid w:val="00757869"/>
    <w:rsid w:val="007774CB"/>
    <w:rsid w:val="007875DB"/>
    <w:rsid w:val="00790BB3"/>
    <w:rsid w:val="007C206C"/>
    <w:rsid w:val="007F405A"/>
    <w:rsid w:val="00817DD6"/>
    <w:rsid w:val="00831F80"/>
    <w:rsid w:val="0083759F"/>
    <w:rsid w:val="00885156"/>
    <w:rsid w:val="008D299D"/>
    <w:rsid w:val="009041B8"/>
    <w:rsid w:val="009151AA"/>
    <w:rsid w:val="0092718C"/>
    <w:rsid w:val="0093429D"/>
    <w:rsid w:val="00943573"/>
    <w:rsid w:val="00964134"/>
    <w:rsid w:val="00970F7D"/>
    <w:rsid w:val="00976BBB"/>
    <w:rsid w:val="009815B6"/>
    <w:rsid w:val="00994A3D"/>
    <w:rsid w:val="009C2B12"/>
    <w:rsid w:val="009F0E5F"/>
    <w:rsid w:val="00A1227A"/>
    <w:rsid w:val="00A174D9"/>
    <w:rsid w:val="00A36141"/>
    <w:rsid w:val="00A81969"/>
    <w:rsid w:val="00A82216"/>
    <w:rsid w:val="00A9283D"/>
    <w:rsid w:val="00AA4D24"/>
    <w:rsid w:val="00AB6715"/>
    <w:rsid w:val="00B1671E"/>
    <w:rsid w:val="00B25EB8"/>
    <w:rsid w:val="00B37F4D"/>
    <w:rsid w:val="00B442D1"/>
    <w:rsid w:val="00B519AA"/>
    <w:rsid w:val="00B9202C"/>
    <w:rsid w:val="00BA2A2E"/>
    <w:rsid w:val="00BC6081"/>
    <w:rsid w:val="00BD64DD"/>
    <w:rsid w:val="00BE3C83"/>
    <w:rsid w:val="00C52A7B"/>
    <w:rsid w:val="00C56BAF"/>
    <w:rsid w:val="00C62EDD"/>
    <w:rsid w:val="00C679AA"/>
    <w:rsid w:val="00C75972"/>
    <w:rsid w:val="00C83E57"/>
    <w:rsid w:val="00CC4516"/>
    <w:rsid w:val="00CD066B"/>
    <w:rsid w:val="00CD3774"/>
    <w:rsid w:val="00CE4FEE"/>
    <w:rsid w:val="00CE5308"/>
    <w:rsid w:val="00D060CF"/>
    <w:rsid w:val="00D44DE3"/>
    <w:rsid w:val="00D47DA6"/>
    <w:rsid w:val="00D72680"/>
    <w:rsid w:val="00D755F7"/>
    <w:rsid w:val="00D8010D"/>
    <w:rsid w:val="00D84309"/>
    <w:rsid w:val="00D958DC"/>
    <w:rsid w:val="00DA15F2"/>
    <w:rsid w:val="00DB3B17"/>
    <w:rsid w:val="00DB59C3"/>
    <w:rsid w:val="00DC00DB"/>
    <w:rsid w:val="00DC259A"/>
    <w:rsid w:val="00DC366F"/>
    <w:rsid w:val="00DE23E8"/>
    <w:rsid w:val="00E428D3"/>
    <w:rsid w:val="00E52377"/>
    <w:rsid w:val="00E537AD"/>
    <w:rsid w:val="00E64E17"/>
    <w:rsid w:val="00E7325A"/>
    <w:rsid w:val="00E74472"/>
    <w:rsid w:val="00E866C9"/>
    <w:rsid w:val="00E95940"/>
    <w:rsid w:val="00EA3D3C"/>
    <w:rsid w:val="00EC090A"/>
    <w:rsid w:val="00EC2D8D"/>
    <w:rsid w:val="00EC41E1"/>
    <w:rsid w:val="00EC7920"/>
    <w:rsid w:val="00ED20B5"/>
    <w:rsid w:val="00F128EC"/>
    <w:rsid w:val="00F4071F"/>
    <w:rsid w:val="00F42388"/>
    <w:rsid w:val="00F46900"/>
    <w:rsid w:val="00F512E9"/>
    <w:rsid w:val="00F61D89"/>
    <w:rsid w:val="00F80C0A"/>
    <w:rsid w:val="00F93AA8"/>
    <w:rsid w:val="00FB7E4D"/>
    <w:rsid w:val="00FD6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BA2A2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41736170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TotalTime>
  <Pages>7</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Oliver Wilks</cp:lastModifiedBy>
  <cp:revision>62</cp:revision>
  <cp:lastPrinted>2013-10-03T12:51:00Z</cp:lastPrinted>
  <dcterms:created xsi:type="dcterms:W3CDTF">2021-10-14T15:16:00Z</dcterms:created>
  <dcterms:modified xsi:type="dcterms:W3CDTF">2022-03-01T14:55:00Z</dcterms:modified>
</cp:coreProperties>
</file>