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9D36" w14:textId="77777777" w:rsidR="001F362C" w:rsidRPr="00B33F0D" w:rsidRDefault="001F362C" w:rsidP="00074F15">
      <w:pPr>
        <w:spacing w:afterLines="50" w:after="156"/>
        <w:jc w:val="left"/>
        <w:rPr>
          <w:rFonts w:ascii="Times New Roman" w:hAnsi="Times New Roman" w:cs="Times New Roman"/>
          <w:b/>
          <w:bCs/>
          <w:sz w:val="24"/>
          <w:szCs w:val="24"/>
        </w:rPr>
      </w:pPr>
      <w:r w:rsidRPr="00B33F0D">
        <w:rPr>
          <w:rFonts w:ascii="Times New Roman" w:hAnsi="Times New Roman" w:cs="Times New Roman"/>
          <w:b/>
          <w:bCs/>
          <w:sz w:val="24"/>
          <w:szCs w:val="24"/>
        </w:rPr>
        <w:t>The ecological meaning of plant-AMF network index</w:t>
      </w:r>
    </w:p>
    <w:p w14:paraId="42CEE3E7" w14:textId="65D87F33" w:rsidR="001F362C" w:rsidRDefault="001F362C" w:rsidP="00EC36CF">
      <w:pPr>
        <w:ind w:firstLine="420"/>
        <w:jc w:val="left"/>
        <w:rPr>
          <w:rFonts w:ascii="Times New Roman" w:hAnsi="Times New Roman" w:cs="Times New Roman"/>
          <w:sz w:val="24"/>
          <w:szCs w:val="24"/>
        </w:rPr>
      </w:pPr>
      <w:proofErr w:type="spellStart"/>
      <w:r w:rsidRPr="00B33F0D">
        <w:rPr>
          <w:rFonts w:ascii="Times New Roman" w:hAnsi="Times New Roman" w:cs="Times New Roman"/>
          <w:sz w:val="24"/>
          <w:szCs w:val="24"/>
        </w:rPr>
        <w:t>Connectance</w:t>
      </w:r>
      <w:proofErr w:type="spellEnd"/>
      <w:r w:rsidRPr="00B33F0D">
        <w:rPr>
          <w:rFonts w:ascii="Times New Roman" w:hAnsi="Times New Roman" w:cs="Times New Roman"/>
          <w:sz w:val="24"/>
          <w:szCs w:val="24"/>
        </w:rPr>
        <w:t xml:space="preserve"> was defined as the ratio of the total number of actual network connections to the total number of possible network connections</w:t>
      </w:r>
      <w:r>
        <w:rPr>
          <w:rFonts w:ascii="Times New Roman" w:hAnsi="Times New Roman" w:cs="Times New Roman"/>
          <w:sz w:val="24"/>
          <w:szCs w:val="24"/>
        </w:rPr>
        <w:t xml:space="preserve"> </w:t>
      </w:r>
      <w:r>
        <w:rPr>
          <w:rFonts w:ascii="Times New Roman" w:hAnsi="Times New Roman" w:cs="Times New Roman"/>
          <w:noProof/>
          <w:sz w:val="24"/>
          <w:szCs w:val="24"/>
        </w:rPr>
        <w:t>(Chen et al., 2017)</w:t>
      </w:r>
      <w:r w:rsidRPr="00B33F0D">
        <w:rPr>
          <w:rFonts w:ascii="Times New Roman" w:hAnsi="Times New Roman" w:cs="Times New Roman"/>
          <w:sz w:val="24"/>
          <w:szCs w:val="24"/>
        </w:rPr>
        <w:t xml:space="preserve">, where the species level matrix was calculated by weighted </w:t>
      </w:r>
      <w:proofErr w:type="spellStart"/>
      <w:r w:rsidRPr="00B33F0D">
        <w:rPr>
          <w:rFonts w:ascii="Times New Roman" w:hAnsi="Times New Roman" w:cs="Times New Roman"/>
          <w:sz w:val="24"/>
          <w:szCs w:val="24"/>
        </w:rPr>
        <w:t>connectance</w:t>
      </w:r>
      <w:proofErr w:type="spellEnd"/>
      <w:r w:rsidRPr="00B33F0D">
        <w:rPr>
          <w:rFonts w:ascii="Times New Roman" w:hAnsi="Times New Roman" w:cs="Times New Roman"/>
          <w:sz w:val="24"/>
          <w:szCs w:val="24"/>
        </w:rPr>
        <w:t xml:space="preserve">. The value of weighted </w:t>
      </w:r>
      <w:proofErr w:type="spellStart"/>
      <w:r w:rsidRPr="00B33F0D">
        <w:rPr>
          <w:rFonts w:ascii="Times New Roman" w:hAnsi="Times New Roman" w:cs="Times New Roman"/>
          <w:sz w:val="24"/>
          <w:szCs w:val="24"/>
        </w:rPr>
        <w:t>connectance</w:t>
      </w:r>
      <w:proofErr w:type="spellEnd"/>
      <w:r w:rsidRPr="00B33F0D">
        <w:rPr>
          <w:rFonts w:ascii="Times New Roman" w:hAnsi="Times New Roman" w:cs="Times New Roman"/>
          <w:sz w:val="24"/>
          <w:szCs w:val="24"/>
        </w:rPr>
        <w:t xml:space="preserve"> ranged from 0 (no association among species) to 1 (association among all species). Network </w:t>
      </w:r>
      <w:proofErr w:type="spellStart"/>
      <w:r w:rsidRPr="00B33F0D">
        <w:rPr>
          <w:rFonts w:ascii="Times New Roman" w:hAnsi="Times New Roman" w:cs="Times New Roman"/>
          <w:sz w:val="24"/>
          <w:szCs w:val="24"/>
        </w:rPr>
        <w:t>nestedness</w:t>
      </w:r>
      <w:proofErr w:type="spellEnd"/>
      <w:r w:rsidRPr="00B33F0D">
        <w:rPr>
          <w:rFonts w:ascii="Times New Roman" w:hAnsi="Times New Roman" w:cs="Times New Roman"/>
          <w:sz w:val="24"/>
          <w:szCs w:val="24"/>
        </w:rPr>
        <w:t xml:space="preserve"> was measured by weighted </w:t>
      </w:r>
      <w:proofErr w:type="spellStart"/>
      <w:r w:rsidRPr="00B33F0D">
        <w:rPr>
          <w:rFonts w:ascii="Times New Roman" w:hAnsi="Times New Roman" w:cs="Times New Roman"/>
          <w:sz w:val="24"/>
          <w:szCs w:val="24"/>
        </w:rPr>
        <w:t>nestedness</w:t>
      </w:r>
      <w:proofErr w:type="spellEnd"/>
      <w:r w:rsidRPr="00B33F0D">
        <w:rPr>
          <w:rFonts w:ascii="Times New Roman" w:hAnsi="Times New Roman" w:cs="Times New Roman"/>
          <w:sz w:val="24"/>
          <w:szCs w:val="24"/>
        </w:rPr>
        <w:t xml:space="preserve"> metric based on overlap and diminishing fill (WNODF). The concept of </w:t>
      </w:r>
      <w:proofErr w:type="spellStart"/>
      <w:r w:rsidRPr="00B33F0D">
        <w:rPr>
          <w:rFonts w:ascii="Times New Roman" w:hAnsi="Times New Roman" w:cs="Times New Roman"/>
          <w:sz w:val="24"/>
          <w:szCs w:val="24"/>
        </w:rPr>
        <w:t>nestedness</w:t>
      </w:r>
      <w:proofErr w:type="spellEnd"/>
      <w:r w:rsidRPr="00B33F0D">
        <w:rPr>
          <w:rFonts w:ascii="Times New Roman" w:hAnsi="Times New Roman" w:cs="Times New Roman"/>
          <w:sz w:val="24"/>
          <w:szCs w:val="24"/>
        </w:rPr>
        <w:t xml:space="preserve"> described a special interaction pattern, in which the species with less interaction was a subset of the species with more interaction</w:t>
      </w:r>
      <w:r>
        <w:rPr>
          <w:rFonts w:ascii="Times New Roman" w:hAnsi="Times New Roman" w:cs="Times New Roman"/>
          <w:sz w:val="24"/>
          <w:szCs w:val="24"/>
        </w:rPr>
        <w:t xml:space="preserve"> </w:t>
      </w:r>
      <w:r>
        <w:rPr>
          <w:rFonts w:ascii="Times New Roman" w:hAnsi="Times New Roman" w:cs="Times New Roman"/>
          <w:noProof/>
          <w:sz w:val="24"/>
          <w:szCs w:val="24"/>
        </w:rPr>
        <w:t>(Barberan et al., 2012)</w:t>
      </w:r>
      <w:r w:rsidRPr="00B33F0D">
        <w:rPr>
          <w:rFonts w:ascii="Times New Roman" w:hAnsi="Times New Roman" w:cs="Times New Roman"/>
          <w:sz w:val="24"/>
          <w:szCs w:val="24"/>
        </w:rPr>
        <w:t xml:space="preserve">. </w:t>
      </w:r>
      <w:proofErr w:type="spellStart"/>
      <w:r w:rsidRPr="00B33F0D">
        <w:rPr>
          <w:rFonts w:ascii="Times New Roman" w:hAnsi="Times New Roman" w:cs="Times New Roman"/>
          <w:sz w:val="24"/>
          <w:szCs w:val="24"/>
        </w:rPr>
        <w:t>Nestedness</w:t>
      </w:r>
      <w:proofErr w:type="spellEnd"/>
      <w:r w:rsidRPr="00B33F0D">
        <w:rPr>
          <w:rFonts w:ascii="Times New Roman" w:hAnsi="Times New Roman" w:cs="Times New Roman"/>
          <w:sz w:val="24"/>
          <w:szCs w:val="24"/>
        </w:rPr>
        <w:t xml:space="preserve"> mechanism could reduce interspecific competition and promote multi species coexistence, with high stability and durability </w:t>
      </w:r>
      <w:r>
        <w:rPr>
          <w:rFonts w:ascii="Times New Roman" w:hAnsi="Times New Roman" w:cs="Times New Roman"/>
          <w:noProof/>
          <w:sz w:val="24"/>
          <w:szCs w:val="24"/>
        </w:rPr>
        <w:t>(Bastolla et al., 2009)</w:t>
      </w:r>
      <w:r w:rsidRPr="00B33F0D">
        <w:rPr>
          <w:rFonts w:ascii="Times New Roman" w:hAnsi="Times New Roman" w:cs="Times New Roman"/>
          <w:sz w:val="24"/>
          <w:szCs w:val="24"/>
        </w:rPr>
        <w:t xml:space="preserve">. The value of WNODF ranged from 0 (completely random and disorder matrix) to 100 (fully nested structure). Modularity was a measure of the degree to which the network was divided into a small pattern of subset, in which the interaction density within a subset was higher than that between subsets </w:t>
      </w:r>
      <w:r>
        <w:rPr>
          <w:rFonts w:ascii="Times New Roman" w:hAnsi="Times New Roman" w:cs="Times New Roman"/>
          <w:noProof/>
          <w:sz w:val="24"/>
          <w:szCs w:val="24"/>
        </w:rPr>
        <w:t>(Olesen et al., 2007)</w:t>
      </w:r>
      <w:r w:rsidRPr="00B33F0D">
        <w:rPr>
          <w:rFonts w:ascii="Times New Roman" w:hAnsi="Times New Roman" w:cs="Times New Roman"/>
          <w:sz w:val="24"/>
          <w:szCs w:val="24"/>
        </w:rPr>
        <w:t xml:space="preserve">. The value of modularity was between 0 (random network without modularity) and 1 (maximum modularity). The specialization was indicated by </w:t>
      </w:r>
      <w:r w:rsidRPr="00CC24BA">
        <w:rPr>
          <w:rFonts w:ascii="Times New Roman" w:hAnsi="Times New Roman" w:cs="Times New Roman"/>
          <w:i/>
          <w:iCs/>
          <w:sz w:val="24"/>
          <w:szCs w:val="24"/>
        </w:rPr>
        <w:t>H</w:t>
      </w:r>
      <w:r w:rsidRPr="00CC24BA">
        <w:rPr>
          <w:rFonts w:ascii="Times New Roman" w:hAnsi="Times New Roman" w:cs="Times New Roman"/>
          <w:i/>
          <w:iCs/>
          <w:sz w:val="24"/>
          <w:szCs w:val="24"/>
          <w:vertAlign w:val="subscript"/>
        </w:rPr>
        <w:t>2</w:t>
      </w:r>
      <w:r w:rsidRPr="00CC24BA">
        <w:rPr>
          <w:rFonts w:ascii="Times New Roman" w:hAnsi="Times New Roman" w:cs="Times New Roman"/>
          <w:i/>
          <w:iCs/>
          <w:sz w:val="24"/>
          <w:szCs w:val="24"/>
        </w:rPr>
        <w:t>′</w:t>
      </w:r>
      <w:r w:rsidRPr="00B33F0D">
        <w:rPr>
          <w:rFonts w:ascii="Times New Roman" w:hAnsi="Times New Roman" w:cs="Times New Roman"/>
          <w:sz w:val="24"/>
          <w:szCs w:val="24"/>
        </w:rPr>
        <w:t xml:space="preserve"> index, and was estimated based on the deviation between the actual number of interactions of a species and the expected total number of interactions of each species </w:t>
      </w:r>
      <w:r>
        <w:rPr>
          <w:rFonts w:ascii="Times New Roman" w:hAnsi="Times New Roman" w:cs="Times New Roman"/>
          <w:noProof/>
          <w:sz w:val="24"/>
          <w:szCs w:val="24"/>
        </w:rPr>
        <w:t>(Bluthgen et al., 2006)</w:t>
      </w:r>
      <w:r w:rsidRPr="00B33F0D">
        <w:rPr>
          <w:rFonts w:ascii="Times New Roman" w:hAnsi="Times New Roman" w:cs="Times New Roman"/>
          <w:sz w:val="24"/>
          <w:szCs w:val="24"/>
        </w:rPr>
        <w:t xml:space="preserve">. For a given total number of interactions, H2′ ranged from 0 (no specialization) to 1 (full specialization). Species co-occurrence pattern was used Checkboard score to indicate the randomness of the distribution of two or more species in the habitat. It was an effective method to infer the potential interaction (competition or mutual benefit) between organisms </w:t>
      </w:r>
      <w:r>
        <w:rPr>
          <w:rFonts w:ascii="Times New Roman" w:hAnsi="Times New Roman" w:cs="Times New Roman"/>
          <w:noProof/>
          <w:sz w:val="24"/>
          <w:szCs w:val="24"/>
        </w:rPr>
        <w:t>(Stone and Roberts, 1990)</w:t>
      </w:r>
      <w:r w:rsidRPr="00B33F0D">
        <w:rPr>
          <w:rFonts w:ascii="Times New Roman" w:hAnsi="Times New Roman" w:cs="Times New Roman"/>
          <w:sz w:val="24"/>
          <w:szCs w:val="24"/>
        </w:rPr>
        <w:t>. When the Checkboard score was very low, it meant that the distribution of species was of high randomness, that was, the distribution of one species was not affected by the distribution of other species, and high Checkboard score corresponded to high-intensity interspecific competition.</w:t>
      </w:r>
    </w:p>
    <w:p w14:paraId="1609F31B" w14:textId="77777777" w:rsidR="001F362C" w:rsidRDefault="001F362C" w:rsidP="00CC24BA">
      <w:pPr>
        <w:jc w:val="left"/>
        <w:rPr>
          <w:rFonts w:ascii="Times New Roman" w:hAnsi="Times New Roman" w:cs="Times New Roman"/>
          <w:sz w:val="24"/>
          <w:szCs w:val="24"/>
        </w:rPr>
      </w:pPr>
    </w:p>
    <w:p w14:paraId="16C012A6" w14:textId="77777777" w:rsidR="001F362C" w:rsidRDefault="001F362C" w:rsidP="00CC24BA">
      <w:pPr>
        <w:widowControl/>
        <w:spacing w:after="240"/>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br w:type="page"/>
      </w:r>
    </w:p>
    <w:p w14:paraId="61983ADA" w14:textId="77777777" w:rsidR="001F362C" w:rsidRPr="00CC24BA" w:rsidRDefault="001F362C" w:rsidP="00CC24BA">
      <w:pPr>
        <w:widowControl/>
        <w:spacing w:after="240"/>
        <w:rPr>
          <w:rFonts w:ascii="Times New Roman" w:eastAsia="宋体" w:hAnsi="Times New Roman" w:cs="Times New Roman"/>
          <w:b/>
          <w:bCs/>
          <w:color w:val="000000"/>
          <w:kern w:val="0"/>
          <w:sz w:val="24"/>
          <w:szCs w:val="24"/>
        </w:rPr>
      </w:pPr>
      <w:r w:rsidRPr="004B2A0D">
        <w:rPr>
          <w:rFonts w:ascii="Times New Roman" w:eastAsia="宋体" w:hAnsi="Times New Roman" w:cs="Times New Roman"/>
          <w:b/>
          <w:bCs/>
          <w:color w:val="000000"/>
          <w:kern w:val="0"/>
          <w:sz w:val="24"/>
          <w:szCs w:val="24"/>
        </w:rPr>
        <w:lastRenderedPageBreak/>
        <w:t>REFERENCES</w:t>
      </w:r>
    </w:p>
    <w:p w14:paraId="64068D58" w14:textId="77777777" w:rsidR="00081FF9" w:rsidRDefault="001F362C" w:rsidP="00060972">
      <w:pPr>
        <w:pStyle w:val="EndNoteBibliography"/>
        <w:widowControl/>
        <w:spacing w:afterLines="50" w:after="156"/>
        <w:ind w:left="720" w:hanging="720"/>
        <w:jc w:val="both"/>
        <w:rPr>
          <w:rFonts w:cs="Times New Roman"/>
          <w:kern w:val="0"/>
          <w:szCs w:val="21"/>
        </w:rPr>
      </w:pPr>
      <w:r w:rsidRPr="009932FF">
        <w:rPr>
          <w:rFonts w:cs="Times New Roman"/>
          <w:kern w:val="0"/>
          <w:szCs w:val="21"/>
        </w:rPr>
        <w:t xml:space="preserve">Barberan, A., Bates, S.T., Casamayor, E.O., and Fierer, N. (2012). Using network analysis to explore co-occurrence patterns in soil microbial communities. </w:t>
      </w:r>
      <w:r w:rsidRPr="00074F15">
        <w:rPr>
          <w:rFonts w:cs="Times New Roman"/>
          <w:i/>
          <w:iCs/>
          <w:kern w:val="0"/>
          <w:szCs w:val="21"/>
        </w:rPr>
        <w:t>ISME J</w:t>
      </w:r>
      <w:r w:rsidRPr="009932FF">
        <w:rPr>
          <w:rFonts w:cs="Times New Roman"/>
          <w:kern w:val="0"/>
          <w:szCs w:val="21"/>
        </w:rPr>
        <w:t xml:space="preserve"> 6(2), 343-351. doi: 10.1038/ismej.2011.119.</w:t>
      </w:r>
    </w:p>
    <w:p w14:paraId="0731147C" w14:textId="679F4427" w:rsidR="001F362C" w:rsidRPr="009932FF" w:rsidRDefault="001F362C" w:rsidP="00060972">
      <w:pPr>
        <w:pStyle w:val="EndNoteBibliography"/>
        <w:widowControl/>
        <w:spacing w:afterLines="50" w:after="156"/>
        <w:ind w:left="720" w:hanging="720"/>
        <w:jc w:val="both"/>
        <w:rPr>
          <w:rFonts w:cs="Times New Roman"/>
          <w:kern w:val="0"/>
          <w:szCs w:val="21"/>
        </w:rPr>
      </w:pPr>
      <w:r w:rsidRPr="009932FF">
        <w:rPr>
          <w:rFonts w:cs="Times New Roman"/>
          <w:kern w:val="0"/>
          <w:szCs w:val="21"/>
        </w:rPr>
        <w:t xml:space="preserve">Bastolla, U., Fortuna, M.A., Pascual-Garcia, A., Ferrera, A., Luque, B., and Bascompte, J. (2009). The architecture of mutualistic networks minimizes competition and increases biodiversity. </w:t>
      </w:r>
      <w:r w:rsidRPr="00074F15">
        <w:rPr>
          <w:rFonts w:cs="Times New Roman"/>
          <w:i/>
          <w:iCs/>
          <w:kern w:val="0"/>
          <w:szCs w:val="21"/>
        </w:rPr>
        <w:t>Nature</w:t>
      </w:r>
      <w:r w:rsidRPr="009932FF">
        <w:rPr>
          <w:rFonts w:cs="Times New Roman"/>
          <w:kern w:val="0"/>
          <w:szCs w:val="21"/>
        </w:rPr>
        <w:t xml:space="preserve"> 458(7241), 1018-1020. doi: 10.1038/nature07950.</w:t>
      </w:r>
    </w:p>
    <w:p w14:paraId="00EB9F2F" w14:textId="77777777" w:rsidR="001F362C" w:rsidRPr="009932FF" w:rsidRDefault="001F362C" w:rsidP="00060972">
      <w:pPr>
        <w:pStyle w:val="EndNoteBibliography"/>
        <w:widowControl/>
        <w:spacing w:afterLines="50" w:after="156"/>
        <w:ind w:left="720" w:hanging="720"/>
        <w:jc w:val="both"/>
        <w:rPr>
          <w:rFonts w:cs="Times New Roman"/>
          <w:kern w:val="0"/>
          <w:szCs w:val="21"/>
        </w:rPr>
      </w:pPr>
      <w:r w:rsidRPr="009932FF">
        <w:rPr>
          <w:rFonts w:cs="Times New Roman"/>
          <w:kern w:val="0"/>
          <w:szCs w:val="21"/>
        </w:rPr>
        <w:t xml:space="preserve">Bluthgen, N., Menzel, F., and Bluthgen, N. (2006). Measuring specialization in species interaction networks. </w:t>
      </w:r>
      <w:r w:rsidRPr="00074F15">
        <w:rPr>
          <w:rFonts w:cs="Times New Roman"/>
          <w:i/>
          <w:iCs/>
          <w:kern w:val="0"/>
          <w:szCs w:val="21"/>
        </w:rPr>
        <w:t>BMC Ecol</w:t>
      </w:r>
      <w:r w:rsidRPr="009932FF">
        <w:rPr>
          <w:rFonts w:cs="Times New Roman"/>
          <w:kern w:val="0"/>
          <w:szCs w:val="21"/>
        </w:rPr>
        <w:t xml:space="preserve"> 6, 1-12. doi: 10.1186/1472-6785-6-9.</w:t>
      </w:r>
    </w:p>
    <w:p w14:paraId="6A468226" w14:textId="77777777" w:rsidR="001F362C" w:rsidRPr="009932FF" w:rsidRDefault="001F362C" w:rsidP="00060972">
      <w:pPr>
        <w:pStyle w:val="EndNoteBibliography"/>
        <w:widowControl/>
        <w:spacing w:afterLines="50" w:after="156"/>
        <w:ind w:left="720" w:hanging="720"/>
        <w:jc w:val="both"/>
        <w:rPr>
          <w:rFonts w:cs="Times New Roman"/>
          <w:kern w:val="0"/>
          <w:szCs w:val="21"/>
        </w:rPr>
      </w:pPr>
      <w:r w:rsidRPr="009932FF">
        <w:rPr>
          <w:rFonts w:cs="Times New Roman"/>
          <w:kern w:val="0"/>
          <w:szCs w:val="21"/>
        </w:rPr>
        <w:t xml:space="preserve">Chen, L., Zheng, Y., Gao, C., Mi, X.C., Ma, K.P., Wubet, T., et al. (2017). Phylogenetic relatedness explains highly interconnected and nested symbiotic networks of woody plants and arbuscular mycorrhizal fungi in a Chinese subtropical forest. </w:t>
      </w:r>
      <w:r w:rsidRPr="00074F15">
        <w:rPr>
          <w:rFonts w:cs="Times New Roman"/>
          <w:i/>
          <w:iCs/>
          <w:kern w:val="0"/>
          <w:szCs w:val="21"/>
        </w:rPr>
        <w:t>Mol Ecol</w:t>
      </w:r>
      <w:r w:rsidRPr="009932FF">
        <w:rPr>
          <w:rFonts w:cs="Times New Roman"/>
          <w:kern w:val="0"/>
          <w:szCs w:val="21"/>
        </w:rPr>
        <w:t xml:space="preserve"> 26(9), 2563-2575. doi: 10.1111/mec.14061.</w:t>
      </w:r>
    </w:p>
    <w:p w14:paraId="2DFBCEDD" w14:textId="77777777" w:rsidR="001F362C" w:rsidRPr="009932FF" w:rsidRDefault="001F362C" w:rsidP="00060972">
      <w:pPr>
        <w:pStyle w:val="EndNoteBibliography"/>
        <w:widowControl/>
        <w:spacing w:afterLines="50" w:after="156"/>
        <w:ind w:left="720" w:hanging="720"/>
        <w:jc w:val="both"/>
        <w:rPr>
          <w:rFonts w:cs="Times New Roman"/>
          <w:kern w:val="0"/>
          <w:szCs w:val="21"/>
        </w:rPr>
      </w:pPr>
      <w:r w:rsidRPr="009932FF">
        <w:rPr>
          <w:rFonts w:cs="Times New Roman"/>
          <w:kern w:val="0"/>
          <w:szCs w:val="21"/>
        </w:rPr>
        <w:t xml:space="preserve">Olesen, J.M., Bascompte, J., Dupont, Y.L., and Jordano, P. (2007). The modularity of pollination networks. </w:t>
      </w:r>
      <w:r w:rsidRPr="00074F15">
        <w:rPr>
          <w:rFonts w:cs="Times New Roman"/>
          <w:i/>
          <w:iCs/>
          <w:kern w:val="0"/>
          <w:szCs w:val="21"/>
        </w:rPr>
        <w:t>Proc. Natl. Acad. Sci. U.S.A.</w:t>
      </w:r>
      <w:r w:rsidRPr="009932FF">
        <w:rPr>
          <w:rFonts w:cs="Times New Roman"/>
          <w:kern w:val="0"/>
          <w:szCs w:val="21"/>
        </w:rPr>
        <w:t xml:space="preserve"> 104(50), 19891-19896. doi: 10.1073/pnas.0706375104.</w:t>
      </w:r>
    </w:p>
    <w:p w14:paraId="0F3FD20A" w14:textId="447CE881" w:rsidR="0097746C" w:rsidRPr="009932FF" w:rsidRDefault="001F362C" w:rsidP="00060972">
      <w:pPr>
        <w:pStyle w:val="EndNoteBibliography"/>
        <w:widowControl/>
        <w:spacing w:afterLines="50" w:after="156"/>
        <w:ind w:left="720" w:hanging="720"/>
        <w:jc w:val="both"/>
        <w:rPr>
          <w:rFonts w:cs="Times New Roman"/>
          <w:kern w:val="0"/>
          <w:szCs w:val="21"/>
        </w:rPr>
      </w:pPr>
      <w:r w:rsidRPr="009932FF">
        <w:rPr>
          <w:rFonts w:cs="Times New Roman"/>
          <w:kern w:val="0"/>
          <w:szCs w:val="21"/>
        </w:rPr>
        <w:t xml:space="preserve">Stone, L., and Roberts, A. (1990). The checkerboard score and species distributions. </w:t>
      </w:r>
      <w:r w:rsidRPr="00074F15">
        <w:rPr>
          <w:rFonts w:cs="Times New Roman"/>
          <w:i/>
          <w:iCs/>
          <w:kern w:val="0"/>
          <w:szCs w:val="21"/>
        </w:rPr>
        <w:t>Oecologia</w:t>
      </w:r>
      <w:r w:rsidRPr="009932FF">
        <w:rPr>
          <w:rFonts w:cs="Times New Roman"/>
          <w:kern w:val="0"/>
          <w:szCs w:val="21"/>
        </w:rPr>
        <w:t xml:space="preserve"> 85(1), 74-79. doi: 10.1007/bf00317345.</w:t>
      </w:r>
    </w:p>
    <w:sectPr w:rsidR="0097746C" w:rsidRPr="009932FF" w:rsidSect="001F362C">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F362C"/>
    <w:rsid w:val="00060972"/>
    <w:rsid w:val="00074F15"/>
    <w:rsid w:val="00081FF9"/>
    <w:rsid w:val="001F362C"/>
    <w:rsid w:val="0097746C"/>
    <w:rsid w:val="009932FF"/>
    <w:rsid w:val="00E5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24E1"/>
  <w15:chartTrackingRefBased/>
  <w15:docId w15:val="{7127822E-6E29-4370-8CA3-B57A79CD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6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6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362C"/>
    <w:rPr>
      <w:sz w:val="18"/>
      <w:szCs w:val="18"/>
    </w:rPr>
  </w:style>
  <w:style w:type="paragraph" w:styleId="a5">
    <w:name w:val="footer"/>
    <w:basedOn w:val="a"/>
    <w:link w:val="a6"/>
    <w:uiPriority w:val="99"/>
    <w:unhideWhenUsed/>
    <w:rsid w:val="001F362C"/>
    <w:pPr>
      <w:tabs>
        <w:tab w:val="center" w:pos="4153"/>
        <w:tab w:val="right" w:pos="8306"/>
      </w:tabs>
      <w:snapToGrid w:val="0"/>
      <w:jc w:val="left"/>
    </w:pPr>
    <w:rPr>
      <w:sz w:val="18"/>
      <w:szCs w:val="18"/>
    </w:rPr>
  </w:style>
  <w:style w:type="character" w:customStyle="1" w:styleId="a6">
    <w:name w:val="页脚 字符"/>
    <w:basedOn w:val="a0"/>
    <w:link w:val="a5"/>
    <w:uiPriority w:val="99"/>
    <w:rsid w:val="001F362C"/>
    <w:rPr>
      <w:sz w:val="18"/>
      <w:szCs w:val="18"/>
    </w:rPr>
  </w:style>
  <w:style w:type="character" w:styleId="a7">
    <w:name w:val="line number"/>
    <w:basedOn w:val="a0"/>
    <w:uiPriority w:val="99"/>
    <w:semiHidden/>
    <w:unhideWhenUsed/>
    <w:rsid w:val="001F362C"/>
  </w:style>
  <w:style w:type="paragraph" w:customStyle="1" w:styleId="EndNoteBibliographyTitle">
    <w:name w:val="EndNote Bibliography Title"/>
    <w:basedOn w:val="a"/>
    <w:link w:val="EndNoteBibliographyTitle0"/>
    <w:rsid w:val="001F362C"/>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1F362C"/>
    <w:rPr>
      <w:rFonts w:ascii="等线" w:eastAsia="等线" w:hAnsi="等线"/>
      <w:noProof/>
      <w:sz w:val="20"/>
    </w:rPr>
  </w:style>
  <w:style w:type="paragraph" w:customStyle="1" w:styleId="EndNoteBibliography">
    <w:name w:val="EndNote Bibliography"/>
    <w:basedOn w:val="a"/>
    <w:link w:val="EndNoteBibliography0"/>
    <w:qFormat/>
    <w:rsid w:val="001F362C"/>
    <w:pPr>
      <w:jc w:val="left"/>
    </w:pPr>
    <w:rPr>
      <w:rFonts w:ascii="等线" w:eastAsia="等线" w:hAnsi="等线"/>
      <w:noProof/>
      <w:sz w:val="20"/>
    </w:rPr>
  </w:style>
  <w:style w:type="character" w:customStyle="1" w:styleId="EndNoteBibliography0">
    <w:name w:val="EndNote Bibliography 字符"/>
    <w:basedOn w:val="a0"/>
    <w:link w:val="EndNoteBibliography"/>
    <w:rsid w:val="001F362C"/>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 强</dc:creator>
  <cp:keywords/>
  <dc:description/>
  <cp:lastModifiedBy>董 强</cp:lastModifiedBy>
  <cp:revision>6</cp:revision>
  <dcterms:created xsi:type="dcterms:W3CDTF">2021-10-29T04:23:00Z</dcterms:created>
  <dcterms:modified xsi:type="dcterms:W3CDTF">2021-10-29T04:42:00Z</dcterms:modified>
</cp:coreProperties>
</file>