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595C" w14:textId="7E9D2674" w:rsidR="00E12F6C" w:rsidRPr="004E0762" w:rsidRDefault="00E44175" w:rsidP="00E12F6C">
      <w:pPr>
        <w:autoSpaceDE w:val="0"/>
        <w:autoSpaceDN w:val="0"/>
        <w:bidi w:val="0"/>
        <w:adjustRightInd w:val="0"/>
        <w:spacing w:line="480" w:lineRule="auto"/>
        <w:rPr>
          <w:rFonts w:eastAsia="TimesNewRomanPSMT"/>
        </w:rPr>
      </w:pPr>
      <w:r w:rsidRPr="004E0762">
        <w:rPr>
          <w:b/>
          <w:bCs/>
        </w:rPr>
        <w:t>Supplementary 1</w:t>
      </w:r>
      <w:r w:rsidR="00E12F6C" w:rsidRPr="004E0762">
        <w:rPr>
          <w:b/>
          <w:bCs/>
        </w:rPr>
        <w:t xml:space="preserve">: </w:t>
      </w:r>
      <w:r w:rsidR="006C3D33" w:rsidRPr="004E0762">
        <w:rPr>
          <w:rFonts w:asciiTheme="majorBidi" w:hAnsiTheme="majorBidi" w:cstheme="majorBidi"/>
          <w:b/>
          <w:bCs/>
          <w:iCs/>
          <w:lang w:val="en-GB"/>
        </w:rPr>
        <w:t>The MOXO Continuous Performance Test (CPT)</w:t>
      </w:r>
      <w:r w:rsidR="00E12F6C" w:rsidRPr="004E0762">
        <w:t xml:space="preserve"> The study employed the MOXO-CPT</w:t>
      </w:r>
      <w:r w:rsidR="00E12F6C" w:rsidRPr="004E0762">
        <w:rPr>
          <w:rFonts w:asciiTheme="majorBidi" w:hAnsiTheme="majorBidi" w:cstheme="majorBidi"/>
          <w:vertAlign w:val="superscript"/>
          <w:lang w:val="en-GB"/>
        </w:rPr>
        <w:footnoteReference w:id="1"/>
      </w:r>
      <w:r w:rsidR="00E12F6C" w:rsidRPr="004E0762">
        <w:t xml:space="preserve"> version (Berger and </w:t>
      </w:r>
      <w:proofErr w:type="spellStart"/>
      <w:r w:rsidR="00E12F6C" w:rsidRPr="004E0762">
        <w:t>Goldzweig</w:t>
      </w:r>
      <w:proofErr w:type="spellEnd"/>
      <w:r w:rsidR="00E12F6C" w:rsidRPr="004E0762">
        <w:t xml:space="preserve">, 2010), a standardized computerized test designed to diagnose ADHD-related symptoms. Like other CPTs, the MOXO-CPT </w:t>
      </w:r>
      <w:r w:rsidR="00E12F6C" w:rsidRPr="004E0762">
        <w:rPr>
          <w:rFonts w:eastAsia="TimesNewRomanPSMT"/>
        </w:rPr>
        <w:t>measures sustained attention, omission and commission errors</w:t>
      </w:r>
      <w:r w:rsidR="006022BB" w:rsidRPr="004E0762">
        <w:rPr>
          <w:rFonts w:eastAsia="TimesNewRomanPSMT"/>
        </w:rPr>
        <w:t>,</w:t>
      </w:r>
      <w:r w:rsidR="00E12F6C" w:rsidRPr="004E0762">
        <w:rPr>
          <w:rFonts w:eastAsia="TimesNewRomanPSMT"/>
        </w:rPr>
        <w:t xml:space="preserve"> and response time. However, as detailed below, </w:t>
      </w:r>
      <w:r w:rsidR="00E12F6C" w:rsidRPr="004E0762">
        <w:rPr>
          <w:rFonts w:eastAsia="Helvetica"/>
        </w:rPr>
        <w:t xml:space="preserve">it differs from other CPTs in its ability to </w:t>
      </w:r>
      <w:r w:rsidR="00E12F6C" w:rsidRPr="004E0762">
        <w:t>differentiate between different types of disinhibited responses and between problems in response time and inattention.</w:t>
      </w:r>
      <w:r w:rsidR="00E12F6C" w:rsidRPr="004E0762">
        <w:rPr>
          <w:rFonts w:eastAsia="Helvetica"/>
        </w:rPr>
        <w:t xml:space="preserve"> Importantly, the test incorporates </w:t>
      </w:r>
      <w:r w:rsidR="00E12F6C" w:rsidRPr="004E0762">
        <w:t>external interfering stimuli</w:t>
      </w:r>
      <w:r w:rsidR="00E12F6C" w:rsidRPr="004E0762">
        <w:rPr>
          <w:rFonts w:eastAsia="Helvetica"/>
        </w:rPr>
        <w:t xml:space="preserve"> (auditory and visual) </w:t>
      </w:r>
      <w:r w:rsidR="00E12F6C" w:rsidRPr="004E0762">
        <w:rPr>
          <w:rFonts w:eastAsia="TimesNewRomanPSMT"/>
        </w:rPr>
        <w:t>serving as measurable distractors, a feature that is unique to the MOXO-CPT. The test’s validity and utility in distinguishing children and adolescents with ADHD from their typically developing peers were demonstrated in previous studies (</w:t>
      </w:r>
      <w:r w:rsidR="00E12F6C" w:rsidRPr="004E0762">
        <w:t xml:space="preserve">Berger et al., 2017; Berger and Cassuto, 2014; </w:t>
      </w:r>
      <w:proofErr w:type="spellStart"/>
      <w:r w:rsidR="00E12F6C" w:rsidRPr="004E0762">
        <w:t>Shahaf</w:t>
      </w:r>
      <w:proofErr w:type="spellEnd"/>
      <w:r w:rsidR="00E12F6C" w:rsidRPr="004E0762">
        <w:t xml:space="preserve"> et al., 2018).</w:t>
      </w:r>
    </w:p>
    <w:p w14:paraId="3DF4CA08" w14:textId="25739332"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i/>
          <w:iCs/>
        </w:rPr>
        <w:t xml:space="preserve">Test levels. </w:t>
      </w:r>
      <w:r w:rsidRPr="004E0762">
        <w:rPr>
          <w:rFonts w:eastAsia="TimesNewRomanPSMT"/>
        </w:rPr>
        <w:t xml:space="preserve">The test included eight levels (stages), each </w:t>
      </w:r>
      <w:r w:rsidR="006022BB" w:rsidRPr="004E0762">
        <w:rPr>
          <w:rFonts w:eastAsia="TimesNewRomanPSMT"/>
        </w:rPr>
        <w:t>consisting</w:t>
      </w:r>
      <w:r w:rsidRPr="004E0762">
        <w:rPr>
          <w:rFonts w:eastAsia="TimesNewRomanPSMT"/>
        </w:rPr>
        <w:t xml:space="preserve"> of 53 trials (33 target and 20 non-target stimuli) and lasted 114.15s. The total duration of the test was 15.2 min. On each trial, a stimulus (target or non-target) was presented in the middle of the screen for 0.5, 1, or 3 seconds and was followed by a “void” of the same length. Each stimulus remained on the screen for the full presentation time, regardless of whether a response was provided or not. This practice allows the measuring of response time as well as its accuracy. The child was instructed to respond to </w:t>
      </w:r>
      <w:r w:rsidR="006022BB" w:rsidRPr="004E0762">
        <w:rPr>
          <w:rFonts w:eastAsia="TimesNewRomanPSMT"/>
        </w:rPr>
        <w:t xml:space="preserve">the </w:t>
      </w:r>
      <w:r w:rsidRPr="004E0762">
        <w:rPr>
          <w:rFonts w:eastAsia="TimesNewRomanPSMT"/>
        </w:rPr>
        <w:t>target stimulus as quickly as possible by pressing the space bar once and only once. In addition, the child was instructed not to respond to any other stimuli but the target, and not to press any other key but the space bar.</w:t>
      </w:r>
    </w:p>
    <w:p w14:paraId="72F763CE"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i/>
          <w:iCs/>
        </w:rPr>
        <w:lastRenderedPageBreak/>
        <w:t>Test stimuli</w:t>
      </w:r>
      <w:r w:rsidRPr="004E0762">
        <w:rPr>
          <w:rFonts w:eastAsia="TimesNewRomanPSMT"/>
        </w:rPr>
        <w:t xml:space="preserve">. Target and non-target stimuli were cartoon pictures. Given that ADHD </w:t>
      </w:r>
      <w:r w:rsidRPr="004E0762">
        <w:rPr>
          <w:rStyle w:val="Emphasis"/>
          <w:shd w:val="clear" w:color="auto" w:fill="FFFFFF"/>
        </w:rPr>
        <w:t>often</w:t>
      </w:r>
      <w:r w:rsidRPr="004E0762">
        <w:rPr>
          <w:shd w:val="clear" w:color="auto" w:fill="FFFFFF"/>
        </w:rPr>
        <w:t xml:space="preserve"> co-occurs with </w:t>
      </w:r>
      <w:r w:rsidRPr="004E0762">
        <w:rPr>
          <w:rFonts w:eastAsia="TimesNewRomanPSMT"/>
        </w:rPr>
        <w:t xml:space="preserve">specific learning disabilities that may be confounded with CPT performance, all stimuli were free of letters or numbers (Seidman et al., 2001). Target stimulus was always a cartoon image of a child’s face. Non-target stimuli included five different images of animals. </w:t>
      </w:r>
    </w:p>
    <w:p w14:paraId="17BCB9F1"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i/>
          <w:iCs/>
        </w:rPr>
        <w:t>Distracting stimuli</w:t>
      </w:r>
      <w:r w:rsidRPr="004E0762">
        <w:rPr>
          <w:rFonts w:eastAsia="TimesNewRomanPSMT"/>
        </w:rPr>
        <w:t>. To improve the test’s ecological validity and to simulate the everyday environment, the MOXO-CPT incorporated visual and auditory distracting stimuli, that were not part of the non-target stimuli. Distractors’ onset was not synchronized with the onset of the target or the non-target stimuli.</w:t>
      </w:r>
    </w:p>
    <w:p w14:paraId="4FCAF03B" w14:textId="503BA21B" w:rsidR="00A50CEA" w:rsidRPr="004E0762" w:rsidRDefault="00E12F6C" w:rsidP="007231C3">
      <w:pPr>
        <w:autoSpaceDE w:val="0"/>
        <w:autoSpaceDN w:val="0"/>
        <w:bidi w:val="0"/>
        <w:adjustRightInd w:val="0"/>
        <w:spacing w:line="480" w:lineRule="auto"/>
        <w:rPr>
          <w:rFonts w:eastAsia="TimesNewRomanPSMT"/>
        </w:rPr>
      </w:pPr>
      <w:r w:rsidRPr="004E0762">
        <w:rPr>
          <w:rFonts w:eastAsia="TimesNewRomanPSMT"/>
        </w:rPr>
        <w:t xml:space="preserve">Distractors were short animated video clips with typical elements of the child’s everyday life. Overall, six different distractors were presented, each of them could appear as pure visual (e.g., birds moving their wings), pure auditory (e.g., birds singing), or as a combination of visual and auditory stimuli (birds singing and simultaneously moving their wings). Distractor presentation time varied between 3.5 and14.8 s, with a fixed interval of 0.5 s between two distractors. </w:t>
      </w:r>
      <w:r w:rsidR="007231C3" w:rsidRPr="004E0762">
        <w:rPr>
          <w:rFonts w:eastAsia="TimesNewRomanPSMT"/>
        </w:rPr>
        <w:t>Distractors</w:t>
      </w:r>
      <w:r w:rsidR="002A783B" w:rsidRPr="004E0762">
        <w:rPr>
          <w:rFonts w:eastAsia="TimesNewRomanPSMT"/>
        </w:rPr>
        <w:t xml:space="preserve"> were </w:t>
      </w:r>
      <w:r w:rsidR="007231C3" w:rsidRPr="004E0762">
        <w:rPr>
          <w:rFonts w:eastAsia="TimesNewRomanPSMT"/>
        </w:rPr>
        <w:t>p</w:t>
      </w:r>
      <w:r w:rsidR="002A783B" w:rsidRPr="004E0762">
        <w:rPr>
          <w:rFonts w:eastAsia="TimesNewRomanPSMT"/>
        </w:rPr>
        <w:t xml:space="preserve">resented </w:t>
      </w:r>
      <w:r w:rsidR="007231C3" w:rsidRPr="004E0762">
        <w:rPr>
          <w:rFonts w:eastAsia="TimesNewRomanPSMT"/>
        </w:rPr>
        <w:t>continuously</w:t>
      </w:r>
      <w:r w:rsidR="002A783B" w:rsidRPr="004E0762">
        <w:rPr>
          <w:rFonts w:eastAsia="TimesNewRomanPSMT"/>
        </w:rPr>
        <w:t xml:space="preserve"> </w:t>
      </w:r>
      <w:r w:rsidR="007231C3" w:rsidRPr="004E0762">
        <w:rPr>
          <w:rFonts w:eastAsia="TimesNewRomanPSMT"/>
        </w:rPr>
        <w:t xml:space="preserve">between </w:t>
      </w:r>
      <w:r w:rsidR="002A783B" w:rsidRPr="004E0762">
        <w:rPr>
          <w:rFonts w:eastAsia="TimesNewRomanPSMT"/>
        </w:rPr>
        <w:t>level</w:t>
      </w:r>
      <w:r w:rsidR="007231C3" w:rsidRPr="004E0762">
        <w:rPr>
          <w:rFonts w:eastAsia="TimesNewRomanPSMT"/>
        </w:rPr>
        <w:t xml:space="preserve"> </w:t>
      </w:r>
      <w:r w:rsidR="002A783B" w:rsidRPr="004E0762">
        <w:rPr>
          <w:rFonts w:eastAsia="TimesNewRomanPSMT"/>
        </w:rPr>
        <w:t>2</w:t>
      </w:r>
      <w:r w:rsidR="007231C3" w:rsidRPr="004E0762">
        <w:rPr>
          <w:rFonts w:eastAsia="TimesNewRomanPSMT"/>
        </w:rPr>
        <w:t xml:space="preserve"> and level </w:t>
      </w:r>
      <w:r w:rsidR="002A783B" w:rsidRPr="004E0762">
        <w:rPr>
          <w:rFonts w:eastAsia="TimesNewRomanPSMT"/>
        </w:rPr>
        <w:t>7 of the test</w:t>
      </w:r>
      <w:r w:rsidR="007231C3" w:rsidRPr="004E0762">
        <w:rPr>
          <w:rFonts w:eastAsia="TimesNewRomanPSMT"/>
        </w:rPr>
        <w:t xml:space="preserve">. </w:t>
      </w:r>
      <w:r w:rsidR="00A50CEA" w:rsidRPr="004E0762">
        <w:rPr>
          <w:rFonts w:eastAsia="TimesNewRomanPSMT"/>
        </w:rPr>
        <w:t>Visual distractors include six different stimuli: a gong (presented for 6.8s), a bowling ball (3.5s), birds (9.25s), a warrior (Jedi) with saber (14.8s), a saber (6.8s), and a flying airplane (8.6s).</w:t>
      </w:r>
    </w:p>
    <w:p w14:paraId="3E361FCD" w14:textId="62A785F5" w:rsidR="00E12F6C" w:rsidRPr="004E0762" w:rsidRDefault="00E12F6C" w:rsidP="00A50CEA">
      <w:pPr>
        <w:autoSpaceDE w:val="0"/>
        <w:autoSpaceDN w:val="0"/>
        <w:bidi w:val="0"/>
        <w:adjustRightInd w:val="0"/>
        <w:spacing w:line="480" w:lineRule="auto"/>
        <w:rPr>
          <w:rFonts w:eastAsia="TimesNewRomanPSMT"/>
          <w:rtl/>
        </w:rPr>
      </w:pPr>
      <w:r w:rsidRPr="004E0762">
        <w:rPr>
          <w:rFonts w:eastAsia="TimesNewRomanPSMT"/>
        </w:rPr>
        <w:t>Auditory distractors included the six corresponding sounds of the visual distractors.</w:t>
      </w:r>
    </w:p>
    <w:p w14:paraId="3D6EDFBA"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i/>
          <w:iCs/>
        </w:rPr>
        <w:t>Test levels</w:t>
      </w:r>
      <w:r w:rsidRPr="004E0762">
        <w:rPr>
          <w:rFonts w:eastAsia="TimesNewRomanPSMT"/>
        </w:rPr>
        <w:t xml:space="preserve">. The test included 8 levels, each included different distractors set: levels 1 and 8 did not include any distractors. Levels 2 and 3 included pure visual stimuli, levels 4 and 5 included pure auditory stimuli, and Levels 6 and 7 included a combination of visual and auditory stimuli. During levels 2, 4, and </w:t>
      </w:r>
      <w:proofErr w:type="gramStart"/>
      <w:r w:rsidRPr="004E0762">
        <w:rPr>
          <w:rFonts w:eastAsia="TimesNewRomanPSMT"/>
        </w:rPr>
        <w:t>6,  only</w:t>
      </w:r>
      <w:proofErr w:type="gramEnd"/>
      <w:r w:rsidRPr="004E0762">
        <w:rPr>
          <w:rFonts w:eastAsia="TimesNewRomanPSMT"/>
        </w:rPr>
        <w:t xml:space="preserve"> one distractor was presented at a time. During levels 3,5 and 7, two distractors were presented simultaneously. </w:t>
      </w:r>
    </w:p>
    <w:p w14:paraId="6189BDC2"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i/>
          <w:iCs/>
        </w:rPr>
        <w:t>Performance indices</w:t>
      </w:r>
      <w:r w:rsidRPr="004E0762">
        <w:rPr>
          <w:rFonts w:eastAsia="TimesNewRomanPSMT"/>
        </w:rPr>
        <w:t xml:space="preserve">—The MOXO-CPT measured four performance indices: </w:t>
      </w:r>
    </w:p>
    <w:p w14:paraId="7C41977C"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rPr>
        <w:lastRenderedPageBreak/>
        <w:t xml:space="preserve">Attention- The number of correct responses (pressing the key in response to a target stimulus), </w:t>
      </w:r>
      <w:r w:rsidRPr="004E0762">
        <w:t xml:space="preserve">which were conducted either during the stimulus presentation or during the void period that followed. This method allows the test to evaluate whether the participant responded correctly to the target (was attentive to the target) independently of his/her response time. The number of omission errors was also calculated (i.e., the number of times that the patient did not respond to a target stimulus). </w:t>
      </w:r>
      <w:r w:rsidRPr="004E0762">
        <w:rPr>
          <w:rFonts w:eastAsia="TimesNewRomanPSMT"/>
        </w:rPr>
        <w:t xml:space="preserve">The score in the Attention index was calculated as the average of correct responses throughout the eight test levels. </w:t>
      </w:r>
    </w:p>
    <w:p w14:paraId="7B5D7258" w14:textId="77777777" w:rsidR="00E12F6C" w:rsidRPr="004E0762" w:rsidRDefault="00E12F6C" w:rsidP="00E12F6C">
      <w:pPr>
        <w:autoSpaceDE w:val="0"/>
        <w:autoSpaceDN w:val="0"/>
        <w:bidi w:val="0"/>
        <w:adjustRightInd w:val="0"/>
        <w:spacing w:line="480" w:lineRule="auto"/>
        <w:rPr>
          <w:rFonts w:eastAsia="TimesNewRomanPSMT"/>
        </w:rPr>
      </w:pPr>
      <w:r w:rsidRPr="004E0762">
        <w:rPr>
          <w:rFonts w:eastAsia="TimesNewRomanPSMT"/>
        </w:rPr>
        <w:t xml:space="preserve">Timing- The number of correct responses </w:t>
      </w:r>
      <w:r w:rsidRPr="004E0762">
        <w:t>(pressing the key in response to a target stimulus)</w:t>
      </w:r>
      <w:r w:rsidRPr="004E0762">
        <w:rPr>
          <w:rFonts w:eastAsia="TimesNewRomanPSMT"/>
        </w:rPr>
        <w:t xml:space="preserve"> that were given while the target stimulus was still presented on the screen. </w:t>
      </w:r>
      <w:r w:rsidRPr="004E0762">
        <w:t>This index excluded responses that were performed during the void period (after the stimulus has disappeared). This method allowed the test to differentiate between the overall rate of correct responses (measured by the Attention index) and the rate of correct responses that were given only on good timing (measured by the Timing index). These two aspects of response time correspond to two different deficits typical to ADHD: a difficulty to provide an accurate response and difficulty to respond on time (National Institute of Mental Health, 2012)</w:t>
      </w:r>
      <w:r w:rsidRPr="004E0762">
        <w:rPr>
          <w:rFonts w:eastAsia="TimesNewRomanPSMT"/>
        </w:rPr>
        <w:t>.</w:t>
      </w:r>
    </w:p>
    <w:p w14:paraId="4AF89560" w14:textId="77777777" w:rsidR="00E12F6C" w:rsidRPr="00D823F5" w:rsidRDefault="00E12F6C" w:rsidP="00E12F6C">
      <w:pPr>
        <w:autoSpaceDE w:val="0"/>
        <w:autoSpaceDN w:val="0"/>
        <w:bidi w:val="0"/>
        <w:adjustRightInd w:val="0"/>
        <w:spacing w:line="480" w:lineRule="auto"/>
        <w:rPr>
          <w:rFonts w:eastAsia="TimesNewRomanPSMT"/>
        </w:rPr>
      </w:pPr>
      <w:r w:rsidRPr="004E0762">
        <w:rPr>
          <w:rFonts w:eastAsia="TimesNewRomanPSMT"/>
        </w:rPr>
        <w:t>The score in this index was calculated as the average</w:t>
      </w:r>
      <w:r w:rsidRPr="00D823F5">
        <w:rPr>
          <w:rFonts w:eastAsia="TimesNewRomanPSMT"/>
        </w:rPr>
        <w:t xml:space="preserve"> of correct responses while the target stimulus </w:t>
      </w:r>
      <w:r>
        <w:rPr>
          <w:rFonts w:eastAsia="TimesNewRomanPSMT"/>
        </w:rPr>
        <w:t xml:space="preserve">was </w:t>
      </w:r>
      <w:r w:rsidRPr="00D823F5">
        <w:rPr>
          <w:rFonts w:eastAsia="TimesNewRomanPSMT"/>
        </w:rPr>
        <w:t xml:space="preserve">still presented on the screen throughout the eight test levels. </w:t>
      </w:r>
    </w:p>
    <w:p w14:paraId="3D876402" w14:textId="77777777" w:rsidR="00E12F6C" w:rsidRPr="00D823F5" w:rsidRDefault="00E12F6C" w:rsidP="00E12F6C">
      <w:pPr>
        <w:autoSpaceDE w:val="0"/>
        <w:autoSpaceDN w:val="0"/>
        <w:bidi w:val="0"/>
        <w:adjustRightInd w:val="0"/>
        <w:spacing w:line="480" w:lineRule="auto"/>
        <w:rPr>
          <w:rFonts w:eastAsia="TimesNewRomanPSMT"/>
        </w:rPr>
      </w:pPr>
      <w:r w:rsidRPr="00D823F5">
        <w:rPr>
          <w:lang w:val="en-GB"/>
        </w:rPr>
        <w:t xml:space="preserve">Impulsivity - </w:t>
      </w:r>
      <w:r w:rsidRPr="00D823F5">
        <w:rPr>
          <w:rFonts w:eastAsia="TimesNewRomanPSMT"/>
        </w:rPr>
        <w:t xml:space="preserve">The number of commission errors performed only when a non-target stimulus </w:t>
      </w:r>
      <w:r>
        <w:rPr>
          <w:rFonts w:eastAsia="TimesNewRomanPSMT"/>
        </w:rPr>
        <w:t>wa</w:t>
      </w:r>
      <w:r w:rsidRPr="00D823F5">
        <w:rPr>
          <w:rFonts w:eastAsia="TimesNewRomanPSMT"/>
        </w:rPr>
        <w:t>s present on the screen.</w:t>
      </w:r>
      <w:r w:rsidRPr="00D823F5">
        <w:rPr>
          <w:lang w:val="en-GB"/>
        </w:rPr>
        <w:t xml:space="preserve"> </w:t>
      </w:r>
      <w:r>
        <w:rPr>
          <w:lang w:val="en-GB"/>
        </w:rPr>
        <w:t>O</w:t>
      </w:r>
      <w:r w:rsidRPr="00D823F5">
        <w:rPr>
          <w:lang w:val="en-GB"/>
        </w:rPr>
        <w:t xml:space="preserve">ther </w:t>
      </w:r>
      <w:r>
        <w:rPr>
          <w:lang w:val="en-GB"/>
        </w:rPr>
        <w:t xml:space="preserve">types of </w:t>
      </w:r>
      <w:r w:rsidRPr="00D823F5">
        <w:rPr>
          <w:lang w:val="en-GB"/>
        </w:rPr>
        <w:t xml:space="preserve">non-inhibited responses (e.g., pressing the keyboard more than once) were not </w:t>
      </w:r>
      <w:r>
        <w:rPr>
          <w:lang w:val="en-GB"/>
        </w:rPr>
        <w:t>considered</w:t>
      </w:r>
      <w:r w:rsidRPr="00D823F5">
        <w:rPr>
          <w:lang w:val="en-GB"/>
        </w:rPr>
        <w:t xml:space="preserve"> </w:t>
      </w:r>
      <w:r>
        <w:rPr>
          <w:lang w:val="en-GB"/>
        </w:rPr>
        <w:t xml:space="preserve">as </w:t>
      </w:r>
      <w:r w:rsidRPr="00D823F5">
        <w:rPr>
          <w:lang w:val="en-GB"/>
        </w:rPr>
        <w:t>impulsive responses (as will describe in the next paragraph).</w:t>
      </w:r>
      <w:r w:rsidRPr="00D823F5">
        <w:rPr>
          <w:rFonts w:eastAsia="TimesNewRomanPSMT"/>
        </w:rPr>
        <w:t xml:space="preserve"> Score in this index was calculated as the average of impulsive responses throughout the eight test levels. </w:t>
      </w:r>
    </w:p>
    <w:p w14:paraId="0E147C4B" w14:textId="03A5414B" w:rsidR="00E12F6C" w:rsidRDefault="00E12F6C" w:rsidP="00E12F6C">
      <w:pPr>
        <w:autoSpaceDE w:val="0"/>
        <w:autoSpaceDN w:val="0"/>
        <w:bidi w:val="0"/>
        <w:adjustRightInd w:val="0"/>
        <w:spacing w:line="480" w:lineRule="auto"/>
        <w:rPr>
          <w:rFonts w:eastAsia="TimesNewRomanPSMT"/>
        </w:rPr>
      </w:pPr>
      <w:r w:rsidRPr="00D823F5">
        <w:rPr>
          <w:rFonts w:eastAsia="TimesNewRomanPSMT"/>
        </w:rPr>
        <w:lastRenderedPageBreak/>
        <w:t xml:space="preserve">Hyperactivity- The </w:t>
      </w:r>
      <w:r>
        <w:rPr>
          <w:rFonts w:eastAsia="TimesNewRomanPSMT"/>
        </w:rPr>
        <w:t xml:space="preserve">total </w:t>
      </w:r>
      <w:r w:rsidRPr="00D823F5">
        <w:rPr>
          <w:rFonts w:eastAsia="TimesNewRomanPSMT"/>
        </w:rPr>
        <w:t xml:space="preserve">number of commission responses that </w:t>
      </w:r>
      <w:r>
        <w:rPr>
          <w:rFonts w:eastAsia="TimesNewRomanPSMT"/>
        </w:rPr>
        <w:t>were</w:t>
      </w:r>
      <w:r w:rsidRPr="00D823F5">
        <w:rPr>
          <w:rFonts w:eastAsia="TimesNewRomanPSMT"/>
        </w:rPr>
        <w:t xml:space="preserve"> not coded as impulsive responses (e.g., multiple responses, random key pressing</w:t>
      </w:r>
      <w:r>
        <w:rPr>
          <w:rFonts w:eastAsia="TimesNewRomanPSMT"/>
        </w:rPr>
        <w:t xml:space="preserve">). </w:t>
      </w:r>
      <w:r>
        <w:rPr>
          <w:lang w:val="en-GB"/>
        </w:rPr>
        <w:t>Differentiating between</w:t>
      </w:r>
      <w:r w:rsidRPr="00D823F5">
        <w:rPr>
          <w:lang w:val="en-GB"/>
        </w:rPr>
        <w:t xml:space="preserve"> commission errors </w:t>
      </w:r>
      <w:r>
        <w:rPr>
          <w:lang w:val="en-GB"/>
        </w:rPr>
        <w:t xml:space="preserve">that were conducted </w:t>
      </w:r>
      <w:r w:rsidRPr="00D823F5">
        <w:rPr>
          <w:lang w:val="en-GB"/>
        </w:rPr>
        <w:t xml:space="preserve">due to impulsive </w:t>
      </w:r>
      <w:r w:rsidR="000C5D0D" w:rsidRPr="00D823F5">
        <w:rPr>
          <w:lang w:val="en-GB"/>
        </w:rPr>
        <w:t>behaviour</w:t>
      </w:r>
      <w:r w:rsidRPr="00D823F5">
        <w:rPr>
          <w:lang w:val="en-GB"/>
        </w:rPr>
        <w:t xml:space="preserve"> </w:t>
      </w:r>
      <w:r>
        <w:rPr>
          <w:lang w:val="en-GB"/>
        </w:rPr>
        <w:t xml:space="preserve">and </w:t>
      </w:r>
      <w:r w:rsidRPr="00D823F5">
        <w:rPr>
          <w:lang w:val="en-GB"/>
        </w:rPr>
        <w:t xml:space="preserve">commission errors </w:t>
      </w:r>
      <w:r>
        <w:rPr>
          <w:lang w:val="en-GB"/>
        </w:rPr>
        <w:t xml:space="preserve">that were conducted </w:t>
      </w:r>
      <w:r w:rsidRPr="00D823F5">
        <w:rPr>
          <w:lang w:val="en-GB"/>
        </w:rPr>
        <w:t>due to motor hyper-responsivity</w:t>
      </w:r>
      <w:r>
        <w:rPr>
          <w:lang w:val="en-GB"/>
        </w:rPr>
        <w:t xml:space="preserve"> allowed the identification of</w:t>
      </w:r>
      <w:r w:rsidRPr="00D823F5">
        <w:rPr>
          <w:lang w:val="en-GB"/>
        </w:rPr>
        <w:t xml:space="preserve"> multiple sources of response disinhibition. </w:t>
      </w:r>
      <w:r w:rsidR="000C5D0D">
        <w:rPr>
          <w:rFonts w:eastAsia="TimesNewRomanPSMT"/>
        </w:rPr>
        <w:t>The score</w:t>
      </w:r>
      <w:r w:rsidRPr="00D823F5">
        <w:rPr>
          <w:rFonts w:eastAsia="TimesNewRomanPSMT"/>
        </w:rPr>
        <w:t xml:space="preserve"> in this index was calculated as the average of hyperactive responses </w:t>
      </w:r>
      <w:r>
        <w:rPr>
          <w:rFonts w:eastAsia="TimesNewRomanPSMT"/>
        </w:rPr>
        <w:t xml:space="preserve">in </w:t>
      </w:r>
      <w:r w:rsidRPr="00D823F5">
        <w:rPr>
          <w:rFonts w:eastAsia="TimesNewRomanPSMT"/>
        </w:rPr>
        <w:t>the eight test levels.</w:t>
      </w:r>
    </w:p>
    <w:p w14:paraId="75C68E9E" w14:textId="5D5A4253" w:rsidR="004E0762" w:rsidRDefault="004E0762" w:rsidP="004E0762">
      <w:pPr>
        <w:autoSpaceDE w:val="0"/>
        <w:autoSpaceDN w:val="0"/>
        <w:bidi w:val="0"/>
        <w:adjustRightInd w:val="0"/>
        <w:spacing w:line="480" w:lineRule="auto"/>
        <w:rPr>
          <w:rFonts w:eastAsia="TimesNewRomanPSMT"/>
        </w:rPr>
      </w:pPr>
    </w:p>
    <w:p w14:paraId="6AAF5EF7" w14:textId="64DB0A63" w:rsidR="004E0762" w:rsidRDefault="004E0762" w:rsidP="004E0762">
      <w:pPr>
        <w:autoSpaceDE w:val="0"/>
        <w:autoSpaceDN w:val="0"/>
        <w:bidi w:val="0"/>
        <w:adjustRightInd w:val="0"/>
        <w:spacing w:line="480" w:lineRule="auto"/>
        <w:rPr>
          <w:rFonts w:eastAsia="TimesNewRomanPSMT"/>
        </w:rPr>
      </w:pPr>
    </w:p>
    <w:p w14:paraId="422A5DF1" w14:textId="6E62C88E" w:rsidR="004E0762" w:rsidRDefault="004E0762" w:rsidP="004E0762">
      <w:pPr>
        <w:autoSpaceDE w:val="0"/>
        <w:autoSpaceDN w:val="0"/>
        <w:bidi w:val="0"/>
        <w:adjustRightInd w:val="0"/>
        <w:spacing w:line="480" w:lineRule="auto"/>
        <w:rPr>
          <w:rFonts w:eastAsia="TimesNewRomanPSMT"/>
        </w:rPr>
      </w:pPr>
    </w:p>
    <w:p w14:paraId="5EB4DFE7" w14:textId="5BFE858C" w:rsidR="004E0762" w:rsidRDefault="004E0762" w:rsidP="004E0762">
      <w:pPr>
        <w:autoSpaceDE w:val="0"/>
        <w:autoSpaceDN w:val="0"/>
        <w:bidi w:val="0"/>
        <w:adjustRightInd w:val="0"/>
        <w:spacing w:line="480" w:lineRule="auto"/>
        <w:rPr>
          <w:rFonts w:eastAsia="TimesNewRomanPSMT"/>
        </w:rPr>
      </w:pPr>
    </w:p>
    <w:p w14:paraId="4E562386" w14:textId="599DB973" w:rsidR="004E0762" w:rsidRDefault="004E0762" w:rsidP="004E0762">
      <w:pPr>
        <w:autoSpaceDE w:val="0"/>
        <w:autoSpaceDN w:val="0"/>
        <w:bidi w:val="0"/>
        <w:adjustRightInd w:val="0"/>
        <w:spacing w:line="480" w:lineRule="auto"/>
        <w:rPr>
          <w:rFonts w:eastAsia="TimesNewRomanPSMT"/>
        </w:rPr>
      </w:pPr>
    </w:p>
    <w:p w14:paraId="12E04E97" w14:textId="4233BA37" w:rsidR="004E0762" w:rsidRDefault="004E0762" w:rsidP="004E0762">
      <w:pPr>
        <w:autoSpaceDE w:val="0"/>
        <w:autoSpaceDN w:val="0"/>
        <w:bidi w:val="0"/>
        <w:adjustRightInd w:val="0"/>
        <w:spacing w:line="480" w:lineRule="auto"/>
        <w:rPr>
          <w:rFonts w:eastAsia="TimesNewRomanPSMT"/>
        </w:rPr>
      </w:pPr>
    </w:p>
    <w:p w14:paraId="557BB522" w14:textId="05E0BB70" w:rsidR="004E0762" w:rsidRDefault="004E0762" w:rsidP="004E0762">
      <w:pPr>
        <w:autoSpaceDE w:val="0"/>
        <w:autoSpaceDN w:val="0"/>
        <w:bidi w:val="0"/>
        <w:adjustRightInd w:val="0"/>
        <w:spacing w:line="480" w:lineRule="auto"/>
        <w:rPr>
          <w:rFonts w:eastAsia="TimesNewRomanPSMT"/>
        </w:rPr>
      </w:pPr>
    </w:p>
    <w:p w14:paraId="19836240" w14:textId="605CEB51" w:rsidR="004E0762" w:rsidRDefault="004E0762" w:rsidP="004E0762">
      <w:pPr>
        <w:autoSpaceDE w:val="0"/>
        <w:autoSpaceDN w:val="0"/>
        <w:bidi w:val="0"/>
        <w:adjustRightInd w:val="0"/>
        <w:spacing w:line="480" w:lineRule="auto"/>
        <w:rPr>
          <w:rFonts w:eastAsia="TimesNewRomanPSMT"/>
        </w:rPr>
      </w:pPr>
    </w:p>
    <w:p w14:paraId="67BC79DC" w14:textId="449BDB4B" w:rsidR="004E0762" w:rsidRDefault="004E0762" w:rsidP="004E0762">
      <w:pPr>
        <w:autoSpaceDE w:val="0"/>
        <w:autoSpaceDN w:val="0"/>
        <w:bidi w:val="0"/>
        <w:adjustRightInd w:val="0"/>
        <w:spacing w:line="480" w:lineRule="auto"/>
        <w:rPr>
          <w:rFonts w:eastAsia="TimesNewRomanPSMT"/>
        </w:rPr>
      </w:pPr>
    </w:p>
    <w:p w14:paraId="2A389514" w14:textId="57BBE905" w:rsidR="004E0762" w:rsidRDefault="004E0762" w:rsidP="004E0762">
      <w:pPr>
        <w:autoSpaceDE w:val="0"/>
        <w:autoSpaceDN w:val="0"/>
        <w:bidi w:val="0"/>
        <w:adjustRightInd w:val="0"/>
        <w:spacing w:line="480" w:lineRule="auto"/>
        <w:rPr>
          <w:rFonts w:eastAsia="TimesNewRomanPSMT"/>
        </w:rPr>
      </w:pPr>
    </w:p>
    <w:p w14:paraId="5EE74CF7" w14:textId="6A808C00" w:rsidR="004E0762" w:rsidRDefault="004E0762" w:rsidP="004E0762">
      <w:pPr>
        <w:autoSpaceDE w:val="0"/>
        <w:autoSpaceDN w:val="0"/>
        <w:bidi w:val="0"/>
        <w:adjustRightInd w:val="0"/>
        <w:spacing w:line="480" w:lineRule="auto"/>
        <w:rPr>
          <w:rFonts w:eastAsia="TimesNewRomanPSMT"/>
        </w:rPr>
      </w:pPr>
    </w:p>
    <w:p w14:paraId="6087C7E5" w14:textId="540C8B9C" w:rsidR="004E0762" w:rsidRDefault="004E0762" w:rsidP="004E0762">
      <w:pPr>
        <w:autoSpaceDE w:val="0"/>
        <w:autoSpaceDN w:val="0"/>
        <w:bidi w:val="0"/>
        <w:adjustRightInd w:val="0"/>
        <w:spacing w:line="480" w:lineRule="auto"/>
        <w:rPr>
          <w:rFonts w:eastAsia="TimesNewRomanPSMT"/>
        </w:rPr>
      </w:pPr>
    </w:p>
    <w:p w14:paraId="0054BD56" w14:textId="4DF041AA" w:rsidR="004E0762" w:rsidRDefault="004E0762" w:rsidP="004E0762">
      <w:pPr>
        <w:autoSpaceDE w:val="0"/>
        <w:autoSpaceDN w:val="0"/>
        <w:bidi w:val="0"/>
        <w:adjustRightInd w:val="0"/>
        <w:spacing w:line="480" w:lineRule="auto"/>
        <w:rPr>
          <w:rFonts w:eastAsia="TimesNewRomanPSMT"/>
        </w:rPr>
      </w:pPr>
    </w:p>
    <w:p w14:paraId="15140428" w14:textId="3BF03BE3" w:rsidR="004E0762" w:rsidRDefault="004E0762" w:rsidP="004E0762">
      <w:pPr>
        <w:autoSpaceDE w:val="0"/>
        <w:autoSpaceDN w:val="0"/>
        <w:bidi w:val="0"/>
        <w:adjustRightInd w:val="0"/>
        <w:spacing w:line="480" w:lineRule="auto"/>
        <w:rPr>
          <w:rFonts w:eastAsia="TimesNewRomanPSMT"/>
        </w:rPr>
      </w:pPr>
    </w:p>
    <w:p w14:paraId="0A3646A4" w14:textId="5F40A684" w:rsidR="004E0762" w:rsidRDefault="004E0762" w:rsidP="004E0762">
      <w:pPr>
        <w:autoSpaceDE w:val="0"/>
        <w:autoSpaceDN w:val="0"/>
        <w:bidi w:val="0"/>
        <w:adjustRightInd w:val="0"/>
        <w:spacing w:line="480" w:lineRule="auto"/>
        <w:rPr>
          <w:rFonts w:eastAsia="TimesNewRomanPSMT"/>
        </w:rPr>
      </w:pPr>
    </w:p>
    <w:p w14:paraId="4E4104D9" w14:textId="2F63CC14" w:rsidR="004E0762" w:rsidRDefault="004E0762" w:rsidP="004E0762">
      <w:pPr>
        <w:autoSpaceDE w:val="0"/>
        <w:autoSpaceDN w:val="0"/>
        <w:bidi w:val="0"/>
        <w:adjustRightInd w:val="0"/>
        <w:spacing w:line="480" w:lineRule="auto"/>
        <w:rPr>
          <w:rFonts w:eastAsia="TimesNewRomanPSMT"/>
        </w:rPr>
      </w:pPr>
    </w:p>
    <w:p w14:paraId="2298ED8A" w14:textId="5FDD8B8A" w:rsidR="004E0762" w:rsidRDefault="004E0762" w:rsidP="004E0762">
      <w:pPr>
        <w:autoSpaceDE w:val="0"/>
        <w:autoSpaceDN w:val="0"/>
        <w:bidi w:val="0"/>
        <w:adjustRightInd w:val="0"/>
        <w:spacing w:line="480" w:lineRule="auto"/>
        <w:rPr>
          <w:rFonts w:eastAsia="TimesNewRomanPSMT"/>
        </w:rPr>
      </w:pPr>
    </w:p>
    <w:p w14:paraId="513F271E" w14:textId="7ECC78A5" w:rsidR="004E0762" w:rsidRDefault="004E0762" w:rsidP="004E0762">
      <w:pPr>
        <w:autoSpaceDE w:val="0"/>
        <w:autoSpaceDN w:val="0"/>
        <w:bidi w:val="0"/>
        <w:adjustRightInd w:val="0"/>
        <w:spacing w:line="480" w:lineRule="auto"/>
        <w:rPr>
          <w:rFonts w:eastAsia="TimesNewRomanPSMT"/>
        </w:rPr>
      </w:pPr>
    </w:p>
    <w:p w14:paraId="053D4E7A" w14:textId="1BF84D9A" w:rsidR="004E0762" w:rsidRDefault="004E0762" w:rsidP="004E0762">
      <w:pPr>
        <w:autoSpaceDE w:val="0"/>
        <w:autoSpaceDN w:val="0"/>
        <w:bidi w:val="0"/>
        <w:adjustRightInd w:val="0"/>
        <w:spacing w:line="480" w:lineRule="auto"/>
        <w:rPr>
          <w:rFonts w:eastAsia="TimesNewRomanPSMT"/>
        </w:rPr>
      </w:pPr>
    </w:p>
    <w:p w14:paraId="7EA00CDF" w14:textId="77777777" w:rsidR="004E0762" w:rsidRPr="004E0762" w:rsidRDefault="004E0762" w:rsidP="004E0762">
      <w:pPr>
        <w:bidi w:val="0"/>
        <w:spacing w:after="160" w:line="259" w:lineRule="auto"/>
        <w:rPr>
          <w:b/>
          <w:bCs/>
        </w:rPr>
      </w:pPr>
      <w:r w:rsidRPr="004E0762">
        <w:rPr>
          <w:b/>
          <w:bCs/>
        </w:rPr>
        <w:lastRenderedPageBreak/>
        <w:t xml:space="preserve">Supplementary 2: </w:t>
      </w:r>
      <w:r w:rsidRPr="004E0762">
        <w:t xml:space="preserve">Pearson correlations matrix between children’s </w:t>
      </w:r>
      <w:r w:rsidRPr="004E0762">
        <w:rPr>
          <w:rFonts w:hint="cs"/>
          <w:rtl/>
        </w:rPr>
        <w:t>self-report</w:t>
      </w:r>
      <w:r w:rsidRPr="004E0762">
        <w:t xml:space="preserve"> of attention (continuous variable), parent- and teacher- reports of ADHD-related symptoms, and CPT data</w:t>
      </w:r>
      <w:r w:rsidRPr="004E0762">
        <w:rPr>
          <w:b/>
          <w:bCs/>
        </w:rPr>
        <w:t xml:space="preserve"> </w:t>
      </w:r>
    </w:p>
    <w:p w14:paraId="5D1ACFFB" w14:textId="77777777" w:rsidR="004E0762" w:rsidRPr="004E0762" w:rsidRDefault="004E0762" w:rsidP="004E0762">
      <w:pPr>
        <w:bidi w:val="0"/>
        <w:spacing w:line="480" w:lineRule="auto"/>
        <w:rPr>
          <w:b/>
          <w:bCs/>
        </w:rPr>
      </w:pPr>
    </w:p>
    <w:tbl>
      <w:tblPr>
        <w:tblStyle w:val="TableGrid1"/>
        <w:tblW w:w="3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350"/>
        <w:gridCol w:w="1100"/>
      </w:tblGrid>
      <w:tr w:rsidR="004E0762" w:rsidRPr="004E0762" w14:paraId="5B8BBF66" w14:textId="77777777" w:rsidTr="00BA0A7E">
        <w:trPr>
          <w:gridAfter w:val="1"/>
          <w:wAfter w:w="1100" w:type="dxa"/>
        </w:trPr>
        <w:tc>
          <w:tcPr>
            <w:tcW w:w="1083" w:type="dxa"/>
            <w:tcBorders>
              <w:bottom w:val="single" w:sz="4" w:space="0" w:color="auto"/>
            </w:tcBorders>
          </w:tcPr>
          <w:p w14:paraId="68A9AB85" w14:textId="77777777" w:rsidR="004E0762" w:rsidRPr="004E0762" w:rsidRDefault="004E0762" w:rsidP="004E0762">
            <w:pPr>
              <w:bidi w:val="0"/>
              <w:spacing w:line="480" w:lineRule="auto"/>
              <w:rPr>
                <w:sz w:val="20"/>
                <w:szCs w:val="20"/>
              </w:rPr>
            </w:pPr>
          </w:p>
        </w:tc>
        <w:tc>
          <w:tcPr>
            <w:tcW w:w="1350" w:type="dxa"/>
            <w:tcBorders>
              <w:bottom w:val="single" w:sz="4" w:space="0" w:color="auto"/>
            </w:tcBorders>
          </w:tcPr>
          <w:p w14:paraId="5025F744" w14:textId="77777777" w:rsidR="004E0762" w:rsidRPr="004E0762" w:rsidRDefault="004E0762" w:rsidP="004E0762">
            <w:pPr>
              <w:bidi w:val="0"/>
              <w:spacing w:line="480" w:lineRule="auto"/>
              <w:rPr>
                <w:sz w:val="20"/>
                <w:szCs w:val="20"/>
              </w:rPr>
            </w:pPr>
            <w:r w:rsidRPr="004E0762">
              <w:rPr>
                <w:sz w:val="20"/>
                <w:szCs w:val="20"/>
              </w:rPr>
              <w:t>Children’s self-report of attention problems</w:t>
            </w:r>
          </w:p>
        </w:tc>
      </w:tr>
      <w:tr w:rsidR="004E0762" w:rsidRPr="004E0762" w14:paraId="258BB628" w14:textId="77777777" w:rsidTr="00BA0A7E">
        <w:tc>
          <w:tcPr>
            <w:tcW w:w="1083" w:type="dxa"/>
            <w:vMerge w:val="restart"/>
            <w:tcBorders>
              <w:top w:val="single" w:sz="4" w:space="0" w:color="auto"/>
            </w:tcBorders>
          </w:tcPr>
          <w:p w14:paraId="1B3A81C6" w14:textId="77777777" w:rsidR="004E0762" w:rsidRPr="004E0762" w:rsidRDefault="004E0762" w:rsidP="004E0762">
            <w:pPr>
              <w:bidi w:val="0"/>
              <w:spacing w:line="480" w:lineRule="auto"/>
              <w:rPr>
                <w:sz w:val="20"/>
                <w:szCs w:val="20"/>
              </w:rPr>
            </w:pPr>
            <w:r w:rsidRPr="004E0762">
              <w:rPr>
                <w:sz w:val="20"/>
                <w:szCs w:val="20"/>
              </w:rPr>
              <w:t>Parents’ reports</w:t>
            </w:r>
          </w:p>
        </w:tc>
        <w:tc>
          <w:tcPr>
            <w:tcW w:w="1350" w:type="dxa"/>
            <w:tcBorders>
              <w:top w:val="single" w:sz="4" w:space="0" w:color="auto"/>
            </w:tcBorders>
          </w:tcPr>
          <w:p w14:paraId="2E915AFA" w14:textId="77777777" w:rsidR="004E0762" w:rsidRPr="004E0762" w:rsidRDefault="004E0762" w:rsidP="004E0762">
            <w:pPr>
              <w:tabs>
                <w:tab w:val="left" w:pos="300"/>
              </w:tabs>
              <w:bidi w:val="0"/>
              <w:spacing w:line="480" w:lineRule="auto"/>
              <w:rPr>
                <w:sz w:val="20"/>
                <w:szCs w:val="20"/>
              </w:rPr>
            </w:pPr>
            <w:r w:rsidRPr="004E0762">
              <w:rPr>
                <w:sz w:val="20"/>
                <w:szCs w:val="20"/>
              </w:rPr>
              <w:t>Attention</w:t>
            </w:r>
          </w:p>
          <w:p w14:paraId="195BFEB1" w14:textId="77777777" w:rsidR="004E0762" w:rsidRPr="004E0762" w:rsidRDefault="004E0762" w:rsidP="004E0762">
            <w:pPr>
              <w:tabs>
                <w:tab w:val="left" w:pos="300"/>
              </w:tabs>
              <w:bidi w:val="0"/>
              <w:spacing w:line="480" w:lineRule="auto"/>
              <w:rPr>
                <w:sz w:val="20"/>
                <w:szCs w:val="20"/>
              </w:rPr>
            </w:pPr>
            <w:r w:rsidRPr="004E0762">
              <w:rPr>
                <w:sz w:val="20"/>
                <w:szCs w:val="20"/>
              </w:rPr>
              <w:t xml:space="preserve">problems </w:t>
            </w:r>
          </w:p>
          <w:p w14:paraId="794685EB" w14:textId="77777777" w:rsidR="004E0762" w:rsidRPr="004E0762" w:rsidRDefault="004E0762" w:rsidP="004E0762">
            <w:pPr>
              <w:bidi w:val="0"/>
              <w:spacing w:line="480" w:lineRule="auto"/>
              <w:rPr>
                <w:sz w:val="20"/>
                <w:szCs w:val="20"/>
              </w:rPr>
            </w:pPr>
            <w:r w:rsidRPr="004E0762">
              <w:rPr>
                <w:sz w:val="20"/>
                <w:szCs w:val="20"/>
              </w:rPr>
              <w:t>(Conners)</w:t>
            </w:r>
          </w:p>
        </w:tc>
        <w:tc>
          <w:tcPr>
            <w:tcW w:w="1100" w:type="dxa"/>
            <w:tcBorders>
              <w:top w:val="single" w:sz="4" w:space="0" w:color="auto"/>
            </w:tcBorders>
          </w:tcPr>
          <w:p w14:paraId="218C7C5D" w14:textId="77777777" w:rsidR="004E0762" w:rsidRPr="004E0762" w:rsidRDefault="004E0762" w:rsidP="004E0762">
            <w:pPr>
              <w:bidi w:val="0"/>
              <w:spacing w:line="480" w:lineRule="auto"/>
              <w:rPr>
                <w:sz w:val="20"/>
                <w:szCs w:val="20"/>
              </w:rPr>
            </w:pPr>
            <w:r w:rsidRPr="004E0762">
              <w:rPr>
                <w:sz w:val="20"/>
                <w:szCs w:val="20"/>
              </w:rPr>
              <w:t>.201**</w:t>
            </w:r>
          </w:p>
        </w:tc>
      </w:tr>
      <w:tr w:rsidR="004E0762" w:rsidRPr="004E0762" w14:paraId="49F2DF51" w14:textId="77777777" w:rsidTr="00BA0A7E">
        <w:tc>
          <w:tcPr>
            <w:tcW w:w="1083" w:type="dxa"/>
            <w:vMerge/>
          </w:tcPr>
          <w:p w14:paraId="7BD7E31C" w14:textId="77777777" w:rsidR="004E0762" w:rsidRPr="004E0762" w:rsidRDefault="004E0762" w:rsidP="004E0762">
            <w:pPr>
              <w:bidi w:val="0"/>
              <w:spacing w:line="480" w:lineRule="auto"/>
              <w:rPr>
                <w:sz w:val="20"/>
                <w:szCs w:val="20"/>
              </w:rPr>
            </w:pPr>
          </w:p>
        </w:tc>
        <w:tc>
          <w:tcPr>
            <w:tcW w:w="1350" w:type="dxa"/>
          </w:tcPr>
          <w:p w14:paraId="2430AD6C" w14:textId="77777777" w:rsidR="004E0762" w:rsidRPr="004E0762" w:rsidRDefault="004E0762" w:rsidP="004E0762">
            <w:pPr>
              <w:bidi w:val="0"/>
              <w:spacing w:line="480" w:lineRule="auto"/>
              <w:rPr>
                <w:sz w:val="20"/>
                <w:szCs w:val="20"/>
              </w:rPr>
            </w:pPr>
            <w:r w:rsidRPr="004E0762">
              <w:rPr>
                <w:sz w:val="20"/>
                <w:szCs w:val="20"/>
              </w:rPr>
              <w:t>Hyperactivity</w:t>
            </w:r>
          </w:p>
          <w:p w14:paraId="7A79D2A3" w14:textId="77777777" w:rsidR="004E0762" w:rsidRPr="004E0762" w:rsidRDefault="004E0762" w:rsidP="004E0762">
            <w:pPr>
              <w:bidi w:val="0"/>
              <w:spacing w:line="480" w:lineRule="auto"/>
              <w:rPr>
                <w:sz w:val="20"/>
                <w:szCs w:val="20"/>
              </w:rPr>
            </w:pPr>
            <w:r w:rsidRPr="004E0762">
              <w:rPr>
                <w:sz w:val="20"/>
                <w:szCs w:val="20"/>
              </w:rPr>
              <w:t>(Conners)</w:t>
            </w:r>
          </w:p>
        </w:tc>
        <w:tc>
          <w:tcPr>
            <w:tcW w:w="1100" w:type="dxa"/>
          </w:tcPr>
          <w:p w14:paraId="2E929F37" w14:textId="77777777" w:rsidR="004E0762" w:rsidRPr="004E0762" w:rsidRDefault="004E0762" w:rsidP="004E0762">
            <w:pPr>
              <w:bidi w:val="0"/>
              <w:spacing w:line="480" w:lineRule="auto"/>
              <w:rPr>
                <w:sz w:val="20"/>
                <w:szCs w:val="20"/>
              </w:rPr>
            </w:pPr>
            <w:r w:rsidRPr="004E0762">
              <w:rPr>
                <w:sz w:val="20"/>
                <w:szCs w:val="20"/>
              </w:rPr>
              <w:t>.236**</w:t>
            </w:r>
          </w:p>
        </w:tc>
      </w:tr>
      <w:tr w:rsidR="004E0762" w:rsidRPr="004E0762" w14:paraId="30966FE2" w14:textId="77777777" w:rsidTr="00BA0A7E">
        <w:tc>
          <w:tcPr>
            <w:tcW w:w="1083" w:type="dxa"/>
            <w:vMerge/>
          </w:tcPr>
          <w:p w14:paraId="056DF435" w14:textId="77777777" w:rsidR="004E0762" w:rsidRPr="004E0762" w:rsidRDefault="004E0762" w:rsidP="004E0762">
            <w:pPr>
              <w:bidi w:val="0"/>
              <w:spacing w:line="480" w:lineRule="auto"/>
              <w:rPr>
                <w:sz w:val="20"/>
                <w:szCs w:val="20"/>
              </w:rPr>
            </w:pPr>
          </w:p>
        </w:tc>
        <w:tc>
          <w:tcPr>
            <w:tcW w:w="1350" w:type="dxa"/>
          </w:tcPr>
          <w:p w14:paraId="663E3732" w14:textId="77777777" w:rsidR="004E0762" w:rsidRPr="004E0762" w:rsidRDefault="004E0762" w:rsidP="004E0762">
            <w:pPr>
              <w:bidi w:val="0"/>
              <w:spacing w:line="480" w:lineRule="auto"/>
              <w:rPr>
                <w:sz w:val="20"/>
                <w:szCs w:val="20"/>
              </w:rPr>
            </w:pPr>
            <w:r w:rsidRPr="004E0762">
              <w:rPr>
                <w:sz w:val="20"/>
                <w:szCs w:val="20"/>
              </w:rPr>
              <w:t>Learning difficulties</w:t>
            </w:r>
          </w:p>
          <w:p w14:paraId="7BD85DDD" w14:textId="77777777" w:rsidR="004E0762" w:rsidRPr="004E0762" w:rsidRDefault="004E0762" w:rsidP="004E0762">
            <w:pPr>
              <w:bidi w:val="0"/>
              <w:spacing w:line="480" w:lineRule="auto"/>
              <w:rPr>
                <w:sz w:val="20"/>
                <w:szCs w:val="20"/>
              </w:rPr>
            </w:pPr>
            <w:r w:rsidRPr="004E0762">
              <w:rPr>
                <w:sz w:val="20"/>
                <w:szCs w:val="20"/>
              </w:rPr>
              <w:t>(Conners)</w:t>
            </w:r>
          </w:p>
        </w:tc>
        <w:tc>
          <w:tcPr>
            <w:tcW w:w="1100" w:type="dxa"/>
          </w:tcPr>
          <w:p w14:paraId="3695EC49" w14:textId="77777777" w:rsidR="004E0762" w:rsidRPr="004E0762" w:rsidRDefault="004E0762" w:rsidP="004E0762">
            <w:pPr>
              <w:bidi w:val="0"/>
              <w:spacing w:line="480" w:lineRule="auto"/>
              <w:rPr>
                <w:sz w:val="20"/>
                <w:szCs w:val="20"/>
              </w:rPr>
            </w:pPr>
            <w:r w:rsidRPr="004E0762">
              <w:rPr>
                <w:sz w:val="20"/>
                <w:szCs w:val="20"/>
              </w:rPr>
              <w:t>.108</w:t>
            </w:r>
          </w:p>
        </w:tc>
      </w:tr>
      <w:tr w:rsidR="004E0762" w:rsidRPr="004E0762" w14:paraId="304AA11C" w14:textId="77777777" w:rsidTr="00BA0A7E">
        <w:tc>
          <w:tcPr>
            <w:tcW w:w="1083" w:type="dxa"/>
            <w:vMerge/>
          </w:tcPr>
          <w:p w14:paraId="164EEFE5" w14:textId="77777777" w:rsidR="004E0762" w:rsidRPr="004E0762" w:rsidRDefault="004E0762" w:rsidP="004E0762">
            <w:pPr>
              <w:tabs>
                <w:tab w:val="left" w:pos="300"/>
              </w:tabs>
              <w:bidi w:val="0"/>
              <w:spacing w:line="480" w:lineRule="auto"/>
              <w:rPr>
                <w:sz w:val="20"/>
                <w:szCs w:val="20"/>
              </w:rPr>
            </w:pPr>
          </w:p>
        </w:tc>
        <w:tc>
          <w:tcPr>
            <w:tcW w:w="1350" w:type="dxa"/>
          </w:tcPr>
          <w:p w14:paraId="6D55DFE8" w14:textId="77777777" w:rsidR="004E0762" w:rsidRPr="004E0762" w:rsidRDefault="004E0762" w:rsidP="004E0762">
            <w:pPr>
              <w:tabs>
                <w:tab w:val="left" w:pos="300"/>
              </w:tabs>
              <w:bidi w:val="0"/>
              <w:spacing w:line="480" w:lineRule="auto"/>
              <w:rPr>
                <w:sz w:val="20"/>
                <w:szCs w:val="20"/>
              </w:rPr>
            </w:pPr>
            <w:r w:rsidRPr="004E0762">
              <w:rPr>
                <w:sz w:val="20"/>
                <w:szCs w:val="20"/>
              </w:rPr>
              <w:t>Social problems (CBCL)</w:t>
            </w:r>
          </w:p>
        </w:tc>
        <w:tc>
          <w:tcPr>
            <w:tcW w:w="1100" w:type="dxa"/>
          </w:tcPr>
          <w:p w14:paraId="127BBE92" w14:textId="77777777" w:rsidR="004E0762" w:rsidRPr="004E0762" w:rsidRDefault="004E0762" w:rsidP="004E0762">
            <w:pPr>
              <w:bidi w:val="0"/>
              <w:spacing w:line="480" w:lineRule="auto"/>
              <w:rPr>
                <w:sz w:val="20"/>
                <w:szCs w:val="20"/>
              </w:rPr>
            </w:pPr>
            <w:r w:rsidRPr="004E0762">
              <w:rPr>
                <w:sz w:val="20"/>
                <w:szCs w:val="20"/>
              </w:rPr>
              <w:t>.130</w:t>
            </w:r>
          </w:p>
        </w:tc>
      </w:tr>
      <w:tr w:rsidR="004E0762" w:rsidRPr="004E0762" w14:paraId="48C4F0F9" w14:textId="77777777" w:rsidTr="00BA0A7E">
        <w:tc>
          <w:tcPr>
            <w:tcW w:w="1083" w:type="dxa"/>
            <w:vMerge/>
          </w:tcPr>
          <w:p w14:paraId="3A13803F" w14:textId="77777777" w:rsidR="004E0762" w:rsidRPr="004E0762" w:rsidRDefault="004E0762" w:rsidP="004E0762">
            <w:pPr>
              <w:tabs>
                <w:tab w:val="left" w:pos="300"/>
              </w:tabs>
              <w:bidi w:val="0"/>
              <w:spacing w:line="480" w:lineRule="auto"/>
              <w:rPr>
                <w:sz w:val="20"/>
                <w:szCs w:val="20"/>
              </w:rPr>
            </w:pPr>
          </w:p>
        </w:tc>
        <w:tc>
          <w:tcPr>
            <w:tcW w:w="1350" w:type="dxa"/>
          </w:tcPr>
          <w:p w14:paraId="192BB8E5" w14:textId="77777777" w:rsidR="004E0762" w:rsidRPr="004E0762" w:rsidRDefault="004E0762" w:rsidP="004E0762">
            <w:pPr>
              <w:tabs>
                <w:tab w:val="left" w:pos="300"/>
              </w:tabs>
              <w:bidi w:val="0"/>
              <w:spacing w:line="480" w:lineRule="auto"/>
              <w:rPr>
                <w:sz w:val="20"/>
                <w:szCs w:val="20"/>
              </w:rPr>
            </w:pPr>
            <w:r w:rsidRPr="004E0762">
              <w:rPr>
                <w:sz w:val="20"/>
                <w:szCs w:val="20"/>
              </w:rPr>
              <w:t>Anxiety</w:t>
            </w:r>
          </w:p>
          <w:p w14:paraId="3D60F206" w14:textId="77777777" w:rsidR="004E0762" w:rsidRPr="004E0762" w:rsidRDefault="004E0762" w:rsidP="004E0762">
            <w:pPr>
              <w:tabs>
                <w:tab w:val="left" w:pos="300"/>
              </w:tabs>
              <w:bidi w:val="0"/>
              <w:spacing w:line="480" w:lineRule="auto"/>
              <w:rPr>
                <w:sz w:val="20"/>
                <w:szCs w:val="20"/>
              </w:rPr>
            </w:pPr>
            <w:r w:rsidRPr="004E0762">
              <w:rPr>
                <w:sz w:val="20"/>
                <w:szCs w:val="20"/>
              </w:rPr>
              <w:t>(CBCL)</w:t>
            </w:r>
          </w:p>
        </w:tc>
        <w:tc>
          <w:tcPr>
            <w:tcW w:w="1100" w:type="dxa"/>
          </w:tcPr>
          <w:p w14:paraId="4B3198EF" w14:textId="77777777" w:rsidR="004E0762" w:rsidRPr="004E0762" w:rsidRDefault="004E0762" w:rsidP="004E0762">
            <w:pPr>
              <w:bidi w:val="0"/>
              <w:spacing w:line="480" w:lineRule="auto"/>
              <w:rPr>
                <w:sz w:val="20"/>
                <w:szCs w:val="20"/>
              </w:rPr>
            </w:pPr>
            <w:r w:rsidRPr="004E0762">
              <w:rPr>
                <w:sz w:val="20"/>
                <w:szCs w:val="20"/>
              </w:rPr>
              <w:t>.170</w:t>
            </w:r>
          </w:p>
        </w:tc>
      </w:tr>
      <w:tr w:rsidR="004E0762" w:rsidRPr="004E0762" w14:paraId="0FEE8F85" w14:textId="77777777" w:rsidTr="00BA0A7E">
        <w:tc>
          <w:tcPr>
            <w:tcW w:w="1083" w:type="dxa"/>
            <w:vMerge/>
            <w:tcBorders>
              <w:bottom w:val="single" w:sz="4" w:space="0" w:color="auto"/>
            </w:tcBorders>
          </w:tcPr>
          <w:p w14:paraId="465D6CBA" w14:textId="77777777" w:rsidR="004E0762" w:rsidRPr="004E0762" w:rsidRDefault="004E0762" w:rsidP="004E0762">
            <w:pPr>
              <w:tabs>
                <w:tab w:val="left" w:pos="300"/>
              </w:tabs>
              <w:bidi w:val="0"/>
              <w:spacing w:line="480" w:lineRule="auto"/>
              <w:rPr>
                <w:sz w:val="20"/>
                <w:szCs w:val="20"/>
              </w:rPr>
            </w:pPr>
          </w:p>
        </w:tc>
        <w:tc>
          <w:tcPr>
            <w:tcW w:w="1350" w:type="dxa"/>
            <w:tcBorders>
              <w:bottom w:val="single" w:sz="4" w:space="0" w:color="auto"/>
            </w:tcBorders>
          </w:tcPr>
          <w:p w14:paraId="09210779" w14:textId="77777777" w:rsidR="004E0762" w:rsidRPr="004E0762" w:rsidRDefault="004E0762" w:rsidP="004E0762">
            <w:pPr>
              <w:tabs>
                <w:tab w:val="left" w:pos="300"/>
              </w:tabs>
              <w:bidi w:val="0"/>
              <w:spacing w:line="480" w:lineRule="auto"/>
              <w:rPr>
                <w:sz w:val="20"/>
                <w:szCs w:val="20"/>
              </w:rPr>
            </w:pPr>
            <w:r w:rsidRPr="004E0762">
              <w:rPr>
                <w:sz w:val="20"/>
                <w:szCs w:val="20"/>
              </w:rPr>
              <w:t>Depression</w:t>
            </w:r>
          </w:p>
          <w:p w14:paraId="53284FA6" w14:textId="77777777" w:rsidR="004E0762" w:rsidRPr="004E0762" w:rsidRDefault="004E0762" w:rsidP="004E0762">
            <w:pPr>
              <w:tabs>
                <w:tab w:val="left" w:pos="300"/>
              </w:tabs>
              <w:bidi w:val="0"/>
              <w:spacing w:line="480" w:lineRule="auto"/>
              <w:rPr>
                <w:sz w:val="20"/>
                <w:szCs w:val="20"/>
              </w:rPr>
            </w:pPr>
            <w:r w:rsidRPr="004E0762">
              <w:rPr>
                <w:sz w:val="20"/>
                <w:szCs w:val="20"/>
              </w:rPr>
              <w:t>(CBCL)</w:t>
            </w:r>
          </w:p>
        </w:tc>
        <w:tc>
          <w:tcPr>
            <w:tcW w:w="1100" w:type="dxa"/>
            <w:tcBorders>
              <w:bottom w:val="single" w:sz="4" w:space="0" w:color="auto"/>
            </w:tcBorders>
          </w:tcPr>
          <w:p w14:paraId="4C8470F7" w14:textId="77777777" w:rsidR="004E0762" w:rsidRPr="004E0762" w:rsidRDefault="004E0762" w:rsidP="004E0762">
            <w:pPr>
              <w:bidi w:val="0"/>
              <w:spacing w:line="480" w:lineRule="auto"/>
              <w:rPr>
                <w:sz w:val="20"/>
                <w:szCs w:val="20"/>
              </w:rPr>
            </w:pPr>
            <w:r w:rsidRPr="004E0762">
              <w:rPr>
                <w:sz w:val="20"/>
                <w:szCs w:val="20"/>
              </w:rPr>
              <w:t>-.048</w:t>
            </w:r>
          </w:p>
        </w:tc>
      </w:tr>
      <w:tr w:rsidR="004E0762" w:rsidRPr="004E0762" w14:paraId="721AFF84" w14:textId="77777777" w:rsidTr="00BA0A7E">
        <w:tc>
          <w:tcPr>
            <w:tcW w:w="1083" w:type="dxa"/>
            <w:vMerge w:val="restart"/>
            <w:tcBorders>
              <w:top w:val="single" w:sz="4" w:space="0" w:color="auto"/>
            </w:tcBorders>
          </w:tcPr>
          <w:p w14:paraId="4E04A859" w14:textId="77777777" w:rsidR="004E0762" w:rsidRPr="004E0762" w:rsidRDefault="004E0762" w:rsidP="004E0762">
            <w:pPr>
              <w:tabs>
                <w:tab w:val="left" w:pos="300"/>
              </w:tabs>
              <w:bidi w:val="0"/>
              <w:spacing w:line="480" w:lineRule="auto"/>
              <w:rPr>
                <w:sz w:val="20"/>
                <w:szCs w:val="20"/>
              </w:rPr>
            </w:pPr>
            <w:r w:rsidRPr="004E0762">
              <w:rPr>
                <w:sz w:val="20"/>
                <w:szCs w:val="20"/>
              </w:rPr>
              <w:t>Teachers’ reports</w:t>
            </w:r>
          </w:p>
        </w:tc>
        <w:tc>
          <w:tcPr>
            <w:tcW w:w="1350" w:type="dxa"/>
            <w:tcBorders>
              <w:top w:val="single" w:sz="4" w:space="0" w:color="auto"/>
            </w:tcBorders>
          </w:tcPr>
          <w:p w14:paraId="23BB3FAA" w14:textId="77777777" w:rsidR="004E0762" w:rsidRPr="004E0762" w:rsidRDefault="004E0762" w:rsidP="004E0762">
            <w:pPr>
              <w:tabs>
                <w:tab w:val="left" w:pos="300"/>
              </w:tabs>
              <w:bidi w:val="0"/>
              <w:spacing w:line="480" w:lineRule="auto"/>
              <w:rPr>
                <w:sz w:val="20"/>
                <w:szCs w:val="20"/>
              </w:rPr>
            </w:pPr>
            <w:r w:rsidRPr="004E0762">
              <w:rPr>
                <w:sz w:val="20"/>
                <w:szCs w:val="20"/>
              </w:rPr>
              <w:t>Attention</w:t>
            </w:r>
          </w:p>
          <w:p w14:paraId="618634B9" w14:textId="77777777" w:rsidR="004E0762" w:rsidRPr="004E0762" w:rsidRDefault="004E0762" w:rsidP="004E0762">
            <w:pPr>
              <w:tabs>
                <w:tab w:val="left" w:pos="300"/>
              </w:tabs>
              <w:bidi w:val="0"/>
              <w:spacing w:line="480" w:lineRule="auto"/>
              <w:rPr>
                <w:sz w:val="20"/>
                <w:szCs w:val="20"/>
              </w:rPr>
            </w:pPr>
            <w:r w:rsidRPr="004E0762">
              <w:rPr>
                <w:sz w:val="20"/>
                <w:szCs w:val="20"/>
              </w:rPr>
              <w:t xml:space="preserve">problems </w:t>
            </w:r>
          </w:p>
          <w:p w14:paraId="74A1807C" w14:textId="77777777" w:rsidR="004E0762" w:rsidRPr="004E0762" w:rsidRDefault="004E0762" w:rsidP="004E0762">
            <w:pPr>
              <w:tabs>
                <w:tab w:val="left" w:pos="300"/>
              </w:tabs>
              <w:bidi w:val="0"/>
              <w:spacing w:line="480" w:lineRule="auto"/>
              <w:rPr>
                <w:sz w:val="20"/>
                <w:szCs w:val="20"/>
              </w:rPr>
            </w:pPr>
            <w:r w:rsidRPr="004E0762">
              <w:rPr>
                <w:sz w:val="20"/>
                <w:szCs w:val="20"/>
              </w:rPr>
              <w:t>(Conners)</w:t>
            </w:r>
          </w:p>
        </w:tc>
        <w:tc>
          <w:tcPr>
            <w:tcW w:w="1100" w:type="dxa"/>
            <w:tcBorders>
              <w:top w:val="single" w:sz="4" w:space="0" w:color="auto"/>
            </w:tcBorders>
          </w:tcPr>
          <w:p w14:paraId="72CB08BC" w14:textId="77777777" w:rsidR="004E0762" w:rsidRPr="004E0762" w:rsidRDefault="004E0762" w:rsidP="004E0762">
            <w:pPr>
              <w:bidi w:val="0"/>
              <w:spacing w:line="480" w:lineRule="auto"/>
              <w:rPr>
                <w:sz w:val="20"/>
                <w:szCs w:val="20"/>
              </w:rPr>
            </w:pPr>
            <w:r w:rsidRPr="004E0762">
              <w:rPr>
                <w:sz w:val="20"/>
                <w:szCs w:val="20"/>
              </w:rPr>
              <w:t>.102</w:t>
            </w:r>
          </w:p>
        </w:tc>
      </w:tr>
      <w:tr w:rsidR="004E0762" w:rsidRPr="004E0762" w14:paraId="2C8FE959" w14:textId="77777777" w:rsidTr="00BA0A7E">
        <w:tc>
          <w:tcPr>
            <w:tcW w:w="1083" w:type="dxa"/>
            <w:vMerge/>
          </w:tcPr>
          <w:p w14:paraId="10C96876" w14:textId="77777777" w:rsidR="004E0762" w:rsidRPr="004E0762" w:rsidRDefault="004E0762" w:rsidP="004E0762">
            <w:pPr>
              <w:bidi w:val="0"/>
              <w:spacing w:line="480" w:lineRule="auto"/>
              <w:rPr>
                <w:sz w:val="20"/>
                <w:szCs w:val="20"/>
              </w:rPr>
            </w:pPr>
          </w:p>
        </w:tc>
        <w:tc>
          <w:tcPr>
            <w:tcW w:w="1350" w:type="dxa"/>
          </w:tcPr>
          <w:p w14:paraId="19B933F0" w14:textId="77777777" w:rsidR="004E0762" w:rsidRPr="004E0762" w:rsidRDefault="004E0762" w:rsidP="004E0762">
            <w:pPr>
              <w:bidi w:val="0"/>
              <w:spacing w:line="480" w:lineRule="auto"/>
              <w:rPr>
                <w:sz w:val="20"/>
                <w:szCs w:val="20"/>
              </w:rPr>
            </w:pPr>
            <w:r w:rsidRPr="004E0762">
              <w:rPr>
                <w:sz w:val="20"/>
                <w:szCs w:val="20"/>
              </w:rPr>
              <w:t>Hyperactivity</w:t>
            </w:r>
          </w:p>
          <w:p w14:paraId="710A3316" w14:textId="77777777" w:rsidR="004E0762" w:rsidRPr="004E0762" w:rsidRDefault="004E0762" w:rsidP="004E0762">
            <w:pPr>
              <w:bidi w:val="0"/>
              <w:spacing w:line="480" w:lineRule="auto"/>
              <w:rPr>
                <w:sz w:val="20"/>
                <w:szCs w:val="20"/>
              </w:rPr>
            </w:pPr>
            <w:r w:rsidRPr="004E0762">
              <w:rPr>
                <w:sz w:val="20"/>
                <w:szCs w:val="20"/>
              </w:rPr>
              <w:t>(Conners)</w:t>
            </w:r>
          </w:p>
        </w:tc>
        <w:tc>
          <w:tcPr>
            <w:tcW w:w="1100" w:type="dxa"/>
          </w:tcPr>
          <w:p w14:paraId="2F56B5F9" w14:textId="77777777" w:rsidR="004E0762" w:rsidRPr="004E0762" w:rsidRDefault="004E0762" w:rsidP="004E0762">
            <w:pPr>
              <w:bidi w:val="0"/>
              <w:spacing w:line="480" w:lineRule="auto"/>
              <w:rPr>
                <w:sz w:val="20"/>
                <w:szCs w:val="20"/>
              </w:rPr>
            </w:pPr>
            <w:r w:rsidRPr="004E0762">
              <w:rPr>
                <w:sz w:val="20"/>
                <w:szCs w:val="20"/>
              </w:rPr>
              <w:t>.155*</w:t>
            </w:r>
          </w:p>
        </w:tc>
      </w:tr>
      <w:tr w:rsidR="004E0762" w:rsidRPr="004E0762" w14:paraId="2EA9CECC" w14:textId="77777777" w:rsidTr="00BA0A7E">
        <w:tc>
          <w:tcPr>
            <w:tcW w:w="1083" w:type="dxa"/>
            <w:vMerge/>
          </w:tcPr>
          <w:p w14:paraId="27F7D7A5" w14:textId="77777777" w:rsidR="004E0762" w:rsidRPr="004E0762" w:rsidRDefault="004E0762" w:rsidP="004E0762">
            <w:pPr>
              <w:bidi w:val="0"/>
              <w:spacing w:line="480" w:lineRule="auto"/>
              <w:rPr>
                <w:sz w:val="20"/>
                <w:szCs w:val="20"/>
              </w:rPr>
            </w:pPr>
          </w:p>
        </w:tc>
        <w:tc>
          <w:tcPr>
            <w:tcW w:w="1350" w:type="dxa"/>
          </w:tcPr>
          <w:p w14:paraId="6A18A663" w14:textId="77777777" w:rsidR="004E0762" w:rsidRPr="004E0762" w:rsidRDefault="004E0762" w:rsidP="004E0762">
            <w:pPr>
              <w:bidi w:val="0"/>
              <w:spacing w:line="480" w:lineRule="auto"/>
              <w:rPr>
                <w:sz w:val="20"/>
                <w:szCs w:val="20"/>
              </w:rPr>
            </w:pPr>
            <w:r w:rsidRPr="004E0762">
              <w:rPr>
                <w:sz w:val="20"/>
                <w:szCs w:val="20"/>
              </w:rPr>
              <w:t>Learning difficulties</w:t>
            </w:r>
          </w:p>
          <w:p w14:paraId="4EB40ED0" w14:textId="77777777" w:rsidR="004E0762" w:rsidRPr="004E0762" w:rsidRDefault="004E0762" w:rsidP="004E0762">
            <w:pPr>
              <w:bidi w:val="0"/>
              <w:spacing w:line="480" w:lineRule="auto"/>
              <w:rPr>
                <w:sz w:val="20"/>
                <w:szCs w:val="20"/>
              </w:rPr>
            </w:pPr>
            <w:r w:rsidRPr="004E0762">
              <w:rPr>
                <w:sz w:val="20"/>
                <w:szCs w:val="20"/>
              </w:rPr>
              <w:lastRenderedPageBreak/>
              <w:t>(Conners)</w:t>
            </w:r>
          </w:p>
        </w:tc>
        <w:tc>
          <w:tcPr>
            <w:tcW w:w="1100" w:type="dxa"/>
          </w:tcPr>
          <w:p w14:paraId="6CA91C26" w14:textId="77777777" w:rsidR="004E0762" w:rsidRPr="004E0762" w:rsidRDefault="004E0762" w:rsidP="004E0762">
            <w:pPr>
              <w:bidi w:val="0"/>
              <w:spacing w:line="480" w:lineRule="auto"/>
              <w:rPr>
                <w:sz w:val="20"/>
                <w:szCs w:val="20"/>
              </w:rPr>
            </w:pPr>
            <w:r w:rsidRPr="004E0762">
              <w:rPr>
                <w:sz w:val="20"/>
                <w:szCs w:val="20"/>
              </w:rPr>
              <w:lastRenderedPageBreak/>
              <w:t>-.002</w:t>
            </w:r>
          </w:p>
        </w:tc>
      </w:tr>
      <w:tr w:rsidR="004E0762" w:rsidRPr="004E0762" w14:paraId="410A946D" w14:textId="77777777" w:rsidTr="00BA0A7E">
        <w:tc>
          <w:tcPr>
            <w:tcW w:w="1083" w:type="dxa"/>
            <w:vMerge/>
          </w:tcPr>
          <w:p w14:paraId="436F3EA7" w14:textId="77777777" w:rsidR="004E0762" w:rsidRPr="004E0762" w:rsidRDefault="004E0762" w:rsidP="004E0762">
            <w:pPr>
              <w:bidi w:val="0"/>
              <w:spacing w:line="480" w:lineRule="auto"/>
              <w:rPr>
                <w:sz w:val="20"/>
                <w:szCs w:val="20"/>
              </w:rPr>
            </w:pPr>
          </w:p>
        </w:tc>
        <w:tc>
          <w:tcPr>
            <w:tcW w:w="1350" w:type="dxa"/>
          </w:tcPr>
          <w:p w14:paraId="1DC35EA4" w14:textId="77777777" w:rsidR="004E0762" w:rsidRPr="004E0762" w:rsidRDefault="004E0762" w:rsidP="004E0762">
            <w:pPr>
              <w:bidi w:val="0"/>
              <w:spacing w:line="480" w:lineRule="auto"/>
              <w:rPr>
                <w:sz w:val="20"/>
                <w:szCs w:val="20"/>
              </w:rPr>
            </w:pPr>
            <w:r w:rsidRPr="004E0762">
              <w:rPr>
                <w:sz w:val="20"/>
                <w:szCs w:val="20"/>
              </w:rPr>
              <w:t>Social problems (TRF)</w:t>
            </w:r>
          </w:p>
        </w:tc>
        <w:tc>
          <w:tcPr>
            <w:tcW w:w="1100" w:type="dxa"/>
          </w:tcPr>
          <w:p w14:paraId="6B12887A" w14:textId="77777777" w:rsidR="004E0762" w:rsidRPr="004E0762" w:rsidRDefault="004E0762" w:rsidP="004E0762">
            <w:pPr>
              <w:bidi w:val="0"/>
              <w:spacing w:line="480" w:lineRule="auto"/>
              <w:rPr>
                <w:sz w:val="20"/>
                <w:szCs w:val="20"/>
              </w:rPr>
            </w:pPr>
            <w:r w:rsidRPr="004E0762">
              <w:rPr>
                <w:sz w:val="20"/>
                <w:szCs w:val="20"/>
              </w:rPr>
              <w:t>.200**</w:t>
            </w:r>
          </w:p>
        </w:tc>
      </w:tr>
      <w:tr w:rsidR="004E0762" w:rsidRPr="004E0762" w14:paraId="612BC724" w14:textId="77777777" w:rsidTr="00BA0A7E">
        <w:tc>
          <w:tcPr>
            <w:tcW w:w="1083" w:type="dxa"/>
            <w:vMerge/>
          </w:tcPr>
          <w:p w14:paraId="4DECE6D9" w14:textId="77777777" w:rsidR="004E0762" w:rsidRPr="004E0762" w:rsidRDefault="004E0762" w:rsidP="004E0762">
            <w:pPr>
              <w:bidi w:val="0"/>
              <w:spacing w:line="480" w:lineRule="auto"/>
              <w:rPr>
                <w:sz w:val="20"/>
                <w:szCs w:val="20"/>
              </w:rPr>
            </w:pPr>
          </w:p>
        </w:tc>
        <w:tc>
          <w:tcPr>
            <w:tcW w:w="1350" w:type="dxa"/>
          </w:tcPr>
          <w:p w14:paraId="1460F717" w14:textId="77777777" w:rsidR="004E0762" w:rsidRPr="004E0762" w:rsidRDefault="004E0762" w:rsidP="004E0762">
            <w:pPr>
              <w:tabs>
                <w:tab w:val="left" w:pos="300"/>
              </w:tabs>
              <w:bidi w:val="0"/>
              <w:spacing w:line="480" w:lineRule="auto"/>
              <w:rPr>
                <w:sz w:val="20"/>
                <w:szCs w:val="20"/>
              </w:rPr>
            </w:pPr>
            <w:r w:rsidRPr="004E0762">
              <w:rPr>
                <w:sz w:val="20"/>
                <w:szCs w:val="20"/>
              </w:rPr>
              <w:t>Anxiety</w:t>
            </w:r>
          </w:p>
          <w:p w14:paraId="66F3E22E" w14:textId="77777777" w:rsidR="004E0762" w:rsidRPr="004E0762" w:rsidRDefault="004E0762" w:rsidP="004E0762">
            <w:pPr>
              <w:bidi w:val="0"/>
              <w:spacing w:line="480" w:lineRule="auto"/>
              <w:rPr>
                <w:sz w:val="20"/>
                <w:szCs w:val="20"/>
              </w:rPr>
            </w:pPr>
            <w:r w:rsidRPr="004E0762">
              <w:rPr>
                <w:sz w:val="20"/>
                <w:szCs w:val="20"/>
              </w:rPr>
              <w:t>(TRF)</w:t>
            </w:r>
          </w:p>
        </w:tc>
        <w:tc>
          <w:tcPr>
            <w:tcW w:w="1100" w:type="dxa"/>
          </w:tcPr>
          <w:p w14:paraId="3538DAB9" w14:textId="77777777" w:rsidR="004E0762" w:rsidRPr="004E0762" w:rsidRDefault="004E0762" w:rsidP="004E0762">
            <w:pPr>
              <w:bidi w:val="0"/>
              <w:spacing w:line="480" w:lineRule="auto"/>
              <w:rPr>
                <w:sz w:val="20"/>
                <w:szCs w:val="20"/>
              </w:rPr>
            </w:pPr>
            <w:r w:rsidRPr="004E0762">
              <w:rPr>
                <w:sz w:val="20"/>
                <w:szCs w:val="20"/>
              </w:rPr>
              <w:t>.062</w:t>
            </w:r>
          </w:p>
        </w:tc>
      </w:tr>
      <w:tr w:rsidR="004E0762" w:rsidRPr="004E0762" w14:paraId="5CED827E" w14:textId="77777777" w:rsidTr="00BA0A7E">
        <w:tc>
          <w:tcPr>
            <w:tcW w:w="1083" w:type="dxa"/>
            <w:tcBorders>
              <w:bottom w:val="single" w:sz="4" w:space="0" w:color="auto"/>
            </w:tcBorders>
          </w:tcPr>
          <w:p w14:paraId="6783AB68" w14:textId="77777777" w:rsidR="004E0762" w:rsidRPr="004E0762" w:rsidRDefault="004E0762" w:rsidP="004E0762">
            <w:pPr>
              <w:bidi w:val="0"/>
              <w:spacing w:line="480" w:lineRule="auto"/>
              <w:rPr>
                <w:sz w:val="20"/>
                <w:szCs w:val="20"/>
              </w:rPr>
            </w:pPr>
          </w:p>
        </w:tc>
        <w:tc>
          <w:tcPr>
            <w:tcW w:w="1350" w:type="dxa"/>
            <w:tcBorders>
              <w:bottom w:val="single" w:sz="4" w:space="0" w:color="auto"/>
            </w:tcBorders>
          </w:tcPr>
          <w:p w14:paraId="4153B43C" w14:textId="77777777" w:rsidR="004E0762" w:rsidRPr="004E0762" w:rsidRDefault="004E0762" w:rsidP="004E0762">
            <w:pPr>
              <w:tabs>
                <w:tab w:val="left" w:pos="300"/>
              </w:tabs>
              <w:bidi w:val="0"/>
              <w:spacing w:line="480" w:lineRule="auto"/>
              <w:rPr>
                <w:sz w:val="20"/>
                <w:szCs w:val="20"/>
              </w:rPr>
            </w:pPr>
            <w:r w:rsidRPr="004E0762">
              <w:rPr>
                <w:sz w:val="20"/>
                <w:szCs w:val="20"/>
              </w:rPr>
              <w:t>Depression</w:t>
            </w:r>
          </w:p>
          <w:p w14:paraId="43363A83" w14:textId="77777777" w:rsidR="004E0762" w:rsidRPr="004E0762" w:rsidRDefault="004E0762" w:rsidP="004E0762">
            <w:pPr>
              <w:bidi w:val="0"/>
              <w:spacing w:line="480" w:lineRule="auto"/>
              <w:rPr>
                <w:sz w:val="20"/>
                <w:szCs w:val="20"/>
              </w:rPr>
            </w:pPr>
            <w:r w:rsidRPr="004E0762">
              <w:rPr>
                <w:sz w:val="20"/>
                <w:szCs w:val="20"/>
              </w:rPr>
              <w:t>(TRF)</w:t>
            </w:r>
          </w:p>
        </w:tc>
        <w:tc>
          <w:tcPr>
            <w:tcW w:w="1100" w:type="dxa"/>
            <w:tcBorders>
              <w:bottom w:val="single" w:sz="4" w:space="0" w:color="auto"/>
            </w:tcBorders>
          </w:tcPr>
          <w:p w14:paraId="126F8FD4" w14:textId="77777777" w:rsidR="004E0762" w:rsidRPr="004E0762" w:rsidRDefault="004E0762" w:rsidP="004E0762">
            <w:pPr>
              <w:bidi w:val="0"/>
              <w:spacing w:line="480" w:lineRule="auto"/>
              <w:rPr>
                <w:sz w:val="20"/>
                <w:szCs w:val="20"/>
              </w:rPr>
            </w:pPr>
            <w:r w:rsidRPr="004E0762">
              <w:rPr>
                <w:sz w:val="20"/>
                <w:szCs w:val="20"/>
              </w:rPr>
              <w:t>.060</w:t>
            </w:r>
          </w:p>
        </w:tc>
      </w:tr>
      <w:tr w:rsidR="004E0762" w:rsidRPr="004E0762" w14:paraId="760B08EB" w14:textId="77777777" w:rsidTr="00BA0A7E">
        <w:tc>
          <w:tcPr>
            <w:tcW w:w="1083" w:type="dxa"/>
            <w:vMerge w:val="restart"/>
            <w:tcBorders>
              <w:top w:val="single" w:sz="4" w:space="0" w:color="auto"/>
            </w:tcBorders>
          </w:tcPr>
          <w:p w14:paraId="1EB40ABF" w14:textId="77777777" w:rsidR="004E0762" w:rsidRPr="004E0762" w:rsidRDefault="004E0762" w:rsidP="004E0762">
            <w:pPr>
              <w:bidi w:val="0"/>
              <w:spacing w:line="480" w:lineRule="auto"/>
              <w:rPr>
                <w:sz w:val="20"/>
                <w:szCs w:val="20"/>
              </w:rPr>
            </w:pPr>
            <w:r w:rsidRPr="004E0762">
              <w:rPr>
                <w:sz w:val="20"/>
                <w:szCs w:val="20"/>
              </w:rPr>
              <w:t>MOXO-CPT</w:t>
            </w:r>
          </w:p>
        </w:tc>
        <w:tc>
          <w:tcPr>
            <w:tcW w:w="1350" w:type="dxa"/>
            <w:tcBorders>
              <w:top w:val="single" w:sz="4" w:space="0" w:color="auto"/>
            </w:tcBorders>
          </w:tcPr>
          <w:p w14:paraId="7C0CF53C" w14:textId="77777777" w:rsidR="004E0762" w:rsidRPr="004E0762" w:rsidRDefault="004E0762" w:rsidP="004E0762">
            <w:pPr>
              <w:tabs>
                <w:tab w:val="left" w:pos="300"/>
              </w:tabs>
              <w:bidi w:val="0"/>
              <w:spacing w:line="480" w:lineRule="auto"/>
              <w:rPr>
                <w:sz w:val="20"/>
                <w:szCs w:val="20"/>
              </w:rPr>
            </w:pPr>
            <w:r w:rsidRPr="004E0762">
              <w:rPr>
                <w:sz w:val="20"/>
                <w:szCs w:val="20"/>
                <w:lang w:val="en-GB"/>
              </w:rPr>
              <w:t>MOXO-A</w:t>
            </w:r>
          </w:p>
        </w:tc>
        <w:tc>
          <w:tcPr>
            <w:tcW w:w="1100" w:type="dxa"/>
            <w:tcBorders>
              <w:top w:val="single" w:sz="4" w:space="0" w:color="auto"/>
            </w:tcBorders>
          </w:tcPr>
          <w:p w14:paraId="1828F350" w14:textId="77777777" w:rsidR="004E0762" w:rsidRPr="004E0762" w:rsidRDefault="004E0762" w:rsidP="004E0762">
            <w:pPr>
              <w:bidi w:val="0"/>
              <w:spacing w:line="480" w:lineRule="auto"/>
              <w:rPr>
                <w:sz w:val="20"/>
                <w:szCs w:val="20"/>
              </w:rPr>
            </w:pPr>
            <w:r w:rsidRPr="004E0762">
              <w:rPr>
                <w:sz w:val="20"/>
                <w:szCs w:val="20"/>
              </w:rPr>
              <w:t>.048</w:t>
            </w:r>
          </w:p>
        </w:tc>
      </w:tr>
      <w:tr w:rsidR="004E0762" w:rsidRPr="004E0762" w14:paraId="6D70EDE6" w14:textId="77777777" w:rsidTr="00BA0A7E">
        <w:tc>
          <w:tcPr>
            <w:tcW w:w="1083" w:type="dxa"/>
            <w:vMerge/>
          </w:tcPr>
          <w:p w14:paraId="20621CCE" w14:textId="77777777" w:rsidR="004E0762" w:rsidRPr="004E0762" w:rsidRDefault="004E0762" w:rsidP="004E0762">
            <w:pPr>
              <w:bidi w:val="0"/>
              <w:spacing w:line="480" w:lineRule="auto"/>
              <w:rPr>
                <w:sz w:val="20"/>
                <w:szCs w:val="20"/>
              </w:rPr>
            </w:pPr>
          </w:p>
        </w:tc>
        <w:tc>
          <w:tcPr>
            <w:tcW w:w="1350" w:type="dxa"/>
          </w:tcPr>
          <w:p w14:paraId="6EF7C102" w14:textId="77777777" w:rsidR="004E0762" w:rsidRPr="004E0762" w:rsidRDefault="004E0762" w:rsidP="004E0762">
            <w:pPr>
              <w:tabs>
                <w:tab w:val="left" w:pos="300"/>
              </w:tabs>
              <w:bidi w:val="0"/>
              <w:spacing w:line="480" w:lineRule="auto"/>
              <w:rPr>
                <w:sz w:val="20"/>
                <w:szCs w:val="20"/>
              </w:rPr>
            </w:pPr>
            <w:r w:rsidRPr="004E0762">
              <w:rPr>
                <w:sz w:val="20"/>
                <w:szCs w:val="20"/>
                <w:lang w:val="en-GB"/>
              </w:rPr>
              <w:t>MOXO-T</w:t>
            </w:r>
          </w:p>
        </w:tc>
        <w:tc>
          <w:tcPr>
            <w:tcW w:w="1100" w:type="dxa"/>
          </w:tcPr>
          <w:p w14:paraId="31B45014" w14:textId="77777777" w:rsidR="004E0762" w:rsidRPr="004E0762" w:rsidRDefault="004E0762" w:rsidP="004E0762">
            <w:pPr>
              <w:bidi w:val="0"/>
              <w:spacing w:line="480" w:lineRule="auto"/>
              <w:rPr>
                <w:sz w:val="20"/>
                <w:szCs w:val="20"/>
              </w:rPr>
            </w:pPr>
            <w:r w:rsidRPr="004E0762">
              <w:rPr>
                <w:sz w:val="20"/>
                <w:szCs w:val="20"/>
              </w:rPr>
              <w:t>-.066</w:t>
            </w:r>
          </w:p>
        </w:tc>
      </w:tr>
      <w:tr w:rsidR="004E0762" w:rsidRPr="004E0762" w14:paraId="24EF2624" w14:textId="77777777" w:rsidTr="00BA0A7E">
        <w:tc>
          <w:tcPr>
            <w:tcW w:w="1083" w:type="dxa"/>
            <w:vMerge/>
          </w:tcPr>
          <w:p w14:paraId="20637A35" w14:textId="77777777" w:rsidR="004E0762" w:rsidRPr="004E0762" w:rsidRDefault="004E0762" w:rsidP="004E0762">
            <w:pPr>
              <w:bidi w:val="0"/>
              <w:spacing w:line="480" w:lineRule="auto"/>
              <w:rPr>
                <w:sz w:val="20"/>
                <w:szCs w:val="20"/>
              </w:rPr>
            </w:pPr>
          </w:p>
        </w:tc>
        <w:tc>
          <w:tcPr>
            <w:tcW w:w="1350" w:type="dxa"/>
          </w:tcPr>
          <w:p w14:paraId="2353FB3A" w14:textId="77777777" w:rsidR="004E0762" w:rsidRPr="004E0762" w:rsidRDefault="004E0762" w:rsidP="004E0762">
            <w:pPr>
              <w:tabs>
                <w:tab w:val="left" w:pos="300"/>
              </w:tabs>
              <w:bidi w:val="0"/>
              <w:spacing w:line="480" w:lineRule="auto"/>
              <w:rPr>
                <w:sz w:val="20"/>
                <w:szCs w:val="20"/>
              </w:rPr>
            </w:pPr>
            <w:r w:rsidRPr="004E0762">
              <w:rPr>
                <w:sz w:val="20"/>
                <w:szCs w:val="20"/>
                <w:lang w:val="en-GB"/>
              </w:rPr>
              <w:t>MOXO-I</w:t>
            </w:r>
          </w:p>
        </w:tc>
        <w:tc>
          <w:tcPr>
            <w:tcW w:w="1100" w:type="dxa"/>
          </w:tcPr>
          <w:p w14:paraId="67D9ADD8" w14:textId="77777777" w:rsidR="004E0762" w:rsidRPr="004E0762" w:rsidRDefault="004E0762" w:rsidP="004E0762">
            <w:pPr>
              <w:bidi w:val="0"/>
              <w:spacing w:line="480" w:lineRule="auto"/>
              <w:rPr>
                <w:sz w:val="20"/>
                <w:szCs w:val="20"/>
              </w:rPr>
            </w:pPr>
            <w:r w:rsidRPr="004E0762">
              <w:rPr>
                <w:sz w:val="20"/>
                <w:szCs w:val="20"/>
              </w:rPr>
              <w:t>.088</w:t>
            </w:r>
          </w:p>
        </w:tc>
      </w:tr>
      <w:tr w:rsidR="004E0762" w:rsidRPr="004E0762" w14:paraId="638219C6" w14:textId="77777777" w:rsidTr="00BA0A7E">
        <w:tc>
          <w:tcPr>
            <w:tcW w:w="1083" w:type="dxa"/>
            <w:vMerge/>
          </w:tcPr>
          <w:p w14:paraId="0596F16C" w14:textId="77777777" w:rsidR="004E0762" w:rsidRPr="004E0762" w:rsidRDefault="004E0762" w:rsidP="004E0762">
            <w:pPr>
              <w:bidi w:val="0"/>
              <w:spacing w:line="480" w:lineRule="auto"/>
              <w:rPr>
                <w:sz w:val="20"/>
                <w:szCs w:val="20"/>
              </w:rPr>
            </w:pPr>
          </w:p>
        </w:tc>
        <w:tc>
          <w:tcPr>
            <w:tcW w:w="1350" w:type="dxa"/>
          </w:tcPr>
          <w:p w14:paraId="0AB87482" w14:textId="77777777" w:rsidR="004E0762" w:rsidRPr="004E0762" w:rsidRDefault="004E0762" w:rsidP="004E0762">
            <w:pPr>
              <w:tabs>
                <w:tab w:val="left" w:pos="300"/>
              </w:tabs>
              <w:bidi w:val="0"/>
              <w:spacing w:line="480" w:lineRule="auto"/>
              <w:rPr>
                <w:sz w:val="20"/>
                <w:szCs w:val="20"/>
                <w:rtl/>
              </w:rPr>
            </w:pPr>
            <w:r w:rsidRPr="004E0762">
              <w:rPr>
                <w:sz w:val="20"/>
                <w:szCs w:val="20"/>
                <w:lang w:val="en-GB"/>
              </w:rPr>
              <w:t>MOXO-H</w:t>
            </w:r>
          </w:p>
        </w:tc>
        <w:tc>
          <w:tcPr>
            <w:tcW w:w="1100" w:type="dxa"/>
          </w:tcPr>
          <w:p w14:paraId="615A6283" w14:textId="77777777" w:rsidR="004E0762" w:rsidRPr="004E0762" w:rsidRDefault="004E0762" w:rsidP="004E0762">
            <w:pPr>
              <w:bidi w:val="0"/>
              <w:spacing w:line="480" w:lineRule="auto"/>
              <w:rPr>
                <w:sz w:val="20"/>
                <w:szCs w:val="20"/>
              </w:rPr>
            </w:pPr>
            <w:r w:rsidRPr="004E0762">
              <w:rPr>
                <w:sz w:val="20"/>
                <w:szCs w:val="20"/>
              </w:rPr>
              <w:t>.057</w:t>
            </w:r>
          </w:p>
        </w:tc>
      </w:tr>
      <w:tr w:rsidR="004E0762" w:rsidRPr="004E0762" w14:paraId="6957DAE7" w14:textId="77777777" w:rsidTr="00BA0A7E">
        <w:tc>
          <w:tcPr>
            <w:tcW w:w="1083" w:type="dxa"/>
            <w:vMerge/>
          </w:tcPr>
          <w:p w14:paraId="1123A723" w14:textId="77777777" w:rsidR="004E0762" w:rsidRPr="004E0762" w:rsidRDefault="004E0762" w:rsidP="004E0762">
            <w:pPr>
              <w:bidi w:val="0"/>
              <w:spacing w:line="480" w:lineRule="auto"/>
              <w:rPr>
                <w:sz w:val="20"/>
                <w:szCs w:val="20"/>
              </w:rPr>
            </w:pPr>
          </w:p>
        </w:tc>
        <w:tc>
          <w:tcPr>
            <w:tcW w:w="1350" w:type="dxa"/>
          </w:tcPr>
          <w:p w14:paraId="1FCF93E7" w14:textId="77777777" w:rsidR="004E0762" w:rsidRPr="004E0762" w:rsidRDefault="004E0762" w:rsidP="004E0762">
            <w:pPr>
              <w:tabs>
                <w:tab w:val="left" w:pos="300"/>
              </w:tabs>
              <w:bidi w:val="0"/>
              <w:spacing w:line="480" w:lineRule="auto"/>
              <w:rPr>
                <w:sz w:val="20"/>
                <w:szCs w:val="20"/>
              </w:rPr>
            </w:pPr>
            <w:r w:rsidRPr="004E0762">
              <w:rPr>
                <w:sz w:val="20"/>
                <w:szCs w:val="20"/>
                <w:lang w:val="en-GB"/>
              </w:rPr>
              <w:t>Number of impaired indices</w:t>
            </w:r>
          </w:p>
        </w:tc>
        <w:tc>
          <w:tcPr>
            <w:tcW w:w="1100" w:type="dxa"/>
          </w:tcPr>
          <w:p w14:paraId="7969C281" w14:textId="77777777" w:rsidR="004E0762" w:rsidRPr="004E0762" w:rsidRDefault="004E0762" w:rsidP="004E0762">
            <w:pPr>
              <w:bidi w:val="0"/>
              <w:spacing w:line="480" w:lineRule="auto"/>
              <w:rPr>
                <w:sz w:val="20"/>
                <w:szCs w:val="20"/>
              </w:rPr>
            </w:pPr>
            <w:r w:rsidRPr="004E0762">
              <w:rPr>
                <w:sz w:val="20"/>
                <w:szCs w:val="20"/>
              </w:rPr>
              <w:t>.110</w:t>
            </w:r>
          </w:p>
        </w:tc>
      </w:tr>
      <w:tr w:rsidR="004E0762" w:rsidRPr="004E0762" w14:paraId="12856F15" w14:textId="77777777" w:rsidTr="00BA0A7E">
        <w:tc>
          <w:tcPr>
            <w:tcW w:w="1083" w:type="dxa"/>
            <w:vMerge/>
            <w:tcBorders>
              <w:bottom w:val="single" w:sz="4" w:space="0" w:color="auto"/>
            </w:tcBorders>
          </w:tcPr>
          <w:p w14:paraId="6A75BC7D" w14:textId="77777777" w:rsidR="004E0762" w:rsidRPr="004E0762" w:rsidRDefault="004E0762" w:rsidP="004E0762">
            <w:pPr>
              <w:bidi w:val="0"/>
              <w:spacing w:line="480" w:lineRule="auto"/>
              <w:rPr>
                <w:sz w:val="20"/>
                <w:szCs w:val="20"/>
              </w:rPr>
            </w:pPr>
          </w:p>
        </w:tc>
        <w:tc>
          <w:tcPr>
            <w:tcW w:w="1350" w:type="dxa"/>
            <w:tcBorders>
              <w:bottom w:val="single" w:sz="4" w:space="0" w:color="auto"/>
            </w:tcBorders>
          </w:tcPr>
          <w:p w14:paraId="41CCE8D1" w14:textId="77777777" w:rsidR="004E0762" w:rsidRPr="004E0762" w:rsidRDefault="004E0762" w:rsidP="004E0762">
            <w:pPr>
              <w:tabs>
                <w:tab w:val="left" w:pos="300"/>
              </w:tabs>
              <w:bidi w:val="0"/>
              <w:spacing w:line="480" w:lineRule="auto"/>
              <w:rPr>
                <w:sz w:val="20"/>
                <w:szCs w:val="20"/>
              </w:rPr>
            </w:pPr>
            <w:r w:rsidRPr="004E0762">
              <w:rPr>
                <w:sz w:val="20"/>
                <w:szCs w:val="20"/>
                <w:lang w:val="en-GB"/>
              </w:rPr>
              <w:t>Having at least one impaired CPT index</w:t>
            </w:r>
          </w:p>
        </w:tc>
        <w:tc>
          <w:tcPr>
            <w:tcW w:w="1100" w:type="dxa"/>
            <w:tcBorders>
              <w:bottom w:val="single" w:sz="4" w:space="0" w:color="auto"/>
            </w:tcBorders>
          </w:tcPr>
          <w:p w14:paraId="6D0C78DC" w14:textId="77777777" w:rsidR="004E0762" w:rsidRPr="004E0762" w:rsidRDefault="004E0762" w:rsidP="004E0762">
            <w:pPr>
              <w:bidi w:val="0"/>
              <w:spacing w:line="480" w:lineRule="auto"/>
              <w:rPr>
                <w:sz w:val="20"/>
                <w:szCs w:val="20"/>
              </w:rPr>
            </w:pPr>
            <w:r w:rsidRPr="004E0762">
              <w:rPr>
                <w:sz w:val="20"/>
                <w:szCs w:val="20"/>
              </w:rPr>
              <w:t>.158*</w:t>
            </w:r>
          </w:p>
        </w:tc>
      </w:tr>
    </w:tbl>
    <w:p w14:paraId="2403467B" w14:textId="77777777" w:rsidR="004E0762" w:rsidRPr="004E0762" w:rsidRDefault="004E0762" w:rsidP="004E0762">
      <w:pPr>
        <w:autoSpaceDE w:val="0"/>
        <w:autoSpaceDN w:val="0"/>
        <w:bidi w:val="0"/>
        <w:adjustRightInd w:val="0"/>
        <w:rPr>
          <w:rFonts w:eastAsia="Calibri"/>
        </w:rPr>
      </w:pPr>
    </w:p>
    <w:p w14:paraId="2CB3ABF6" w14:textId="77777777" w:rsidR="004E0762" w:rsidRPr="004E0762" w:rsidRDefault="004E0762" w:rsidP="004E0762">
      <w:pPr>
        <w:bidi w:val="0"/>
        <w:spacing w:line="480" w:lineRule="auto"/>
        <w:rPr>
          <w:b/>
          <w:bCs/>
        </w:rPr>
      </w:pPr>
      <w:r w:rsidRPr="004E0762">
        <w:rPr>
          <w:rFonts w:eastAsia="Calibri"/>
        </w:rPr>
        <w:t>*</w:t>
      </w:r>
      <w:r w:rsidRPr="004E0762">
        <w:rPr>
          <w:rFonts w:eastAsia="Calibri"/>
          <w:i/>
          <w:iCs/>
        </w:rPr>
        <w:t>p</w:t>
      </w:r>
      <w:r w:rsidRPr="004E0762">
        <w:rPr>
          <w:rFonts w:eastAsia="Calibri"/>
        </w:rPr>
        <w:t>&lt;.05; **</w:t>
      </w:r>
      <w:r w:rsidRPr="004E0762">
        <w:rPr>
          <w:rFonts w:eastAsia="Calibri"/>
          <w:i/>
          <w:iCs/>
        </w:rPr>
        <w:t>p</w:t>
      </w:r>
      <w:r w:rsidRPr="004E0762">
        <w:rPr>
          <w:rFonts w:eastAsia="Calibri"/>
        </w:rPr>
        <w:t>&lt;.01; ***</w:t>
      </w:r>
      <w:r w:rsidRPr="004E0762">
        <w:rPr>
          <w:rFonts w:eastAsia="Calibri"/>
          <w:i/>
          <w:iCs/>
        </w:rPr>
        <w:t>p</w:t>
      </w:r>
      <w:r w:rsidRPr="004E0762">
        <w:rPr>
          <w:rFonts w:eastAsia="Calibri"/>
        </w:rPr>
        <w:t>&lt;.001</w:t>
      </w:r>
    </w:p>
    <w:p w14:paraId="2460A93B" w14:textId="77777777" w:rsidR="004E0762" w:rsidRPr="00D823F5" w:rsidRDefault="004E0762" w:rsidP="004E0762">
      <w:pPr>
        <w:autoSpaceDE w:val="0"/>
        <w:autoSpaceDN w:val="0"/>
        <w:bidi w:val="0"/>
        <w:adjustRightInd w:val="0"/>
        <w:spacing w:line="480" w:lineRule="auto"/>
        <w:rPr>
          <w:rFonts w:eastAsia="TimesNewRomanPSMT"/>
        </w:rPr>
      </w:pPr>
    </w:p>
    <w:sectPr w:rsidR="004E0762" w:rsidRPr="00D823F5" w:rsidSect="00E44175">
      <w:footerReference w:type="even" r:id="rId8"/>
      <w:footerReference w:type="default" r:id="rId9"/>
      <w:pgSz w:w="11906" w:h="16838" w:code="9"/>
      <w:pgMar w:top="1440" w:right="1729" w:bottom="1440" w:left="1729"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9CDB" w14:textId="77777777" w:rsidR="00865EDC" w:rsidRDefault="00865EDC" w:rsidP="00E44175">
      <w:r>
        <w:separator/>
      </w:r>
    </w:p>
  </w:endnote>
  <w:endnote w:type="continuationSeparator" w:id="0">
    <w:p w14:paraId="6385D3BA" w14:textId="77777777" w:rsidR="00865EDC" w:rsidRDefault="00865EDC" w:rsidP="00E4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TimesNewRomanPSMT">
    <w:altName w:val="MS Minch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9C7D" w14:textId="77777777" w:rsidR="0036466D" w:rsidRDefault="000B62F4" w:rsidP="009A538E">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C5B8D" w14:textId="77777777" w:rsidR="0036466D" w:rsidRDefault="00865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F77C" w14:textId="77777777" w:rsidR="0036466D" w:rsidRDefault="000B62F4" w:rsidP="009A538E">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4175">
      <w:rPr>
        <w:rStyle w:val="PageNumber"/>
        <w:noProof/>
        <w:rtl/>
      </w:rPr>
      <w:t>1</w:t>
    </w:r>
    <w:r>
      <w:rPr>
        <w:rStyle w:val="PageNumber"/>
      </w:rPr>
      <w:fldChar w:fldCharType="end"/>
    </w:r>
  </w:p>
  <w:p w14:paraId="32B34CCE" w14:textId="77777777" w:rsidR="0036466D" w:rsidRDefault="0086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423D" w14:textId="77777777" w:rsidR="00865EDC" w:rsidRDefault="00865EDC" w:rsidP="00E44175">
      <w:r>
        <w:separator/>
      </w:r>
    </w:p>
  </w:footnote>
  <w:footnote w:type="continuationSeparator" w:id="0">
    <w:p w14:paraId="08706514" w14:textId="77777777" w:rsidR="00865EDC" w:rsidRDefault="00865EDC" w:rsidP="00E44175">
      <w:r>
        <w:continuationSeparator/>
      </w:r>
    </w:p>
  </w:footnote>
  <w:footnote w:id="1">
    <w:p w14:paraId="65AFCD69" w14:textId="77777777" w:rsidR="00E12F6C" w:rsidRPr="00CB713C" w:rsidRDefault="00E12F6C" w:rsidP="00602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bidi w:val="0"/>
      </w:pPr>
      <w:r w:rsidRPr="00CB713C">
        <w:rPr>
          <w:rStyle w:val="FootnoteReference"/>
        </w:rPr>
        <w:footnoteRef/>
      </w:r>
      <w:r w:rsidRPr="00CB713C">
        <w:t xml:space="preserve"> The term 'MOXO' derives from the world of Japanese martial arts and means a 'moment of lucidity'. It refers to the moments preceding the fight, when the warrior clears his mind from distracting, unwanted thoughts, and feelings. </w:t>
      </w:r>
    </w:p>
    <w:p w14:paraId="2468302E" w14:textId="77777777" w:rsidR="00E12F6C" w:rsidRPr="00A41AC6" w:rsidRDefault="00E12F6C" w:rsidP="00E12F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A3B7D"/>
    <w:multiLevelType w:val="multilevel"/>
    <w:tmpl w:val="D6B6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gsTS0MzU1NDM2MDCyUdpeDU4uLM/DyQAsNaANznfwIsAAAA"/>
  </w:docVars>
  <w:rsids>
    <w:rsidRoot w:val="00E44175"/>
    <w:rsid w:val="000B62F4"/>
    <w:rsid w:val="000C5D0D"/>
    <w:rsid w:val="000D1C23"/>
    <w:rsid w:val="000D4F9D"/>
    <w:rsid w:val="00134173"/>
    <w:rsid w:val="00143569"/>
    <w:rsid w:val="001D5A41"/>
    <w:rsid w:val="001E193C"/>
    <w:rsid w:val="002A783B"/>
    <w:rsid w:val="002D4582"/>
    <w:rsid w:val="004E0762"/>
    <w:rsid w:val="004F4546"/>
    <w:rsid w:val="005C2B2B"/>
    <w:rsid w:val="006022BB"/>
    <w:rsid w:val="006C1699"/>
    <w:rsid w:val="006C3D33"/>
    <w:rsid w:val="007231C3"/>
    <w:rsid w:val="007D4273"/>
    <w:rsid w:val="00865EDC"/>
    <w:rsid w:val="00913AA0"/>
    <w:rsid w:val="00A50CEA"/>
    <w:rsid w:val="00B342D9"/>
    <w:rsid w:val="00C8587A"/>
    <w:rsid w:val="00D8192D"/>
    <w:rsid w:val="00D9399E"/>
    <w:rsid w:val="00E12F6C"/>
    <w:rsid w:val="00E3258D"/>
    <w:rsid w:val="00E44175"/>
    <w:rsid w:val="00F06A25"/>
    <w:rsid w:val="00F7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3059"/>
  <w15:docId w15:val="{3112251F-79FC-4C9A-A6F9-4091BA09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75"/>
    <w:pPr>
      <w:bidi/>
      <w:spacing w:after="0" w:line="240" w:lineRule="auto"/>
    </w:pPr>
    <w:rPr>
      <w:rFonts w:ascii="Times New Roman" w:hAnsi="Times New Roman" w:cs="Times New Roman"/>
      <w:sz w:val="24"/>
      <w:szCs w:val="24"/>
      <w:lang w:bidi="he-IL"/>
    </w:rPr>
  </w:style>
  <w:style w:type="paragraph" w:styleId="Heading1">
    <w:name w:val="heading 1"/>
    <w:basedOn w:val="Normal"/>
    <w:link w:val="Heading1Char"/>
    <w:qFormat/>
    <w:rsid w:val="00F77D15"/>
    <w:pPr>
      <w:bidi w:val="0"/>
      <w:spacing w:before="100" w:beforeAutospacing="1" w:after="100" w:afterAutospacing="1" w:line="480" w:lineRule="auto"/>
      <w:outlineLvl w:val="0"/>
    </w:pPr>
    <w:rPr>
      <w:b/>
      <w:bCs/>
      <w:kern w:val="36"/>
      <w:sz w:val="48"/>
      <w:szCs w:val="48"/>
      <w:lang w:eastAsia="nl-NL" w:bidi="ar-SA"/>
    </w:rPr>
  </w:style>
  <w:style w:type="paragraph" w:styleId="Heading3">
    <w:name w:val="heading 3"/>
    <w:basedOn w:val="Normal"/>
    <w:next w:val="Normal"/>
    <w:link w:val="Heading3Char"/>
    <w:qFormat/>
    <w:rsid w:val="00F77D15"/>
    <w:pPr>
      <w:keepNext/>
      <w:bidi w:val="0"/>
      <w:spacing w:before="240" w:after="60" w:line="480" w:lineRule="auto"/>
      <w:outlineLvl w:val="2"/>
    </w:pPr>
    <w:rPr>
      <w:rFonts w:ascii="Cambria" w:hAnsi="Cambria"/>
      <w:b/>
      <w:bCs/>
      <w:sz w:val="26"/>
      <w:szCs w:val="26"/>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7D15"/>
    <w:rPr>
      <w:color w:val="0000FF"/>
      <w:u w:val="single"/>
    </w:rPr>
  </w:style>
  <w:style w:type="character" w:customStyle="1" w:styleId="st">
    <w:name w:val="st"/>
    <w:rsid w:val="00F77D15"/>
    <w:rPr>
      <w:rFonts w:cs="Times New Roman"/>
    </w:rPr>
  </w:style>
  <w:style w:type="character" w:customStyle="1" w:styleId="name">
    <w:name w:val="name"/>
    <w:basedOn w:val="DefaultParagraphFont"/>
    <w:rsid w:val="00F77D15"/>
  </w:style>
  <w:style w:type="character" w:customStyle="1" w:styleId="authornames">
    <w:name w:val="authornames"/>
    <w:basedOn w:val="DefaultParagraphFont"/>
    <w:rsid w:val="00F77D15"/>
  </w:style>
  <w:style w:type="character" w:customStyle="1" w:styleId="Heading1Char">
    <w:name w:val="Heading 1 Char"/>
    <w:basedOn w:val="DefaultParagraphFont"/>
    <w:link w:val="Heading1"/>
    <w:rsid w:val="00F77D15"/>
    <w:rPr>
      <w:rFonts w:ascii="Times New Roman" w:hAnsi="Times New Roman" w:cs="Times New Roman"/>
      <w:b/>
      <w:bCs/>
      <w:kern w:val="36"/>
      <w:sz w:val="48"/>
      <w:szCs w:val="48"/>
      <w:lang w:val="nl-NL" w:eastAsia="nl-NL"/>
    </w:rPr>
  </w:style>
  <w:style w:type="character" w:customStyle="1" w:styleId="ref-journal">
    <w:name w:val="ref-journal"/>
    <w:basedOn w:val="DefaultParagraphFont"/>
    <w:rsid w:val="00F77D15"/>
  </w:style>
  <w:style w:type="character" w:customStyle="1" w:styleId="ref-vol">
    <w:name w:val="ref-vol"/>
    <w:basedOn w:val="DefaultParagraphFont"/>
    <w:rsid w:val="00F77D15"/>
  </w:style>
  <w:style w:type="character" w:customStyle="1" w:styleId="Heading3Char">
    <w:name w:val="Heading 3 Char"/>
    <w:basedOn w:val="DefaultParagraphFont"/>
    <w:link w:val="Heading3"/>
    <w:rsid w:val="00F77D15"/>
    <w:rPr>
      <w:rFonts w:ascii="Cambria" w:hAnsi="Cambria" w:cs="Times New Roman"/>
      <w:b/>
      <w:bCs/>
      <w:sz w:val="26"/>
      <w:szCs w:val="26"/>
      <w:lang w:val="nl-NL" w:eastAsia="nl-NL"/>
    </w:rPr>
  </w:style>
  <w:style w:type="character" w:styleId="Emphasis">
    <w:name w:val="Emphasis"/>
    <w:uiPriority w:val="20"/>
    <w:qFormat/>
    <w:rsid w:val="00F77D15"/>
    <w:rPr>
      <w:i/>
      <w:iCs/>
    </w:rPr>
  </w:style>
  <w:style w:type="character" w:customStyle="1" w:styleId="citation-flpages">
    <w:name w:val="citation-flpages"/>
    <w:basedOn w:val="DefaultParagraphFont"/>
    <w:rsid w:val="00F77D15"/>
  </w:style>
  <w:style w:type="paragraph" w:customStyle="1" w:styleId="Default">
    <w:name w:val="Default"/>
    <w:uiPriority w:val="99"/>
    <w:rsid w:val="00F77D15"/>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customStyle="1" w:styleId="citation">
    <w:name w:val="citation"/>
    <w:rsid w:val="00F77D15"/>
    <w:rPr>
      <w:rFonts w:cs="Times New Roman"/>
    </w:rPr>
  </w:style>
  <w:style w:type="character" w:styleId="Strong">
    <w:name w:val="Strong"/>
    <w:basedOn w:val="DefaultParagraphFont"/>
    <w:uiPriority w:val="22"/>
    <w:qFormat/>
    <w:rsid w:val="001D5A41"/>
    <w:rPr>
      <w:b/>
      <w:bCs/>
    </w:rPr>
  </w:style>
  <w:style w:type="paragraph" w:styleId="z-TopofForm">
    <w:name w:val="HTML Top of Form"/>
    <w:basedOn w:val="Normal"/>
    <w:next w:val="Normal"/>
    <w:link w:val="z-TopofFormChar"/>
    <w:hidden/>
    <w:uiPriority w:val="99"/>
    <w:semiHidden/>
    <w:unhideWhenUsed/>
    <w:rsid w:val="001D5A41"/>
    <w:pPr>
      <w:pBdr>
        <w:bottom w:val="single" w:sz="6" w:space="1" w:color="auto"/>
      </w:pBdr>
      <w:bidi w:val="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5A41"/>
    <w:rPr>
      <w:rFonts w:ascii="Arial" w:hAnsi="Arial" w:cs="Arial"/>
      <w:vanish/>
      <w:sz w:val="16"/>
      <w:szCs w:val="16"/>
      <w:lang w:bidi="he-IL"/>
    </w:rPr>
  </w:style>
  <w:style w:type="paragraph" w:styleId="z-BottomofForm">
    <w:name w:val="HTML Bottom of Form"/>
    <w:basedOn w:val="Normal"/>
    <w:next w:val="Normal"/>
    <w:link w:val="z-BottomofFormChar"/>
    <w:hidden/>
    <w:uiPriority w:val="99"/>
    <w:semiHidden/>
    <w:unhideWhenUsed/>
    <w:rsid w:val="001D5A41"/>
    <w:pPr>
      <w:pBdr>
        <w:top w:val="single" w:sz="6" w:space="1" w:color="auto"/>
      </w:pBdr>
      <w:bidi w:val="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5A41"/>
    <w:rPr>
      <w:rFonts w:ascii="Arial" w:hAnsi="Arial" w:cs="Arial"/>
      <w:vanish/>
      <w:sz w:val="16"/>
      <w:szCs w:val="16"/>
      <w:lang w:bidi="he-IL"/>
    </w:rPr>
  </w:style>
  <w:style w:type="paragraph" w:styleId="BalloonText">
    <w:name w:val="Balloon Text"/>
    <w:basedOn w:val="Normal"/>
    <w:link w:val="BalloonTextChar"/>
    <w:uiPriority w:val="99"/>
    <w:semiHidden/>
    <w:unhideWhenUsed/>
    <w:rsid w:val="001D5A41"/>
    <w:pPr>
      <w:bidi w:val="0"/>
    </w:pPr>
    <w:rPr>
      <w:rFonts w:ascii="Tahoma" w:hAnsi="Tahoma" w:cs="Tahoma"/>
      <w:sz w:val="16"/>
      <w:szCs w:val="16"/>
      <w:lang w:eastAsia="nl-NL" w:bidi="ar-SA"/>
    </w:rPr>
  </w:style>
  <w:style w:type="character" w:customStyle="1" w:styleId="BalloonTextChar">
    <w:name w:val="Balloon Text Char"/>
    <w:basedOn w:val="DefaultParagraphFont"/>
    <w:link w:val="BalloonText"/>
    <w:uiPriority w:val="99"/>
    <w:semiHidden/>
    <w:rsid w:val="001D5A41"/>
    <w:rPr>
      <w:rFonts w:ascii="Tahoma" w:hAnsi="Tahoma" w:cs="Tahoma"/>
      <w:sz w:val="16"/>
      <w:szCs w:val="16"/>
      <w:lang w:val="nl-NL" w:eastAsia="nl-NL"/>
    </w:rPr>
  </w:style>
  <w:style w:type="character" w:customStyle="1" w:styleId="nowrap">
    <w:name w:val="nowrap"/>
    <w:basedOn w:val="DefaultParagraphFont"/>
    <w:rsid w:val="00F06A25"/>
  </w:style>
  <w:style w:type="character" w:customStyle="1" w:styleId="citation-abbreviation">
    <w:name w:val="citation-abbreviation"/>
    <w:basedOn w:val="DefaultParagraphFont"/>
    <w:rsid w:val="004F4546"/>
  </w:style>
  <w:style w:type="character" w:customStyle="1" w:styleId="citation-publication-date">
    <w:name w:val="citation-publication-date"/>
    <w:basedOn w:val="DefaultParagraphFont"/>
    <w:rsid w:val="004F4546"/>
  </w:style>
  <w:style w:type="character" w:customStyle="1" w:styleId="citation-volume">
    <w:name w:val="citation-volume"/>
    <w:basedOn w:val="DefaultParagraphFont"/>
    <w:rsid w:val="004F4546"/>
  </w:style>
  <w:style w:type="character" w:customStyle="1" w:styleId="fm-vol-iss-date">
    <w:name w:val="fm-vol-iss-date"/>
    <w:basedOn w:val="DefaultParagraphFont"/>
    <w:rsid w:val="004F4546"/>
  </w:style>
  <w:style w:type="character" w:customStyle="1" w:styleId="doi">
    <w:name w:val="doi"/>
    <w:basedOn w:val="DefaultParagraphFont"/>
    <w:rsid w:val="004F4546"/>
  </w:style>
  <w:style w:type="character" w:customStyle="1" w:styleId="fm-citation-ids-label">
    <w:name w:val="fm-citation-ids-label"/>
    <w:basedOn w:val="DefaultParagraphFont"/>
    <w:rsid w:val="004F4546"/>
  </w:style>
  <w:style w:type="character" w:customStyle="1" w:styleId="highlight">
    <w:name w:val="highlight"/>
    <w:basedOn w:val="DefaultParagraphFont"/>
    <w:rsid w:val="00E3258D"/>
  </w:style>
  <w:style w:type="paragraph" w:styleId="Footer">
    <w:name w:val="footer"/>
    <w:basedOn w:val="Normal"/>
    <w:link w:val="FooterChar"/>
    <w:uiPriority w:val="99"/>
    <w:rsid w:val="00E44175"/>
    <w:pPr>
      <w:tabs>
        <w:tab w:val="center" w:pos="4153"/>
        <w:tab w:val="right" w:pos="8306"/>
      </w:tabs>
    </w:pPr>
    <w:rPr>
      <w:lang w:val="nl-NL" w:eastAsia="nl-NL"/>
    </w:rPr>
  </w:style>
  <w:style w:type="character" w:customStyle="1" w:styleId="FooterChar">
    <w:name w:val="Footer Char"/>
    <w:basedOn w:val="DefaultParagraphFont"/>
    <w:link w:val="Footer"/>
    <w:uiPriority w:val="99"/>
    <w:rsid w:val="00E44175"/>
    <w:rPr>
      <w:rFonts w:ascii="Times New Roman" w:hAnsi="Times New Roman" w:cs="Times New Roman"/>
      <w:sz w:val="24"/>
      <w:szCs w:val="24"/>
      <w:lang w:val="nl-NL" w:eastAsia="nl-NL" w:bidi="he-IL"/>
    </w:rPr>
  </w:style>
  <w:style w:type="character" w:styleId="PageNumber">
    <w:name w:val="page number"/>
    <w:basedOn w:val="DefaultParagraphFont"/>
    <w:uiPriority w:val="99"/>
    <w:rsid w:val="00E44175"/>
    <w:rPr>
      <w:rFonts w:cs="Times New Roman"/>
    </w:rPr>
  </w:style>
  <w:style w:type="paragraph" w:styleId="Header">
    <w:name w:val="header"/>
    <w:basedOn w:val="Normal"/>
    <w:link w:val="HeaderChar"/>
    <w:uiPriority w:val="99"/>
    <w:rsid w:val="00E44175"/>
    <w:pPr>
      <w:tabs>
        <w:tab w:val="center" w:pos="4153"/>
        <w:tab w:val="right" w:pos="8306"/>
      </w:tabs>
      <w:suppressAutoHyphens/>
    </w:pPr>
    <w:rPr>
      <w:rFonts w:cs="David"/>
      <w:lang w:eastAsia="he-IL"/>
    </w:rPr>
  </w:style>
  <w:style w:type="character" w:customStyle="1" w:styleId="HeaderChar">
    <w:name w:val="Header Char"/>
    <w:basedOn w:val="DefaultParagraphFont"/>
    <w:link w:val="Header"/>
    <w:uiPriority w:val="99"/>
    <w:rsid w:val="00E44175"/>
    <w:rPr>
      <w:rFonts w:ascii="Times New Roman" w:hAnsi="Times New Roman" w:cs="David"/>
      <w:sz w:val="24"/>
      <w:szCs w:val="24"/>
      <w:lang w:eastAsia="he-IL" w:bidi="he-IL"/>
    </w:rPr>
  </w:style>
  <w:style w:type="character" w:styleId="LineNumber">
    <w:name w:val="line number"/>
    <w:basedOn w:val="DefaultParagraphFont"/>
    <w:uiPriority w:val="99"/>
    <w:semiHidden/>
    <w:unhideWhenUsed/>
    <w:rsid w:val="00E44175"/>
  </w:style>
  <w:style w:type="paragraph" w:styleId="FootnoteText">
    <w:name w:val="footnote text"/>
    <w:basedOn w:val="Normal"/>
    <w:link w:val="FootnoteTextChar"/>
    <w:rsid w:val="006C3D33"/>
    <w:pPr>
      <w:suppressAutoHyphens/>
      <w:spacing w:line="480" w:lineRule="auto"/>
    </w:pPr>
    <w:rPr>
      <w:rFonts w:eastAsia="Calibri"/>
      <w:sz w:val="20"/>
      <w:szCs w:val="20"/>
      <w:lang w:val="x-none" w:eastAsia="he-IL"/>
    </w:rPr>
  </w:style>
  <w:style w:type="character" w:customStyle="1" w:styleId="FootnoteTextChar">
    <w:name w:val="Footnote Text Char"/>
    <w:basedOn w:val="DefaultParagraphFont"/>
    <w:link w:val="FootnoteText"/>
    <w:rsid w:val="006C3D33"/>
    <w:rPr>
      <w:rFonts w:ascii="Times New Roman" w:eastAsia="Calibri" w:hAnsi="Times New Roman" w:cs="Times New Roman"/>
      <w:sz w:val="20"/>
      <w:szCs w:val="20"/>
      <w:lang w:val="x-none" w:eastAsia="he-IL" w:bidi="he-IL"/>
    </w:rPr>
  </w:style>
  <w:style w:type="character" w:styleId="FootnoteReference">
    <w:name w:val="footnote reference"/>
    <w:rsid w:val="006C3D33"/>
    <w:rPr>
      <w:rFonts w:cs="Times New Roman"/>
      <w:vertAlign w:val="superscript"/>
    </w:rPr>
  </w:style>
  <w:style w:type="table" w:customStyle="1" w:styleId="TableGrid1">
    <w:name w:val="Table Grid1"/>
    <w:basedOn w:val="TableNormal"/>
    <w:next w:val="TableGrid"/>
    <w:uiPriority w:val="39"/>
    <w:rsid w:val="004E0762"/>
    <w:pPr>
      <w:spacing w:after="0" w:line="240" w:lineRule="auto"/>
    </w:pPr>
    <w:rPr>
      <w:rFonts w:eastAsia="Calibr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E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5756">
      <w:bodyDiv w:val="1"/>
      <w:marLeft w:val="0"/>
      <w:marRight w:val="0"/>
      <w:marTop w:val="0"/>
      <w:marBottom w:val="0"/>
      <w:divBdr>
        <w:top w:val="none" w:sz="0" w:space="0" w:color="auto"/>
        <w:left w:val="none" w:sz="0" w:space="0" w:color="auto"/>
        <w:bottom w:val="none" w:sz="0" w:space="0" w:color="auto"/>
        <w:right w:val="none" w:sz="0" w:space="0" w:color="auto"/>
      </w:divBdr>
      <w:divsChild>
        <w:div w:id="792791286">
          <w:marLeft w:val="0"/>
          <w:marRight w:val="0"/>
          <w:marTop w:val="0"/>
          <w:marBottom w:val="0"/>
          <w:divBdr>
            <w:top w:val="none" w:sz="0" w:space="0" w:color="auto"/>
            <w:left w:val="none" w:sz="0" w:space="0" w:color="auto"/>
            <w:bottom w:val="none" w:sz="0" w:space="0" w:color="auto"/>
            <w:right w:val="none" w:sz="0" w:space="0" w:color="auto"/>
          </w:divBdr>
        </w:div>
        <w:div w:id="1405645212">
          <w:marLeft w:val="0"/>
          <w:marRight w:val="0"/>
          <w:marTop w:val="0"/>
          <w:marBottom w:val="0"/>
          <w:divBdr>
            <w:top w:val="none" w:sz="0" w:space="0" w:color="auto"/>
            <w:left w:val="none" w:sz="0" w:space="0" w:color="auto"/>
            <w:bottom w:val="none" w:sz="0" w:space="0" w:color="auto"/>
            <w:right w:val="none" w:sz="0" w:space="0" w:color="auto"/>
          </w:divBdr>
        </w:div>
      </w:divsChild>
    </w:div>
    <w:div w:id="634336694">
      <w:bodyDiv w:val="1"/>
      <w:marLeft w:val="0"/>
      <w:marRight w:val="0"/>
      <w:marTop w:val="0"/>
      <w:marBottom w:val="0"/>
      <w:divBdr>
        <w:top w:val="none" w:sz="0" w:space="0" w:color="auto"/>
        <w:left w:val="none" w:sz="0" w:space="0" w:color="auto"/>
        <w:bottom w:val="none" w:sz="0" w:space="0" w:color="auto"/>
        <w:right w:val="none" w:sz="0" w:space="0" w:color="auto"/>
      </w:divBdr>
      <w:divsChild>
        <w:div w:id="1365012670">
          <w:marLeft w:val="0"/>
          <w:marRight w:val="0"/>
          <w:marTop w:val="0"/>
          <w:marBottom w:val="0"/>
          <w:divBdr>
            <w:top w:val="none" w:sz="0" w:space="0" w:color="auto"/>
            <w:left w:val="none" w:sz="0" w:space="0" w:color="auto"/>
            <w:bottom w:val="none" w:sz="0" w:space="0" w:color="auto"/>
            <w:right w:val="none" w:sz="0" w:space="0" w:color="auto"/>
          </w:divBdr>
          <w:divsChild>
            <w:div w:id="1099907075">
              <w:marLeft w:val="0"/>
              <w:marRight w:val="0"/>
              <w:marTop w:val="0"/>
              <w:marBottom w:val="0"/>
              <w:divBdr>
                <w:top w:val="none" w:sz="0" w:space="0" w:color="auto"/>
                <w:left w:val="none" w:sz="0" w:space="0" w:color="auto"/>
                <w:bottom w:val="none" w:sz="0" w:space="0" w:color="auto"/>
                <w:right w:val="none" w:sz="0" w:space="0" w:color="auto"/>
              </w:divBdr>
              <w:divsChild>
                <w:div w:id="8505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4954">
      <w:bodyDiv w:val="1"/>
      <w:marLeft w:val="0"/>
      <w:marRight w:val="0"/>
      <w:marTop w:val="0"/>
      <w:marBottom w:val="0"/>
      <w:divBdr>
        <w:top w:val="none" w:sz="0" w:space="0" w:color="auto"/>
        <w:left w:val="none" w:sz="0" w:space="0" w:color="auto"/>
        <w:bottom w:val="none" w:sz="0" w:space="0" w:color="auto"/>
        <w:right w:val="none" w:sz="0" w:space="0" w:color="auto"/>
      </w:divBdr>
      <w:divsChild>
        <w:div w:id="1537893468">
          <w:marLeft w:val="0"/>
          <w:marRight w:val="0"/>
          <w:marTop w:val="0"/>
          <w:marBottom w:val="0"/>
          <w:divBdr>
            <w:top w:val="none" w:sz="0" w:space="0" w:color="auto"/>
            <w:left w:val="none" w:sz="0" w:space="0" w:color="auto"/>
            <w:bottom w:val="none" w:sz="0" w:space="0" w:color="auto"/>
            <w:right w:val="none" w:sz="0" w:space="0" w:color="auto"/>
          </w:divBdr>
        </w:div>
        <w:div w:id="1352413268">
          <w:marLeft w:val="0"/>
          <w:marRight w:val="0"/>
          <w:marTop w:val="0"/>
          <w:marBottom w:val="0"/>
          <w:divBdr>
            <w:top w:val="none" w:sz="0" w:space="0" w:color="auto"/>
            <w:left w:val="none" w:sz="0" w:space="0" w:color="auto"/>
            <w:bottom w:val="none" w:sz="0" w:space="0" w:color="auto"/>
            <w:right w:val="none" w:sz="0" w:space="0" w:color="auto"/>
          </w:divBdr>
        </w:div>
      </w:divsChild>
    </w:div>
    <w:div w:id="793718775">
      <w:bodyDiv w:val="1"/>
      <w:marLeft w:val="0"/>
      <w:marRight w:val="0"/>
      <w:marTop w:val="0"/>
      <w:marBottom w:val="0"/>
      <w:divBdr>
        <w:top w:val="none" w:sz="0" w:space="0" w:color="auto"/>
        <w:left w:val="none" w:sz="0" w:space="0" w:color="auto"/>
        <w:bottom w:val="none" w:sz="0" w:space="0" w:color="auto"/>
        <w:right w:val="none" w:sz="0" w:space="0" w:color="auto"/>
      </w:divBdr>
      <w:divsChild>
        <w:div w:id="1453983758">
          <w:marLeft w:val="0"/>
          <w:marRight w:val="0"/>
          <w:marTop w:val="0"/>
          <w:marBottom w:val="0"/>
          <w:divBdr>
            <w:top w:val="none" w:sz="0" w:space="0" w:color="auto"/>
            <w:left w:val="none" w:sz="0" w:space="0" w:color="auto"/>
            <w:bottom w:val="none" w:sz="0" w:space="0" w:color="auto"/>
            <w:right w:val="none" w:sz="0" w:space="0" w:color="auto"/>
          </w:divBdr>
        </w:div>
        <w:div w:id="361132552">
          <w:marLeft w:val="0"/>
          <w:marRight w:val="0"/>
          <w:marTop w:val="0"/>
          <w:marBottom w:val="0"/>
          <w:divBdr>
            <w:top w:val="none" w:sz="0" w:space="0" w:color="auto"/>
            <w:left w:val="none" w:sz="0" w:space="0" w:color="auto"/>
            <w:bottom w:val="none" w:sz="0" w:space="0" w:color="auto"/>
            <w:right w:val="none" w:sz="0" w:space="0" w:color="auto"/>
          </w:divBdr>
        </w:div>
        <w:div w:id="1485581333">
          <w:marLeft w:val="0"/>
          <w:marRight w:val="0"/>
          <w:marTop w:val="0"/>
          <w:marBottom w:val="0"/>
          <w:divBdr>
            <w:top w:val="none" w:sz="0" w:space="0" w:color="auto"/>
            <w:left w:val="none" w:sz="0" w:space="0" w:color="auto"/>
            <w:bottom w:val="none" w:sz="0" w:space="0" w:color="auto"/>
            <w:right w:val="none" w:sz="0" w:space="0" w:color="auto"/>
          </w:divBdr>
        </w:div>
      </w:divsChild>
    </w:div>
    <w:div w:id="869999778">
      <w:bodyDiv w:val="1"/>
      <w:marLeft w:val="0"/>
      <w:marRight w:val="0"/>
      <w:marTop w:val="0"/>
      <w:marBottom w:val="0"/>
      <w:divBdr>
        <w:top w:val="none" w:sz="0" w:space="0" w:color="auto"/>
        <w:left w:val="none" w:sz="0" w:space="0" w:color="auto"/>
        <w:bottom w:val="none" w:sz="0" w:space="0" w:color="auto"/>
        <w:right w:val="none" w:sz="0" w:space="0" w:color="auto"/>
      </w:divBdr>
      <w:divsChild>
        <w:div w:id="1904294923">
          <w:marLeft w:val="0"/>
          <w:marRight w:val="0"/>
          <w:marTop w:val="0"/>
          <w:marBottom w:val="0"/>
          <w:divBdr>
            <w:top w:val="none" w:sz="0" w:space="0" w:color="auto"/>
            <w:left w:val="none" w:sz="0" w:space="0" w:color="auto"/>
            <w:bottom w:val="none" w:sz="0" w:space="0" w:color="auto"/>
            <w:right w:val="none" w:sz="0" w:space="0" w:color="auto"/>
          </w:divBdr>
        </w:div>
        <w:div w:id="2075394706">
          <w:marLeft w:val="0"/>
          <w:marRight w:val="0"/>
          <w:marTop w:val="0"/>
          <w:marBottom w:val="0"/>
          <w:divBdr>
            <w:top w:val="none" w:sz="0" w:space="0" w:color="auto"/>
            <w:left w:val="none" w:sz="0" w:space="0" w:color="auto"/>
            <w:bottom w:val="none" w:sz="0" w:space="0" w:color="auto"/>
            <w:right w:val="none" w:sz="0" w:space="0" w:color="auto"/>
          </w:divBdr>
        </w:div>
      </w:divsChild>
    </w:div>
    <w:div w:id="942608222">
      <w:bodyDiv w:val="1"/>
      <w:marLeft w:val="0"/>
      <w:marRight w:val="0"/>
      <w:marTop w:val="0"/>
      <w:marBottom w:val="0"/>
      <w:divBdr>
        <w:top w:val="none" w:sz="0" w:space="0" w:color="auto"/>
        <w:left w:val="none" w:sz="0" w:space="0" w:color="auto"/>
        <w:bottom w:val="none" w:sz="0" w:space="0" w:color="auto"/>
        <w:right w:val="none" w:sz="0" w:space="0" w:color="auto"/>
      </w:divBdr>
      <w:divsChild>
        <w:div w:id="1200507546">
          <w:marLeft w:val="0"/>
          <w:marRight w:val="0"/>
          <w:marTop w:val="0"/>
          <w:marBottom w:val="0"/>
          <w:divBdr>
            <w:top w:val="none" w:sz="0" w:space="0" w:color="auto"/>
            <w:left w:val="none" w:sz="0" w:space="0" w:color="auto"/>
            <w:bottom w:val="none" w:sz="0" w:space="0" w:color="auto"/>
            <w:right w:val="none" w:sz="0" w:space="0" w:color="auto"/>
          </w:divBdr>
        </w:div>
        <w:div w:id="240456557">
          <w:marLeft w:val="0"/>
          <w:marRight w:val="0"/>
          <w:marTop w:val="0"/>
          <w:marBottom w:val="0"/>
          <w:divBdr>
            <w:top w:val="none" w:sz="0" w:space="0" w:color="auto"/>
            <w:left w:val="none" w:sz="0" w:space="0" w:color="auto"/>
            <w:bottom w:val="none" w:sz="0" w:space="0" w:color="auto"/>
            <w:right w:val="none" w:sz="0" w:space="0" w:color="auto"/>
          </w:divBdr>
        </w:div>
      </w:divsChild>
    </w:div>
    <w:div w:id="1209608509">
      <w:bodyDiv w:val="1"/>
      <w:marLeft w:val="0"/>
      <w:marRight w:val="0"/>
      <w:marTop w:val="0"/>
      <w:marBottom w:val="0"/>
      <w:divBdr>
        <w:top w:val="none" w:sz="0" w:space="0" w:color="auto"/>
        <w:left w:val="none" w:sz="0" w:space="0" w:color="auto"/>
        <w:bottom w:val="none" w:sz="0" w:space="0" w:color="auto"/>
        <w:right w:val="none" w:sz="0" w:space="0" w:color="auto"/>
      </w:divBdr>
      <w:divsChild>
        <w:div w:id="1444619347">
          <w:marLeft w:val="0"/>
          <w:marRight w:val="0"/>
          <w:marTop w:val="0"/>
          <w:marBottom w:val="0"/>
          <w:divBdr>
            <w:top w:val="none" w:sz="0" w:space="0" w:color="auto"/>
            <w:left w:val="none" w:sz="0" w:space="0" w:color="auto"/>
            <w:bottom w:val="none" w:sz="0" w:space="0" w:color="auto"/>
            <w:right w:val="none" w:sz="0" w:space="0" w:color="auto"/>
          </w:divBdr>
          <w:divsChild>
            <w:div w:id="816920142">
              <w:marLeft w:val="0"/>
              <w:marRight w:val="0"/>
              <w:marTop w:val="0"/>
              <w:marBottom w:val="0"/>
              <w:divBdr>
                <w:top w:val="none" w:sz="0" w:space="0" w:color="auto"/>
                <w:left w:val="none" w:sz="0" w:space="0" w:color="auto"/>
                <w:bottom w:val="none" w:sz="0" w:space="0" w:color="auto"/>
                <w:right w:val="none" w:sz="0" w:space="0" w:color="auto"/>
              </w:divBdr>
              <w:divsChild>
                <w:div w:id="663435120">
                  <w:marLeft w:val="0"/>
                  <w:marRight w:val="0"/>
                  <w:marTop w:val="0"/>
                  <w:marBottom w:val="0"/>
                  <w:divBdr>
                    <w:top w:val="none" w:sz="0" w:space="0" w:color="auto"/>
                    <w:left w:val="none" w:sz="0" w:space="0" w:color="auto"/>
                    <w:bottom w:val="none" w:sz="0" w:space="0" w:color="auto"/>
                    <w:right w:val="none" w:sz="0" w:space="0" w:color="auto"/>
                  </w:divBdr>
                  <w:divsChild>
                    <w:div w:id="490756493">
                      <w:marLeft w:val="0"/>
                      <w:marRight w:val="0"/>
                      <w:marTop w:val="0"/>
                      <w:marBottom w:val="0"/>
                      <w:divBdr>
                        <w:top w:val="none" w:sz="0" w:space="0" w:color="auto"/>
                        <w:left w:val="none" w:sz="0" w:space="0" w:color="auto"/>
                        <w:bottom w:val="none" w:sz="0" w:space="0" w:color="auto"/>
                        <w:right w:val="none" w:sz="0" w:space="0" w:color="auto"/>
                      </w:divBdr>
                      <w:divsChild>
                        <w:div w:id="1393965665">
                          <w:marLeft w:val="0"/>
                          <w:marRight w:val="0"/>
                          <w:marTop w:val="0"/>
                          <w:marBottom w:val="0"/>
                          <w:divBdr>
                            <w:top w:val="none" w:sz="0" w:space="0" w:color="auto"/>
                            <w:left w:val="none" w:sz="0" w:space="0" w:color="auto"/>
                            <w:bottom w:val="none" w:sz="0" w:space="0" w:color="auto"/>
                            <w:right w:val="none" w:sz="0" w:space="0" w:color="auto"/>
                          </w:divBdr>
                        </w:div>
                        <w:div w:id="8938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0488">
                  <w:marLeft w:val="0"/>
                  <w:marRight w:val="0"/>
                  <w:marTop w:val="0"/>
                  <w:marBottom w:val="0"/>
                  <w:divBdr>
                    <w:top w:val="none" w:sz="0" w:space="0" w:color="auto"/>
                    <w:left w:val="none" w:sz="0" w:space="0" w:color="auto"/>
                    <w:bottom w:val="none" w:sz="0" w:space="0" w:color="auto"/>
                    <w:right w:val="none" w:sz="0" w:space="0" w:color="auto"/>
                  </w:divBdr>
                  <w:divsChild>
                    <w:div w:id="1379475400">
                      <w:marLeft w:val="0"/>
                      <w:marRight w:val="0"/>
                      <w:marTop w:val="0"/>
                      <w:marBottom w:val="0"/>
                      <w:divBdr>
                        <w:top w:val="none" w:sz="0" w:space="0" w:color="auto"/>
                        <w:left w:val="none" w:sz="0" w:space="0" w:color="auto"/>
                        <w:bottom w:val="none" w:sz="0" w:space="0" w:color="auto"/>
                        <w:right w:val="none" w:sz="0" w:space="0" w:color="auto"/>
                      </w:divBdr>
                      <w:divsChild>
                        <w:div w:id="17751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3003">
          <w:marLeft w:val="0"/>
          <w:marRight w:val="0"/>
          <w:marTop w:val="0"/>
          <w:marBottom w:val="0"/>
          <w:divBdr>
            <w:top w:val="none" w:sz="0" w:space="0" w:color="auto"/>
            <w:left w:val="none" w:sz="0" w:space="0" w:color="auto"/>
            <w:bottom w:val="none" w:sz="0" w:space="0" w:color="auto"/>
            <w:right w:val="none" w:sz="0" w:space="0" w:color="auto"/>
          </w:divBdr>
          <w:divsChild>
            <w:div w:id="2148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272">
      <w:bodyDiv w:val="1"/>
      <w:marLeft w:val="0"/>
      <w:marRight w:val="0"/>
      <w:marTop w:val="0"/>
      <w:marBottom w:val="0"/>
      <w:divBdr>
        <w:top w:val="none" w:sz="0" w:space="0" w:color="auto"/>
        <w:left w:val="none" w:sz="0" w:space="0" w:color="auto"/>
        <w:bottom w:val="none" w:sz="0" w:space="0" w:color="auto"/>
        <w:right w:val="none" w:sz="0" w:space="0" w:color="auto"/>
      </w:divBdr>
      <w:divsChild>
        <w:div w:id="1587380139">
          <w:marLeft w:val="0"/>
          <w:marRight w:val="0"/>
          <w:marTop w:val="0"/>
          <w:marBottom w:val="0"/>
          <w:divBdr>
            <w:top w:val="none" w:sz="0" w:space="0" w:color="auto"/>
            <w:left w:val="none" w:sz="0" w:space="0" w:color="auto"/>
            <w:bottom w:val="none" w:sz="0" w:space="0" w:color="auto"/>
            <w:right w:val="none" w:sz="0" w:space="0" w:color="auto"/>
          </w:divBdr>
        </w:div>
        <w:div w:id="1593732765">
          <w:marLeft w:val="0"/>
          <w:marRight w:val="0"/>
          <w:marTop w:val="0"/>
          <w:marBottom w:val="0"/>
          <w:divBdr>
            <w:top w:val="none" w:sz="0" w:space="0" w:color="auto"/>
            <w:left w:val="none" w:sz="0" w:space="0" w:color="auto"/>
            <w:bottom w:val="none" w:sz="0" w:space="0" w:color="auto"/>
            <w:right w:val="none" w:sz="0" w:space="0" w:color="auto"/>
          </w:divBdr>
        </w:div>
        <w:div w:id="620571876">
          <w:marLeft w:val="0"/>
          <w:marRight w:val="0"/>
          <w:marTop w:val="0"/>
          <w:marBottom w:val="0"/>
          <w:divBdr>
            <w:top w:val="none" w:sz="0" w:space="0" w:color="auto"/>
            <w:left w:val="none" w:sz="0" w:space="0" w:color="auto"/>
            <w:bottom w:val="none" w:sz="0" w:space="0" w:color="auto"/>
            <w:right w:val="none" w:sz="0" w:space="0" w:color="auto"/>
          </w:divBdr>
        </w:div>
        <w:div w:id="705444102">
          <w:marLeft w:val="0"/>
          <w:marRight w:val="0"/>
          <w:marTop w:val="0"/>
          <w:marBottom w:val="0"/>
          <w:divBdr>
            <w:top w:val="none" w:sz="0" w:space="0" w:color="auto"/>
            <w:left w:val="none" w:sz="0" w:space="0" w:color="auto"/>
            <w:bottom w:val="none" w:sz="0" w:space="0" w:color="auto"/>
            <w:right w:val="none" w:sz="0" w:space="0" w:color="auto"/>
          </w:divBdr>
        </w:div>
        <w:div w:id="641352093">
          <w:marLeft w:val="0"/>
          <w:marRight w:val="0"/>
          <w:marTop w:val="0"/>
          <w:marBottom w:val="0"/>
          <w:divBdr>
            <w:top w:val="none" w:sz="0" w:space="0" w:color="auto"/>
            <w:left w:val="none" w:sz="0" w:space="0" w:color="auto"/>
            <w:bottom w:val="none" w:sz="0" w:space="0" w:color="auto"/>
            <w:right w:val="none" w:sz="0" w:space="0" w:color="auto"/>
          </w:divBdr>
        </w:div>
        <w:div w:id="1292519999">
          <w:marLeft w:val="0"/>
          <w:marRight w:val="0"/>
          <w:marTop w:val="0"/>
          <w:marBottom w:val="0"/>
          <w:divBdr>
            <w:top w:val="none" w:sz="0" w:space="0" w:color="auto"/>
            <w:left w:val="none" w:sz="0" w:space="0" w:color="auto"/>
            <w:bottom w:val="none" w:sz="0" w:space="0" w:color="auto"/>
            <w:right w:val="none" w:sz="0" w:space="0" w:color="auto"/>
          </w:divBdr>
        </w:div>
        <w:div w:id="1701394900">
          <w:marLeft w:val="0"/>
          <w:marRight w:val="0"/>
          <w:marTop w:val="0"/>
          <w:marBottom w:val="0"/>
          <w:divBdr>
            <w:top w:val="none" w:sz="0" w:space="0" w:color="auto"/>
            <w:left w:val="none" w:sz="0" w:space="0" w:color="auto"/>
            <w:bottom w:val="none" w:sz="0" w:space="0" w:color="auto"/>
            <w:right w:val="none" w:sz="0" w:space="0" w:color="auto"/>
          </w:divBdr>
        </w:div>
        <w:div w:id="258635056">
          <w:marLeft w:val="0"/>
          <w:marRight w:val="0"/>
          <w:marTop w:val="0"/>
          <w:marBottom w:val="0"/>
          <w:divBdr>
            <w:top w:val="none" w:sz="0" w:space="0" w:color="auto"/>
            <w:left w:val="none" w:sz="0" w:space="0" w:color="auto"/>
            <w:bottom w:val="none" w:sz="0" w:space="0" w:color="auto"/>
            <w:right w:val="none" w:sz="0" w:space="0" w:color="auto"/>
          </w:divBdr>
        </w:div>
      </w:divsChild>
    </w:div>
    <w:div w:id="1536775391">
      <w:bodyDiv w:val="1"/>
      <w:marLeft w:val="0"/>
      <w:marRight w:val="0"/>
      <w:marTop w:val="0"/>
      <w:marBottom w:val="0"/>
      <w:divBdr>
        <w:top w:val="none" w:sz="0" w:space="0" w:color="auto"/>
        <w:left w:val="none" w:sz="0" w:space="0" w:color="auto"/>
        <w:bottom w:val="none" w:sz="0" w:space="0" w:color="auto"/>
        <w:right w:val="none" w:sz="0" w:space="0" w:color="auto"/>
      </w:divBdr>
      <w:divsChild>
        <w:div w:id="690496590">
          <w:marLeft w:val="0"/>
          <w:marRight w:val="0"/>
          <w:marTop w:val="0"/>
          <w:marBottom w:val="0"/>
          <w:divBdr>
            <w:top w:val="none" w:sz="0" w:space="0" w:color="auto"/>
            <w:left w:val="none" w:sz="0" w:space="0" w:color="auto"/>
            <w:bottom w:val="none" w:sz="0" w:space="0" w:color="auto"/>
            <w:right w:val="none" w:sz="0" w:space="0" w:color="auto"/>
          </w:divBdr>
        </w:div>
      </w:divsChild>
    </w:div>
    <w:div w:id="1617327265">
      <w:bodyDiv w:val="1"/>
      <w:marLeft w:val="0"/>
      <w:marRight w:val="0"/>
      <w:marTop w:val="0"/>
      <w:marBottom w:val="0"/>
      <w:divBdr>
        <w:top w:val="none" w:sz="0" w:space="0" w:color="auto"/>
        <w:left w:val="none" w:sz="0" w:space="0" w:color="auto"/>
        <w:bottom w:val="none" w:sz="0" w:space="0" w:color="auto"/>
        <w:right w:val="none" w:sz="0" w:space="0" w:color="auto"/>
      </w:divBdr>
      <w:divsChild>
        <w:div w:id="1152481813">
          <w:marLeft w:val="0"/>
          <w:marRight w:val="0"/>
          <w:marTop w:val="0"/>
          <w:marBottom w:val="0"/>
          <w:divBdr>
            <w:top w:val="none" w:sz="0" w:space="0" w:color="auto"/>
            <w:left w:val="none" w:sz="0" w:space="0" w:color="auto"/>
            <w:bottom w:val="none" w:sz="0" w:space="0" w:color="auto"/>
            <w:right w:val="none" w:sz="0" w:space="0" w:color="auto"/>
          </w:divBdr>
        </w:div>
        <w:div w:id="687409562">
          <w:marLeft w:val="0"/>
          <w:marRight w:val="0"/>
          <w:marTop w:val="0"/>
          <w:marBottom w:val="0"/>
          <w:divBdr>
            <w:top w:val="none" w:sz="0" w:space="0" w:color="auto"/>
            <w:left w:val="none" w:sz="0" w:space="0" w:color="auto"/>
            <w:bottom w:val="none" w:sz="0" w:space="0" w:color="auto"/>
            <w:right w:val="none" w:sz="0" w:space="0" w:color="auto"/>
          </w:divBdr>
        </w:div>
      </w:divsChild>
    </w:div>
    <w:div w:id="1732071438">
      <w:bodyDiv w:val="1"/>
      <w:marLeft w:val="0"/>
      <w:marRight w:val="0"/>
      <w:marTop w:val="0"/>
      <w:marBottom w:val="0"/>
      <w:divBdr>
        <w:top w:val="none" w:sz="0" w:space="0" w:color="auto"/>
        <w:left w:val="none" w:sz="0" w:space="0" w:color="auto"/>
        <w:bottom w:val="none" w:sz="0" w:space="0" w:color="auto"/>
        <w:right w:val="none" w:sz="0" w:space="0" w:color="auto"/>
      </w:divBdr>
      <w:divsChild>
        <w:div w:id="355235566">
          <w:marLeft w:val="0"/>
          <w:marRight w:val="0"/>
          <w:marTop w:val="0"/>
          <w:marBottom w:val="0"/>
          <w:divBdr>
            <w:top w:val="none" w:sz="0" w:space="0" w:color="auto"/>
            <w:left w:val="none" w:sz="0" w:space="0" w:color="auto"/>
            <w:bottom w:val="none" w:sz="0" w:space="0" w:color="auto"/>
            <w:right w:val="none" w:sz="0" w:space="0" w:color="auto"/>
          </w:divBdr>
        </w:div>
        <w:div w:id="959840856">
          <w:marLeft w:val="0"/>
          <w:marRight w:val="0"/>
          <w:marTop w:val="0"/>
          <w:marBottom w:val="0"/>
          <w:divBdr>
            <w:top w:val="none" w:sz="0" w:space="0" w:color="auto"/>
            <w:left w:val="none" w:sz="0" w:space="0" w:color="auto"/>
            <w:bottom w:val="none" w:sz="0" w:space="0" w:color="auto"/>
            <w:right w:val="none" w:sz="0" w:space="0" w:color="auto"/>
          </w:divBdr>
        </w:div>
        <w:div w:id="90012052">
          <w:marLeft w:val="0"/>
          <w:marRight w:val="0"/>
          <w:marTop w:val="0"/>
          <w:marBottom w:val="0"/>
          <w:divBdr>
            <w:top w:val="none" w:sz="0" w:space="0" w:color="auto"/>
            <w:left w:val="none" w:sz="0" w:space="0" w:color="auto"/>
            <w:bottom w:val="none" w:sz="0" w:space="0" w:color="auto"/>
            <w:right w:val="none" w:sz="0" w:space="0" w:color="auto"/>
          </w:divBdr>
        </w:div>
        <w:div w:id="1044907569">
          <w:marLeft w:val="0"/>
          <w:marRight w:val="0"/>
          <w:marTop w:val="0"/>
          <w:marBottom w:val="0"/>
          <w:divBdr>
            <w:top w:val="none" w:sz="0" w:space="0" w:color="auto"/>
            <w:left w:val="none" w:sz="0" w:space="0" w:color="auto"/>
            <w:bottom w:val="none" w:sz="0" w:space="0" w:color="auto"/>
            <w:right w:val="none" w:sz="0" w:space="0" w:color="auto"/>
          </w:divBdr>
        </w:div>
        <w:div w:id="439110380">
          <w:marLeft w:val="0"/>
          <w:marRight w:val="0"/>
          <w:marTop w:val="0"/>
          <w:marBottom w:val="0"/>
          <w:divBdr>
            <w:top w:val="none" w:sz="0" w:space="0" w:color="auto"/>
            <w:left w:val="none" w:sz="0" w:space="0" w:color="auto"/>
            <w:bottom w:val="none" w:sz="0" w:space="0" w:color="auto"/>
            <w:right w:val="none" w:sz="0" w:space="0" w:color="auto"/>
          </w:divBdr>
        </w:div>
        <w:div w:id="1674458395">
          <w:marLeft w:val="0"/>
          <w:marRight w:val="0"/>
          <w:marTop w:val="0"/>
          <w:marBottom w:val="0"/>
          <w:divBdr>
            <w:top w:val="none" w:sz="0" w:space="0" w:color="auto"/>
            <w:left w:val="none" w:sz="0" w:space="0" w:color="auto"/>
            <w:bottom w:val="none" w:sz="0" w:space="0" w:color="auto"/>
            <w:right w:val="none" w:sz="0" w:space="0" w:color="auto"/>
          </w:divBdr>
        </w:div>
        <w:div w:id="1642996485">
          <w:marLeft w:val="0"/>
          <w:marRight w:val="0"/>
          <w:marTop w:val="0"/>
          <w:marBottom w:val="0"/>
          <w:divBdr>
            <w:top w:val="none" w:sz="0" w:space="0" w:color="auto"/>
            <w:left w:val="none" w:sz="0" w:space="0" w:color="auto"/>
            <w:bottom w:val="none" w:sz="0" w:space="0" w:color="auto"/>
            <w:right w:val="none" w:sz="0" w:space="0" w:color="auto"/>
          </w:divBdr>
        </w:div>
        <w:div w:id="33501770">
          <w:marLeft w:val="0"/>
          <w:marRight w:val="0"/>
          <w:marTop w:val="0"/>
          <w:marBottom w:val="0"/>
          <w:divBdr>
            <w:top w:val="none" w:sz="0" w:space="0" w:color="auto"/>
            <w:left w:val="none" w:sz="0" w:space="0" w:color="auto"/>
            <w:bottom w:val="none" w:sz="0" w:space="0" w:color="auto"/>
            <w:right w:val="none" w:sz="0" w:space="0" w:color="auto"/>
          </w:divBdr>
        </w:div>
      </w:divsChild>
    </w:div>
    <w:div w:id="1843230717">
      <w:bodyDiv w:val="1"/>
      <w:marLeft w:val="0"/>
      <w:marRight w:val="0"/>
      <w:marTop w:val="0"/>
      <w:marBottom w:val="0"/>
      <w:divBdr>
        <w:top w:val="none" w:sz="0" w:space="0" w:color="auto"/>
        <w:left w:val="none" w:sz="0" w:space="0" w:color="auto"/>
        <w:bottom w:val="none" w:sz="0" w:space="0" w:color="auto"/>
        <w:right w:val="none" w:sz="0" w:space="0" w:color="auto"/>
      </w:divBdr>
      <w:divsChild>
        <w:div w:id="906303855">
          <w:marLeft w:val="0"/>
          <w:marRight w:val="0"/>
          <w:marTop w:val="0"/>
          <w:marBottom w:val="0"/>
          <w:divBdr>
            <w:top w:val="none" w:sz="0" w:space="0" w:color="auto"/>
            <w:left w:val="none" w:sz="0" w:space="0" w:color="auto"/>
            <w:bottom w:val="none" w:sz="0" w:space="0" w:color="auto"/>
            <w:right w:val="none" w:sz="0" w:space="0" w:color="auto"/>
          </w:divBdr>
        </w:div>
        <w:div w:id="149398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E1FC09-705F-4F75-B16C-79D605D4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5947</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Ortal</dc:creator>
  <cp:lastModifiedBy>Kate Horsnell</cp:lastModifiedBy>
  <cp:revision>2</cp:revision>
  <dcterms:created xsi:type="dcterms:W3CDTF">2022-01-27T19:21:00Z</dcterms:created>
  <dcterms:modified xsi:type="dcterms:W3CDTF">2022-01-27T19:21:00Z</dcterms:modified>
</cp:coreProperties>
</file>