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300C85" w:rsidRDefault="00654E8F" w:rsidP="0001436A">
      <w:pPr>
        <w:pStyle w:val="SupplementaryMaterial"/>
        <w:rPr>
          <w:b w:val="0"/>
        </w:rPr>
      </w:pPr>
      <w:r w:rsidRPr="00300C85">
        <w:t>Supplementary Material</w:t>
      </w:r>
    </w:p>
    <w:p w14:paraId="3C419443" w14:textId="1DE6F810" w:rsidR="00994A3D" w:rsidRPr="00300C85" w:rsidRDefault="007B31FB" w:rsidP="00994A3D">
      <w:pPr>
        <w:keepNext/>
        <w:jc w:val="center"/>
        <w:rPr>
          <w:rFonts w:cs="Times New Roman"/>
          <w:szCs w:val="24"/>
        </w:rPr>
      </w:pPr>
      <w:r w:rsidRPr="00300C85">
        <w:rPr>
          <w:noProof/>
          <w:lang w:val="en-GB" w:eastAsia="zh-CN"/>
        </w:rPr>
        <w:drawing>
          <wp:inline distT="0" distB="0" distL="0" distR="0" wp14:anchorId="40C74EF6" wp14:editId="025D8563">
            <wp:extent cx="4933714" cy="5095875"/>
            <wp:effectExtent l="0" t="0" r="635" b="0"/>
            <wp:docPr id="3" name="圖片 1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714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5DCF922A" w:rsidR="00994A3D" w:rsidRPr="00300C85" w:rsidRDefault="00994A3D" w:rsidP="00330F9E">
      <w:pPr>
        <w:keepNext/>
        <w:rPr>
          <w:rFonts w:cs="Times New Roman"/>
          <w:szCs w:val="24"/>
        </w:rPr>
      </w:pPr>
      <w:r w:rsidRPr="00300C85">
        <w:rPr>
          <w:rFonts w:cs="Times New Roman"/>
          <w:b/>
          <w:szCs w:val="24"/>
        </w:rPr>
        <w:t xml:space="preserve">Supplementary Figure </w:t>
      </w:r>
      <w:r w:rsidRPr="00300C85">
        <w:rPr>
          <w:rFonts w:cs="Times New Roman"/>
          <w:b/>
          <w:szCs w:val="24"/>
        </w:rPr>
        <w:fldChar w:fldCharType="begin"/>
      </w:r>
      <w:r w:rsidRPr="00300C85">
        <w:rPr>
          <w:rFonts w:cs="Times New Roman"/>
          <w:b/>
          <w:szCs w:val="24"/>
        </w:rPr>
        <w:instrText xml:space="preserve"> SEQ Figure \* ARABIC </w:instrText>
      </w:r>
      <w:r w:rsidRPr="00300C85">
        <w:rPr>
          <w:rFonts w:cs="Times New Roman"/>
          <w:b/>
          <w:szCs w:val="24"/>
        </w:rPr>
        <w:fldChar w:fldCharType="separate"/>
      </w:r>
      <w:r w:rsidR="00ED20B5" w:rsidRPr="00300C85">
        <w:rPr>
          <w:rFonts w:cs="Times New Roman"/>
          <w:b/>
          <w:noProof/>
          <w:szCs w:val="24"/>
        </w:rPr>
        <w:t>1</w:t>
      </w:r>
      <w:r w:rsidRPr="00300C85">
        <w:rPr>
          <w:rFonts w:cs="Times New Roman"/>
          <w:b/>
          <w:szCs w:val="24"/>
        </w:rPr>
        <w:fldChar w:fldCharType="end"/>
      </w:r>
      <w:r w:rsidRPr="00300C85">
        <w:rPr>
          <w:rFonts w:cs="Times New Roman"/>
          <w:b/>
          <w:szCs w:val="24"/>
        </w:rPr>
        <w:t>.</w:t>
      </w:r>
      <w:r w:rsidRPr="00300C85">
        <w:rPr>
          <w:rFonts w:cs="Times New Roman"/>
          <w:szCs w:val="24"/>
        </w:rPr>
        <w:t xml:space="preserve"> </w:t>
      </w:r>
      <w:r w:rsidR="00330F9E" w:rsidRPr="00300C85">
        <w:rPr>
          <w:rFonts w:cs="Times New Roman"/>
          <w:szCs w:val="24"/>
        </w:rPr>
        <w:t>Subgroup analysis of t</w:t>
      </w:r>
      <w:r w:rsidR="00A20420" w:rsidRPr="00300C85">
        <w:rPr>
          <w:rFonts w:cs="Times New Roman"/>
          <w:szCs w:val="24"/>
        </w:rPr>
        <w:t>reatment effect on new stroke in</w:t>
      </w:r>
      <w:r w:rsidR="00330F9E" w:rsidRPr="00300C85">
        <w:rPr>
          <w:rFonts w:cs="Times New Roman"/>
          <w:szCs w:val="24"/>
        </w:rPr>
        <w:t xml:space="preserve"> </w:t>
      </w:r>
      <w:r w:rsidR="00A20420" w:rsidRPr="00300C85">
        <w:rPr>
          <w:rFonts w:cs="Times New Roman"/>
          <w:szCs w:val="24"/>
        </w:rPr>
        <w:t xml:space="preserve">the </w:t>
      </w:r>
      <w:r w:rsidR="00330F9E" w:rsidRPr="00300C85">
        <w:rPr>
          <w:rFonts w:cs="Times New Roman"/>
          <w:szCs w:val="24"/>
        </w:rPr>
        <w:t xml:space="preserve">high PAC </w:t>
      </w:r>
      <w:r w:rsidR="00A20420" w:rsidRPr="00300C85">
        <w:rPr>
          <w:rFonts w:cs="Times New Roman"/>
          <w:szCs w:val="24"/>
        </w:rPr>
        <w:t xml:space="preserve">burden sub-cohort. </w:t>
      </w:r>
      <w:proofErr w:type="spellStart"/>
      <w:r w:rsidR="00330F9E" w:rsidRPr="00300C85">
        <w:rPr>
          <w:rFonts w:cs="Times New Roman"/>
          <w:szCs w:val="24"/>
        </w:rPr>
        <w:t>ACEi</w:t>
      </w:r>
      <w:proofErr w:type="spellEnd"/>
      <w:r w:rsidR="00330F9E" w:rsidRPr="00300C85">
        <w:rPr>
          <w:rFonts w:cs="Times New Roman"/>
          <w:szCs w:val="24"/>
        </w:rPr>
        <w:t>/ARB, angiotensin-converting enzyme inhibitor/angiotensin receptor blocker; CAD, coronary artery disease; CKD, chronic kidney disease; DM, diabetes mellitus; HF, heart failure</w:t>
      </w:r>
      <w:r w:rsidR="00A20420" w:rsidRPr="00300C85">
        <w:rPr>
          <w:rFonts w:cs="Times New Roman"/>
          <w:szCs w:val="24"/>
        </w:rPr>
        <w:t>.</w:t>
      </w:r>
    </w:p>
    <w:p w14:paraId="486C220A" w14:textId="77777777" w:rsidR="00C82353" w:rsidRPr="00300C85" w:rsidRDefault="00C82353">
      <w:pPr>
        <w:spacing w:before="0" w:after="200" w:line="276" w:lineRule="auto"/>
        <w:rPr>
          <w:rFonts w:cs="Times New Roman"/>
          <w:b/>
          <w:szCs w:val="24"/>
        </w:rPr>
      </w:pPr>
      <w:r w:rsidRPr="00300C85">
        <w:rPr>
          <w:rFonts w:cs="Times New Roman"/>
          <w:b/>
          <w:szCs w:val="24"/>
        </w:rPr>
        <w:br w:type="page"/>
      </w:r>
    </w:p>
    <w:p w14:paraId="1F173F12" w14:textId="4CDFFFFB" w:rsidR="00330F9E" w:rsidRPr="00300C85" w:rsidRDefault="002F344B" w:rsidP="00330F9E">
      <w:pPr>
        <w:keepNext/>
        <w:jc w:val="center"/>
        <w:rPr>
          <w:rFonts w:cs="Times New Roman"/>
          <w:b/>
          <w:szCs w:val="24"/>
        </w:rPr>
      </w:pPr>
      <w:r w:rsidRPr="00300C85">
        <w:rPr>
          <w:noProof/>
          <w:lang w:val="en-GB" w:eastAsia="zh-CN"/>
        </w:rPr>
        <w:lastRenderedPageBreak/>
        <w:drawing>
          <wp:inline distT="0" distB="0" distL="0" distR="0" wp14:anchorId="1BDFD4C8" wp14:editId="2746D8F9">
            <wp:extent cx="5038725" cy="7124949"/>
            <wp:effectExtent l="0" t="0" r="0" b="0"/>
            <wp:docPr id="2" name="圖片 2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17" cy="716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1AB7B" w14:textId="7980D09A" w:rsidR="00C82353" w:rsidRPr="00300C85" w:rsidRDefault="006D091D" w:rsidP="00402E2A">
      <w:pPr>
        <w:keepNext/>
        <w:rPr>
          <w:rFonts w:cs="Times New Roman"/>
          <w:bCs/>
          <w:szCs w:val="24"/>
        </w:rPr>
      </w:pPr>
      <w:r w:rsidRPr="00300C85">
        <w:rPr>
          <w:rFonts w:cs="Times New Roman"/>
          <w:b/>
          <w:szCs w:val="24"/>
        </w:rPr>
        <w:t>Supplementary Figure 2</w:t>
      </w:r>
      <w:r w:rsidR="0003583C" w:rsidRPr="00300C85">
        <w:rPr>
          <w:rFonts w:cs="Times New Roman"/>
          <w:b/>
          <w:szCs w:val="24"/>
        </w:rPr>
        <w:t>.</w:t>
      </w:r>
      <w:r w:rsidR="0003583C" w:rsidRPr="00300C85">
        <w:rPr>
          <w:rFonts w:cs="Times New Roman"/>
          <w:bCs/>
          <w:szCs w:val="24"/>
        </w:rPr>
        <w:t xml:space="preserve"> </w:t>
      </w:r>
      <w:r w:rsidRPr="00300C85">
        <w:rPr>
          <w:rFonts w:cs="Times New Roman"/>
          <w:bCs/>
          <w:szCs w:val="24"/>
        </w:rPr>
        <w:t xml:space="preserve">Subgroup analysis </w:t>
      </w:r>
      <w:r w:rsidR="00A20420" w:rsidRPr="00300C85">
        <w:rPr>
          <w:rFonts w:cs="Times New Roman"/>
          <w:bCs/>
          <w:szCs w:val="24"/>
        </w:rPr>
        <w:t>of treatment effect on new AF in</w:t>
      </w:r>
      <w:r w:rsidRPr="00300C85">
        <w:rPr>
          <w:rFonts w:cs="Times New Roman"/>
          <w:bCs/>
          <w:szCs w:val="24"/>
        </w:rPr>
        <w:t xml:space="preserve"> </w:t>
      </w:r>
      <w:r w:rsidR="00A20420" w:rsidRPr="00300C85">
        <w:rPr>
          <w:rFonts w:cs="Times New Roman"/>
          <w:bCs/>
          <w:szCs w:val="24"/>
        </w:rPr>
        <w:t xml:space="preserve">the </w:t>
      </w:r>
      <w:r w:rsidRPr="00300C85">
        <w:rPr>
          <w:rFonts w:cs="Times New Roman"/>
          <w:bCs/>
          <w:szCs w:val="24"/>
        </w:rPr>
        <w:t xml:space="preserve">high PAC burden sub-cohort. </w:t>
      </w:r>
      <w:proofErr w:type="spellStart"/>
      <w:r w:rsidRPr="00300C85">
        <w:rPr>
          <w:rFonts w:cs="Times New Roman"/>
          <w:bCs/>
          <w:szCs w:val="24"/>
        </w:rPr>
        <w:t>ACEi</w:t>
      </w:r>
      <w:proofErr w:type="spellEnd"/>
      <w:r w:rsidRPr="00300C85">
        <w:rPr>
          <w:rFonts w:cs="Times New Roman"/>
          <w:bCs/>
          <w:szCs w:val="24"/>
        </w:rPr>
        <w:t>/ARB, angiotensin-converting enzyme inhibitor/angiotensin receptor blocker; AF, atrial fibrillation; CAD, coronary artery disease; CKD, chronic kidney disease; DM, diabetes mellitus; HCM, hypertrophic cardiomyopathy; HF, heart failure; HL, hyperlipidemia; HTN, hypertension</w:t>
      </w:r>
      <w:r w:rsidR="00A20420" w:rsidRPr="00300C85">
        <w:rPr>
          <w:rFonts w:cs="Times New Roman"/>
          <w:bCs/>
          <w:szCs w:val="24"/>
        </w:rPr>
        <w:t>.</w:t>
      </w:r>
      <w:r w:rsidR="00C82353" w:rsidRPr="00300C85">
        <w:rPr>
          <w:rFonts w:cs="Times New Roman"/>
          <w:bCs/>
          <w:szCs w:val="24"/>
        </w:rPr>
        <w:br w:type="page"/>
      </w:r>
    </w:p>
    <w:p w14:paraId="038A0F45" w14:textId="73E4B070" w:rsidR="006D091D" w:rsidRPr="00300C85" w:rsidRDefault="00B222C7" w:rsidP="00402E2A">
      <w:pPr>
        <w:keepNext/>
        <w:jc w:val="center"/>
        <w:rPr>
          <w:rFonts w:cs="Times New Roman"/>
          <w:bCs/>
          <w:szCs w:val="24"/>
        </w:rPr>
      </w:pPr>
      <w:r w:rsidRPr="00300C85">
        <w:rPr>
          <w:noProof/>
          <w:lang w:val="en-GB" w:eastAsia="zh-CN"/>
        </w:rPr>
        <w:lastRenderedPageBreak/>
        <w:drawing>
          <wp:inline distT="0" distB="0" distL="0" distR="0" wp14:anchorId="1A03107C" wp14:editId="21F9DA60">
            <wp:extent cx="5133975" cy="7259637"/>
            <wp:effectExtent l="0" t="0" r="0" b="0"/>
            <wp:docPr id="4" name="圖片 3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553" cy="729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F0176" w14:textId="70D01349" w:rsidR="00C82353" w:rsidRPr="00300C85" w:rsidRDefault="006D091D" w:rsidP="00402E2A">
      <w:pPr>
        <w:keepNext/>
        <w:rPr>
          <w:rFonts w:cs="Times New Roman"/>
          <w:bCs/>
          <w:szCs w:val="24"/>
        </w:rPr>
      </w:pPr>
      <w:r w:rsidRPr="00300C85">
        <w:rPr>
          <w:rFonts w:cs="Times New Roman" w:hint="eastAsia"/>
          <w:b/>
          <w:szCs w:val="24"/>
        </w:rPr>
        <w:t>S</w:t>
      </w:r>
      <w:r w:rsidRPr="00300C85">
        <w:rPr>
          <w:rFonts w:cs="Times New Roman"/>
          <w:b/>
          <w:szCs w:val="24"/>
        </w:rPr>
        <w:t>upplementary Figure 3</w:t>
      </w:r>
      <w:r w:rsidR="0003583C" w:rsidRPr="00300C85">
        <w:rPr>
          <w:rFonts w:cs="Times New Roman"/>
          <w:b/>
          <w:szCs w:val="24"/>
        </w:rPr>
        <w:t>.</w:t>
      </w:r>
      <w:r w:rsidR="0003583C" w:rsidRPr="00300C85">
        <w:rPr>
          <w:rFonts w:cs="Times New Roman"/>
          <w:bCs/>
          <w:szCs w:val="24"/>
        </w:rPr>
        <w:t xml:space="preserve"> </w:t>
      </w:r>
      <w:r w:rsidRPr="00300C85">
        <w:rPr>
          <w:rFonts w:cs="Times New Roman"/>
          <w:bCs/>
          <w:szCs w:val="24"/>
        </w:rPr>
        <w:t>Subgroup analysis of t</w:t>
      </w:r>
      <w:r w:rsidR="00A20420" w:rsidRPr="00300C85">
        <w:rPr>
          <w:rFonts w:cs="Times New Roman"/>
          <w:bCs/>
          <w:szCs w:val="24"/>
        </w:rPr>
        <w:t>reatment effect on new stroke in the</w:t>
      </w:r>
      <w:r w:rsidRPr="00300C85">
        <w:rPr>
          <w:rFonts w:cs="Times New Roman"/>
          <w:bCs/>
          <w:szCs w:val="24"/>
        </w:rPr>
        <w:t xml:space="preserve"> low PAC burden sub-cohort. </w:t>
      </w:r>
      <w:proofErr w:type="spellStart"/>
      <w:r w:rsidRPr="00300C85">
        <w:rPr>
          <w:rFonts w:cs="Times New Roman"/>
          <w:bCs/>
          <w:szCs w:val="24"/>
        </w:rPr>
        <w:t>ACEi</w:t>
      </w:r>
      <w:proofErr w:type="spellEnd"/>
      <w:r w:rsidRPr="00300C85">
        <w:rPr>
          <w:rFonts w:cs="Times New Roman"/>
          <w:bCs/>
          <w:szCs w:val="24"/>
        </w:rPr>
        <w:t>/ARB, angiotensin-converting enzyme inhibitor/angiotensin receptor blocker; CAD, coronary artery disease; CKD, chronic kidney disease; DM, diabetes mellitus; HCM, hypertrophic cardiomyopathy; HF, heart failure; HL, hyperlipidemia; HTN, hypertension</w:t>
      </w:r>
      <w:r w:rsidR="00A20420" w:rsidRPr="00300C85">
        <w:rPr>
          <w:rFonts w:cs="Times New Roman"/>
          <w:bCs/>
          <w:szCs w:val="24"/>
        </w:rPr>
        <w:t>.</w:t>
      </w:r>
      <w:r w:rsidR="00C82353" w:rsidRPr="00300C85">
        <w:rPr>
          <w:rFonts w:cs="Times New Roman"/>
          <w:bCs/>
          <w:szCs w:val="24"/>
        </w:rPr>
        <w:br w:type="page"/>
      </w:r>
    </w:p>
    <w:p w14:paraId="4B424E8F" w14:textId="032C4BA7" w:rsidR="006D091D" w:rsidRPr="00300C85" w:rsidRDefault="00257C1D" w:rsidP="00402E2A">
      <w:pPr>
        <w:keepNext/>
        <w:jc w:val="center"/>
        <w:rPr>
          <w:rFonts w:cs="Times New Roman"/>
          <w:bCs/>
          <w:szCs w:val="24"/>
        </w:rPr>
      </w:pPr>
      <w:r w:rsidRPr="00300C85">
        <w:rPr>
          <w:noProof/>
          <w:lang w:val="en-GB" w:eastAsia="zh-CN"/>
        </w:rPr>
        <w:lastRenderedPageBreak/>
        <w:drawing>
          <wp:inline distT="0" distB="0" distL="0" distR="0" wp14:anchorId="39394014" wp14:editId="74A8EAAC">
            <wp:extent cx="5010150" cy="7084542"/>
            <wp:effectExtent l="0" t="0" r="0" b="2540"/>
            <wp:docPr id="5" name="圖片 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08" cy="710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EFE5A" w14:textId="4FCC6F21" w:rsidR="002E6728" w:rsidRDefault="006D091D" w:rsidP="00402E2A">
      <w:pPr>
        <w:keepNext/>
        <w:rPr>
          <w:rFonts w:cs="Times New Roman"/>
          <w:bCs/>
          <w:szCs w:val="24"/>
        </w:rPr>
      </w:pPr>
      <w:bookmarkStart w:id="0" w:name="_Hlk93612393"/>
      <w:r w:rsidRPr="00300C85">
        <w:rPr>
          <w:rFonts w:cs="Times New Roman" w:hint="eastAsia"/>
          <w:b/>
          <w:szCs w:val="24"/>
        </w:rPr>
        <w:t>S</w:t>
      </w:r>
      <w:r w:rsidRPr="00300C85">
        <w:rPr>
          <w:rFonts w:cs="Times New Roman"/>
          <w:b/>
          <w:szCs w:val="24"/>
        </w:rPr>
        <w:t>upplementary Figure 4</w:t>
      </w:r>
      <w:r w:rsidR="0003583C" w:rsidRPr="00300C85">
        <w:rPr>
          <w:rFonts w:cs="Times New Roman"/>
          <w:b/>
          <w:szCs w:val="24"/>
        </w:rPr>
        <w:t>.</w:t>
      </w:r>
      <w:r w:rsidR="0003583C" w:rsidRPr="00300C85">
        <w:rPr>
          <w:rFonts w:cs="Times New Roman"/>
          <w:bCs/>
          <w:szCs w:val="24"/>
        </w:rPr>
        <w:t xml:space="preserve"> </w:t>
      </w:r>
      <w:r w:rsidRPr="00300C85">
        <w:rPr>
          <w:rFonts w:cs="Times New Roman"/>
          <w:bCs/>
          <w:szCs w:val="24"/>
        </w:rPr>
        <w:t xml:space="preserve">Subgroup analysis </w:t>
      </w:r>
      <w:r w:rsidR="00A20420" w:rsidRPr="00300C85">
        <w:rPr>
          <w:rFonts w:cs="Times New Roman"/>
          <w:bCs/>
          <w:szCs w:val="24"/>
        </w:rPr>
        <w:t>of treatment effect on new AF in the</w:t>
      </w:r>
      <w:r w:rsidRPr="00300C85">
        <w:rPr>
          <w:rFonts w:cs="Times New Roman"/>
          <w:bCs/>
          <w:szCs w:val="24"/>
        </w:rPr>
        <w:t xml:space="preserve"> low PAC burden sub-cohort. </w:t>
      </w:r>
      <w:proofErr w:type="spellStart"/>
      <w:r w:rsidRPr="00300C85">
        <w:rPr>
          <w:rFonts w:cs="Times New Roman"/>
          <w:bCs/>
          <w:szCs w:val="24"/>
        </w:rPr>
        <w:t>ACEi</w:t>
      </w:r>
      <w:proofErr w:type="spellEnd"/>
      <w:r w:rsidRPr="00300C85">
        <w:rPr>
          <w:rFonts w:cs="Times New Roman"/>
          <w:bCs/>
          <w:szCs w:val="24"/>
        </w:rPr>
        <w:t>/ARB, angiotensin-converting enzyme inhibitor/angiotensin receptor blocker; AF, atrial fibrillation; CAD, coronary</w:t>
      </w:r>
      <w:r w:rsidR="00EF646D">
        <w:rPr>
          <w:rFonts w:cs="Times New Roman"/>
          <w:bCs/>
          <w:szCs w:val="24"/>
        </w:rPr>
        <w:t xml:space="preserve"> </w:t>
      </w:r>
      <w:r w:rsidRPr="00300C85">
        <w:rPr>
          <w:rFonts w:cs="Times New Roman"/>
          <w:bCs/>
          <w:szCs w:val="24"/>
        </w:rPr>
        <w:t>artery disease; CKD, chronic kidney disease; DM, diabetes mellitus; HCM, hypertrophic cardiomyopathy; HF, heart failure; HL, hyperlipidemia</w:t>
      </w:r>
      <w:r w:rsidR="00A20420" w:rsidRPr="00300C85">
        <w:rPr>
          <w:rFonts w:cs="Times New Roman"/>
          <w:bCs/>
          <w:szCs w:val="24"/>
        </w:rPr>
        <w:t>.</w:t>
      </w:r>
    </w:p>
    <w:bookmarkEnd w:id="0"/>
    <w:p w14:paraId="46EDC36A" w14:textId="56C9A1B7" w:rsidR="002E6728" w:rsidRDefault="00EF646D" w:rsidP="002E6728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  <w:bookmarkStart w:id="1" w:name="_Hlk93612321"/>
      <w:r w:rsidR="002E6728">
        <w:rPr>
          <w:noProof/>
        </w:rPr>
        <w:lastRenderedPageBreak/>
        <w:drawing>
          <wp:inline distT="0" distB="0" distL="0" distR="0" wp14:anchorId="6D27E98C" wp14:editId="09211FB2">
            <wp:extent cx="6208395" cy="4828540"/>
            <wp:effectExtent l="0" t="0" r="190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D036" w14:textId="225F18A7" w:rsidR="00EC646F" w:rsidRPr="00EC646F" w:rsidRDefault="002E6728" w:rsidP="00EC646F">
      <w:pPr>
        <w:keepNext/>
        <w:rPr>
          <w:rFonts w:cs="Times New Roman"/>
          <w:bCs/>
          <w:color w:val="FF0000"/>
          <w:szCs w:val="24"/>
        </w:rPr>
      </w:pPr>
      <w:bookmarkStart w:id="2" w:name="_Hlk93612489"/>
      <w:r w:rsidRPr="00EC646F">
        <w:rPr>
          <w:rFonts w:cs="Times New Roman" w:hint="eastAsia"/>
          <w:b/>
          <w:color w:val="FF0000"/>
          <w:szCs w:val="24"/>
        </w:rPr>
        <w:t>S</w:t>
      </w:r>
      <w:r w:rsidRPr="00EC646F">
        <w:rPr>
          <w:rFonts w:cs="Times New Roman"/>
          <w:b/>
          <w:color w:val="FF0000"/>
          <w:szCs w:val="24"/>
        </w:rPr>
        <w:t xml:space="preserve">upplementary Figure </w:t>
      </w:r>
      <w:r w:rsidRPr="00EC646F">
        <w:rPr>
          <w:rFonts w:cs="Times New Roman"/>
          <w:b/>
          <w:color w:val="FF0000"/>
          <w:szCs w:val="24"/>
        </w:rPr>
        <w:t>5</w:t>
      </w:r>
      <w:r w:rsidRPr="00EC646F">
        <w:rPr>
          <w:rFonts w:cs="Times New Roman"/>
          <w:b/>
          <w:color w:val="FF0000"/>
          <w:szCs w:val="24"/>
        </w:rPr>
        <w:t>.</w:t>
      </w:r>
      <w:r w:rsidRPr="00EC646F">
        <w:rPr>
          <w:rFonts w:cs="Times New Roman"/>
          <w:bCs/>
          <w:color w:val="FF0000"/>
          <w:szCs w:val="24"/>
        </w:rPr>
        <w:t xml:space="preserve"> </w:t>
      </w:r>
      <w:r w:rsidR="007729AF">
        <w:rPr>
          <w:rFonts w:cs="Times New Roman"/>
          <w:bCs/>
          <w:color w:val="FF0000"/>
          <w:szCs w:val="24"/>
        </w:rPr>
        <w:t>The proportion of different beta</w:t>
      </w:r>
      <w:r w:rsidR="00805125">
        <w:rPr>
          <w:rFonts w:cs="Times New Roman"/>
          <w:bCs/>
          <w:color w:val="FF0000"/>
          <w:szCs w:val="24"/>
        </w:rPr>
        <w:t>-</w:t>
      </w:r>
      <w:r w:rsidR="007729AF">
        <w:rPr>
          <w:rFonts w:cs="Times New Roman"/>
          <w:bCs/>
          <w:color w:val="FF0000"/>
          <w:szCs w:val="24"/>
        </w:rPr>
        <w:t>blocker prescription</w:t>
      </w:r>
      <w:r w:rsidR="00B7771B">
        <w:rPr>
          <w:rFonts w:cs="Times New Roman"/>
          <w:bCs/>
          <w:color w:val="FF0000"/>
          <w:szCs w:val="24"/>
        </w:rPr>
        <w:t>s</w:t>
      </w:r>
      <w:r w:rsidR="007729AF">
        <w:rPr>
          <w:rFonts w:cs="Times New Roman"/>
          <w:bCs/>
          <w:color w:val="FF0000"/>
          <w:szCs w:val="24"/>
        </w:rPr>
        <w:t xml:space="preserve"> in treatment group.</w:t>
      </w:r>
    </w:p>
    <w:bookmarkEnd w:id="1"/>
    <w:bookmarkEnd w:id="2"/>
    <w:p w14:paraId="5211C7A3" w14:textId="3AF5CE4D" w:rsidR="00EC646F" w:rsidRDefault="00EC646F">
      <w:pPr>
        <w:spacing w:before="0" w:after="200" w:line="276" w:lineRule="auto"/>
        <w:rPr>
          <w:rFonts w:cs="Times New Roman"/>
          <w:bCs/>
          <w:szCs w:val="24"/>
        </w:rPr>
      </w:pPr>
    </w:p>
    <w:p w14:paraId="02F82968" w14:textId="77777777" w:rsidR="00EC646F" w:rsidRDefault="00EC646F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26AC4C3F" w14:textId="5B05B306" w:rsidR="00EC646F" w:rsidRDefault="00EC646F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4DE7A16F" wp14:editId="67B54C64">
            <wp:extent cx="6208395" cy="4828540"/>
            <wp:effectExtent l="0" t="0" r="190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8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4410" w14:textId="12118ACF" w:rsidR="00EC646F" w:rsidRPr="00EC646F" w:rsidRDefault="00EC646F" w:rsidP="00EC646F">
      <w:pPr>
        <w:keepNext/>
        <w:rPr>
          <w:rFonts w:cs="Times New Roman"/>
          <w:bCs/>
          <w:color w:val="FF0000"/>
          <w:szCs w:val="24"/>
        </w:rPr>
      </w:pPr>
      <w:r w:rsidRPr="00EC646F">
        <w:rPr>
          <w:rFonts w:cs="Times New Roman" w:hint="eastAsia"/>
          <w:b/>
          <w:color w:val="FF0000"/>
          <w:szCs w:val="24"/>
        </w:rPr>
        <w:t>S</w:t>
      </w:r>
      <w:r w:rsidRPr="00EC646F">
        <w:rPr>
          <w:rFonts w:cs="Times New Roman"/>
          <w:b/>
          <w:color w:val="FF0000"/>
          <w:szCs w:val="24"/>
        </w:rPr>
        <w:t xml:space="preserve">upplementary Figure </w:t>
      </w:r>
      <w:r w:rsidRPr="00EC646F">
        <w:rPr>
          <w:rFonts w:cs="Times New Roman"/>
          <w:b/>
          <w:color w:val="FF0000"/>
          <w:szCs w:val="24"/>
        </w:rPr>
        <w:t>6</w:t>
      </w:r>
      <w:r w:rsidRPr="00EC646F">
        <w:rPr>
          <w:rFonts w:cs="Times New Roman"/>
          <w:b/>
          <w:color w:val="FF0000"/>
          <w:szCs w:val="24"/>
        </w:rPr>
        <w:t>.</w:t>
      </w:r>
      <w:r w:rsidRPr="00EC646F">
        <w:rPr>
          <w:rFonts w:cs="Times New Roman"/>
          <w:bCs/>
          <w:color w:val="FF0000"/>
          <w:szCs w:val="24"/>
        </w:rPr>
        <w:t xml:space="preserve"> </w:t>
      </w:r>
      <w:r w:rsidR="000D0771">
        <w:rPr>
          <w:rFonts w:cs="Times New Roman"/>
          <w:bCs/>
          <w:color w:val="FF0000"/>
          <w:szCs w:val="24"/>
        </w:rPr>
        <w:t xml:space="preserve">Mean daily dosage of </w:t>
      </w:r>
      <w:r w:rsidR="00B7771B">
        <w:rPr>
          <w:rFonts w:cs="Times New Roman"/>
          <w:bCs/>
          <w:color w:val="FF0000"/>
          <w:szCs w:val="24"/>
        </w:rPr>
        <w:t xml:space="preserve">beta-blocker prescriptions </w:t>
      </w:r>
    </w:p>
    <w:p w14:paraId="04B1E12C" w14:textId="77777777" w:rsidR="00EC646F" w:rsidRDefault="00EC646F">
      <w:pPr>
        <w:spacing w:before="0" w:after="200" w:line="276" w:lineRule="auto"/>
        <w:rPr>
          <w:rFonts w:cs="Times New Roman"/>
          <w:bCs/>
          <w:szCs w:val="24"/>
        </w:rPr>
      </w:pPr>
    </w:p>
    <w:p w14:paraId="1E198840" w14:textId="77777777" w:rsidR="00EC646F" w:rsidRDefault="00EC646F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66180FFC" w14:textId="77777777" w:rsidR="00EC646F" w:rsidRPr="00EC646F" w:rsidRDefault="00EC646F">
      <w:pPr>
        <w:spacing w:before="0" w:after="200" w:line="276" w:lineRule="auto"/>
        <w:rPr>
          <w:rFonts w:cs="Times New Roman" w:hint="eastAsia"/>
          <w:bCs/>
          <w:szCs w:val="24"/>
        </w:rPr>
      </w:pPr>
    </w:p>
    <w:p w14:paraId="3A148074" w14:textId="77777777" w:rsidR="002E6728" w:rsidRPr="0038024A" w:rsidRDefault="002E6728" w:rsidP="002E6728">
      <w:pPr>
        <w:spacing w:before="0" w:after="200" w:line="276" w:lineRule="auto"/>
        <w:rPr>
          <w:rFonts w:cs="Times New Roman"/>
          <w:b/>
          <w:color w:val="FF0000"/>
          <w:szCs w:val="24"/>
          <w:lang w:eastAsia="zh-TW"/>
        </w:rPr>
      </w:pPr>
      <w:r w:rsidRPr="0038024A">
        <w:rPr>
          <w:rFonts w:cs="Times New Roman" w:hint="eastAsia"/>
          <w:b/>
          <w:color w:val="FF0000"/>
          <w:szCs w:val="24"/>
          <w:lang w:eastAsia="zh-TW"/>
        </w:rPr>
        <w:t>S</w:t>
      </w:r>
      <w:r w:rsidRPr="0038024A">
        <w:rPr>
          <w:rFonts w:cs="Times New Roman"/>
          <w:b/>
          <w:color w:val="FF0000"/>
          <w:szCs w:val="24"/>
          <w:lang w:eastAsia="zh-TW"/>
        </w:rPr>
        <w:t xml:space="preserve">upplementary Table 1. </w:t>
      </w:r>
      <w:r w:rsidRPr="0038024A">
        <w:rPr>
          <w:rFonts w:eastAsia="新細明體"/>
          <w:color w:val="FF0000"/>
          <w:szCs w:val="24"/>
        </w:rPr>
        <w:t>PAC burdens in the first and latest Holter monitoring of patients after propensity score matching</w:t>
      </w:r>
    </w:p>
    <w:tbl>
      <w:tblPr>
        <w:tblW w:w="5000" w:type="pct"/>
        <w:jc w:val="right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914"/>
        <w:gridCol w:w="806"/>
        <w:gridCol w:w="804"/>
        <w:gridCol w:w="604"/>
        <w:gridCol w:w="886"/>
        <w:gridCol w:w="804"/>
        <w:gridCol w:w="604"/>
        <w:gridCol w:w="634"/>
        <w:gridCol w:w="813"/>
        <w:gridCol w:w="741"/>
        <w:gridCol w:w="634"/>
        <w:gridCol w:w="804"/>
        <w:gridCol w:w="729"/>
      </w:tblGrid>
      <w:tr w:rsidR="002E6728" w:rsidRPr="0038024A" w14:paraId="0CF547F5" w14:textId="77777777" w:rsidTr="00C65DE8">
        <w:trPr>
          <w:jc w:val="right"/>
        </w:trPr>
        <w:tc>
          <w:tcPr>
            <w:tcW w:w="468" w:type="pct"/>
            <w:tcBorders>
              <w:top w:val="single" w:sz="12" w:space="0" w:color="000000"/>
              <w:left w:val="nil"/>
              <w:bottom w:val="nil"/>
              <w:right w:val="nil"/>
              <w:tl2br w:val="nil"/>
            </w:tcBorders>
          </w:tcPr>
          <w:p w14:paraId="3F90AC05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</w:p>
        </w:tc>
        <w:tc>
          <w:tcPr>
            <w:tcW w:w="1131" w:type="pct"/>
            <w:gridSpan w:val="3"/>
            <w:tcBorders>
              <w:top w:val="single" w:sz="12" w:space="0" w:color="000000"/>
              <w:left w:val="nil"/>
              <w:bottom w:val="nil"/>
              <w:right w:val="nil"/>
              <w:tl2br w:val="nil"/>
            </w:tcBorders>
          </w:tcPr>
          <w:p w14:paraId="2C241967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High-burden non-Tx</w:t>
            </w:r>
          </w:p>
          <w:p w14:paraId="7FEF593C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(N = 68)</w:t>
            </w:r>
          </w:p>
        </w:tc>
        <w:tc>
          <w:tcPr>
            <w:tcW w:w="1173" w:type="pct"/>
            <w:gridSpan w:val="3"/>
            <w:tcBorders>
              <w:top w:val="single" w:sz="12" w:space="0" w:color="000000"/>
              <w:left w:val="nil"/>
              <w:bottom w:val="nil"/>
              <w:right w:val="nil"/>
              <w:tl2br w:val="nil"/>
            </w:tcBorders>
          </w:tcPr>
          <w:p w14:paraId="1C3F4451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High-burden Tx</w:t>
            </w:r>
          </w:p>
          <w:p w14:paraId="422C9218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(N = 29)</w:t>
            </w:r>
          </w:p>
        </w:tc>
        <w:tc>
          <w:tcPr>
            <w:tcW w:w="1119" w:type="pct"/>
            <w:gridSpan w:val="3"/>
            <w:tcBorders>
              <w:top w:val="single" w:sz="12" w:space="0" w:color="000000"/>
              <w:left w:val="nil"/>
              <w:bottom w:val="nil"/>
              <w:right w:val="nil"/>
              <w:tl2br w:val="nil"/>
            </w:tcBorders>
          </w:tcPr>
          <w:p w14:paraId="42ED852D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Low-burden non-Tx</w:t>
            </w:r>
          </w:p>
          <w:p w14:paraId="2D1ADCC0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(N = 165)</w:t>
            </w:r>
          </w:p>
        </w:tc>
        <w:tc>
          <w:tcPr>
            <w:tcW w:w="1109" w:type="pct"/>
            <w:gridSpan w:val="3"/>
            <w:tcBorders>
              <w:top w:val="single" w:sz="12" w:space="0" w:color="000000"/>
              <w:left w:val="nil"/>
              <w:bottom w:val="nil"/>
              <w:right w:val="nil"/>
              <w:tl2br w:val="nil"/>
            </w:tcBorders>
          </w:tcPr>
          <w:p w14:paraId="7A937D93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Low-burden Tx</w:t>
            </w:r>
          </w:p>
          <w:p w14:paraId="074569B7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(N = 84)</w:t>
            </w:r>
          </w:p>
        </w:tc>
      </w:tr>
      <w:tr w:rsidR="002E6728" w:rsidRPr="0038024A" w14:paraId="3C68F768" w14:textId="77777777" w:rsidTr="00C65DE8">
        <w:trPr>
          <w:jc w:val="right"/>
        </w:trPr>
        <w:tc>
          <w:tcPr>
            <w:tcW w:w="468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38D63781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0D1C1DDE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Cs/>
                <w:color w:val="FF0000"/>
                <w:sz w:val="16"/>
                <w:szCs w:val="16"/>
                <w:lang w:eastAsia="zh-TW"/>
              </w:rPr>
              <w:t>F</w:t>
            </w: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irst</w:t>
            </w:r>
          </w:p>
        </w:tc>
        <w:tc>
          <w:tcPr>
            <w:tcW w:w="411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0AB28480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Cs/>
                <w:color w:val="FF0000"/>
                <w:sz w:val="16"/>
                <w:szCs w:val="16"/>
                <w:lang w:eastAsia="zh-TW"/>
              </w:rPr>
              <w:t>L</w:t>
            </w: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atest</w:t>
            </w:r>
          </w:p>
        </w:tc>
        <w:tc>
          <w:tcPr>
            <w:tcW w:w="309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7D91D479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/>
                <w:color w:val="FF0000"/>
                <w:sz w:val="16"/>
                <w:szCs w:val="16"/>
                <w:lang w:eastAsia="zh-TW"/>
              </w:rPr>
              <w:t>p</w:t>
            </w:r>
          </w:p>
        </w:tc>
        <w:tc>
          <w:tcPr>
            <w:tcW w:w="453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5E912C14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Cs/>
                <w:color w:val="FF0000"/>
                <w:sz w:val="16"/>
                <w:szCs w:val="16"/>
                <w:lang w:eastAsia="zh-TW"/>
              </w:rPr>
              <w:t>F</w:t>
            </w: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irst</w:t>
            </w:r>
          </w:p>
        </w:tc>
        <w:tc>
          <w:tcPr>
            <w:tcW w:w="411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0254DA81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Cs/>
                <w:color w:val="FF0000"/>
                <w:sz w:val="16"/>
                <w:szCs w:val="16"/>
                <w:lang w:eastAsia="zh-TW"/>
              </w:rPr>
              <w:t>L</w:t>
            </w: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atest</w:t>
            </w:r>
          </w:p>
        </w:tc>
        <w:tc>
          <w:tcPr>
            <w:tcW w:w="309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0C4F352C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/>
                <w:color w:val="FF0000"/>
                <w:sz w:val="16"/>
                <w:szCs w:val="16"/>
                <w:lang w:eastAsia="zh-TW"/>
              </w:rPr>
              <w:t>p</w:t>
            </w:r>
          </w:p>
        </w:tc>
        <w:tc>
          <w:tcPr>
            <w:tcW w:w="324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55B79634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Cs/>
                <w:color w:val="FF0000"/>
                <w:sz w:val="16"/>
                <w:szCs w:val="16"/>
                <w:lang w:eastAsia="zh-TW"/>
              </w:rPr>
              <w:t>F</w:t>
            </w: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irst</w:t>
            </w:r>
          </w:p>
        </w:tc>
        <w:tc>
          <w:tcPr>
            <w:tcW w:w="416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7F0A22B7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Cs/>
                <w:color w:val="FF0000"/>
                <w:sz w:val="16"/>
                <w:szCs w:val="16"/>
                <w:lang w:eastAsia="zh-TW"/>
              </w:rPr>
              <w:t>L</w:t>
            </w: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atest</w:t>
            </w:r>
          </w:p>
        </w:tc>
        <w:tc>
          <w:tcPr>
            <w:tcW w:w="379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42E2D598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/>
                <w:color w:val="FF0000"/>
                <w:sz w:val="16"/>
                <w:szCs w:val="16"/>
                <w:lang w:eastAsia="zh-TW"/>
              </w:rPr>
              <w:t>p</w:t>
            </w:r>
          </w:p>
        </w:tc>
        <w:tc>
          <w:tcPr>
            <w:tcW w:w="324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1328FFAA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Cs/>
                <w:color w:val="FF0000"/>
                <w:sz w:val="16"/>
                <w:szCs w:val="16"/>
                <w:lang w:eastAsia="zh-TW"/>
              </w:rPr>
              <w:t>F</w:t>
            </w: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irst</w:t>
            </w:r>
          </w:p>
        </w:tc>
        <w:tc>
          <w:tcPr>
            <w:tcW w:w="411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26E4CF43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Cs/>
                <w:color w:val="FF0000"/>
                <w:sz w:val="16"/>
                <w:szCs w:val="16"/>
                <w:lang w:eastAsia="zh-TW"/>
              </w:rPr>
              <w:t>L</w:t>
            </w:r>
            <w:r w:rsidRPr="0038024A"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  <w:t>atest</w:t>
            </w:r>
          </w:p>
        </w:tc>
        <w:tc>
          <w:tcPr>
            <w:tcW w:w="374" w:type="pct"/>
            <w:tcBorders>
              <w:top w:val="nil"/>
              <w:left w:val="nil"/>
              <w:bottom w:val="single" w:sz="12" w:space="0" w:color="000000"/>
              <w:right w:val="nil"/>
              <w:tl2br w:val="nil"/>
            </w:tcBorders>
          </w:tcPr>
          <w:p w14:paraId="32F00127" w14:textId="77777777" w:rsidR="002E6728" w:rsidRPr="0038024A" w:rsidRDefault="002E6728" w:rsidP="00C65DE8">
            <w:pPr>
              <w:spacing w:before="0" w:after="0"/>
              <w:rPr>
                <w:rFonts w:eastAsia="新細明體" w:cs="Times New Roman"/>
                <w:iCs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i/>
                <w:color w:val="FF0000"/>
                <w:sz w:val="16"/>
                <w:szCs w:val="16"/>
                <w:lang w:eastAsia="zh-TW"/>
              </w:rPr>
              <w:t>p</w:t>
            </w:r>
          </w:p>
        </w:tc>
      </w:tr>
      <w:tr w:rsidR="002E6728" w:rsidRPr="0038024A" w14:paraId="6282942A" w14:textId="77777777" w:rsidTr="00C65DE8">
        <w:trPr>
          <w:jc w:val="right"/>
        </w:trPr>
        <w:tc>
          <w:tcPr>
            <w:tcW w:w="468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21E81A23" w14:textId="77777777" w:rsidR="002E6728" w:rsidRPr="0038024A" w:rsidRDefault="002E6728" w:rsidP="00C65DE8">
            <w:pPr>
              <w:shd w:val="clear" w:color="auto" w:fill="FFFFFF"/>
              <w:spacing w:before="0" w:after="0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color w:val="FF0000"/>
                <w:sz w:val="16"/>
                <w:szCs w:val="16"/>
                <w:lang w:eastAsia="zh-TW"/>
              </w:rPr>
              <w:t>P</w:t>
            </w: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AC</w:t>
            </w:r>
            <w:r w:rsidRPr="0038024A">
              <w:rPr>
                <w:rFonts w:eastAsia="新細明體" w:cs="Times New Roman" w:hint="eastAsia"/>
                <w:color w:val="FF0000"/>
                <w:sz w:val="16"/>
                <w:szCs w:val="16"/>
                <w:lang w:eastAsia="zh-TW"/>
              </w:rPr>
              <w:t>,</w:t>
            </w: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 xml:space="preserve"> mean (SD)</w:t>
            </w:r>
          </w:p>
        </w:tc>
        <w:tc>
          <w:tcPr>
            <w:tcW w:w="412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603F83E2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3076.5</w:t>
            </w:r>
          </w:p>
          <w:p w14:paraId="7FB366C4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(6653.3)</w:t>
            </w:r>
          </w:p>
        </w:tc>
        <w:tc>
          <w:tcPr>
            <w:tcW w:w="411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207A5C19" w14:textId="77777777" w:rsidR="002E6728" w:rsidRPr="0038024A" w:rsidRDefault="002E6728" w:rsidP="00C65DE8">
            <w:pPr>
              <w:shd w:val="clear" w:color="auto" w:fill="FFFFFF"/>
              <w:wordWrap w:val="0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color w:val="FF0000"/>
                <w:sz w:val="16"/>
                <w:szCs w:val="16"/>
                <w:lang w:eastAsia="zh-TW"/>
              </w:rPr>
              <w:t>2</w:t>
            </w: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230.2</w:t>
            </w:r>
          </w:p>
          <w:p w14:paraId="112BFE55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(6937.3)</w:t>
            </w:r>
          </w:p>
        </w:tc>
        <w:tc>
          <w:tcPr>
            <w:tcW w:w="309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5FC8AEC9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color w:val="FF0000"/>
                <w:sz w:val="16"/>
                <w:szCs w:val="16"/>
                <w:lang w:eastAsia="zh-TW"/>
              </w:rPr>
              <w:t>0</w:t>
            </w: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.009</w:t>
            </w:r>
          </w:p>
        </w:tc>
        <w:tc>
          <w:tcPr>
            <w:tcW w:w="453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30E63FCB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7256.6</w:t>
            </w:r>
          </w:p>
          <w:p w14:paraId="0C2A225F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(12422.2)</w:t>
            </w:r>
          </w:p>
        </w:tc>
        <w:tc>
          <w:tcPr>
            <w:tcW w:w="411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47753EE6" w14:textId="77777777" w:rsidR="002E6728" w:rsidRPr="0038024A" w:rsidRDefault="002E6728" w:rsidP="00C65DE8">
            <w:pPr>
              <w:shd w:val="clear" w:color="auto" w:fill="FFFFFF"/>
              <w:wordWrap w:val="0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color w:val="FF0000"/>
                <w:sz w:val="16"/>
                <w:szCs w:val="16"/>
                <w:lang w:eastAsia="zh-TW"/>
              </w:rPr>
              <w:t>1</w:t>
            </w: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959.8</w:t>
            </w:r>
          </w:p>
          <w:p w14:paraId="77FAD3B8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(5814.5)</w:t>
            </w:r>
          </w:p>
        </w:tc>
        <w:tc>
          <w:tcPr>
            <w:tcW w:w="309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6C9935B3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color w:val="FF0000"/>
                <w:sz w:val="16"/>
                <w:szCs w:val="16"/>
                <w:lang w:eastAsia="zh-TW"/>
              </w:rPr>
              <w:t>0</w:t>
            </w: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.031</w:t>
            </w:r>
          </w:p>
        </w:tc>
        <w:tc>
          <w:tcPr>
            <w:tcW w:w="324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4CADF79B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23.0</w:t>
            </w:r>
          </w:p>
          <w:p w14:paraId="4900DE95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(22.4)</w:t>
            </w:r>
          </w:p>
        </w:tc>
        <w:tc>
          <w:tcPr>
            <w:tcW w:w="416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4167DBD6" w14:textId="77777777" w:rsidR="002E6728" w:rsidRPr="0038024A" w:rsidRDefault="002E6728" w:rsidP="00C65DE8">
            <w:pPr>
              <w:shd w:val="clear" w:color="auto" w:fill="FFFFFF"/>
              <w:wordWrap w:val="0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 xml:space="preserve">     </w:t>
            </w:r>
            <w:r w:rsidRPr="0038024A">
              <w:rPr>
                <w:rFonts w:eastAsia="新細明體" w:cs="Times New Roman" w:hint="eastAsia"/>
                <w:color w:val="FF0000"/>
                <w:sz w:val="16"/>
                <w:szCs w:val="16"/>
                <w:lang w:eastAsia="zh-TW"/>
              </w:rPr>
              <w:t>3</w:t>
            </w: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67.3</w:t>
            </w:r>
          </w:p>
          <w:p w14:paraId="48697530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(1904.9)</w:t>
            </w:r>
          </w:p>
        </w:tc>
        <w:tc>
          <w:tcPr>
            <w:tcW w:w="379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10C1811E" w14:textId="77777777" w:rsidR="002E6728" w:rsidRPr="0038024A" w:rsidRDefault="002E6728" w:rsidP="00C65DE8">
            <w:pPr>
              <w:shd w:val="clear" w:color="auto" w:fill="FFFFFF"/>
              <w:wordWrap w:val="0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color w:val="FF0000"/>
                <w:sz w:val="16"/>
                <w:szCs w:val="16"/>
                <w:lang w:eastAsia="zh-TW"/>
              </w:rPr>
              <w:t>&lt;</w:t>
            </w: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 xml:space="preserve"> 0.001</w:t>
            </w:r>
          </w:p>
        </w:tc>
        <w:tc>
          <w:tcPr>
            <w:tcW w:w="324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6A8304BB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19.2</w:t>
            </w:r>
          </w:p>
          <w:p w14:paraId="3F5979E9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(21.7)</w:t>
            </w:r>
          </w:p>
        </w:tc>
        <w:tc>
          <w:tcPr>
            <w:tcW w:w="411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66A6C2C6" w14:textId="77777777" w:rsidR="002E6728" w:rsidRPr="0038024A" w:rsidRDefault="002E6728" w:rsidP="00C65DE8">
            <w:pPr>
              <w:shd w:val="clear" w:color="auto" w:fill="FFFFFF"/>
              <w:wordWrap w:val="0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color w:val="FF0000"/>
                <w:sz w:val="16"/>
                <w:szCs w:val="16"/>
                <w:lang w:eastAsia="zh-TW"/>
              </w:rPr>
              <w:t>8</w:t>
            </w: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40.1</w:t>
            </w:r>
          </w:p>
          <w:p w14:paraId="268B0BAF" w14:textId="77777777" w:rsidR="002E6728" w:rsidRPr="0038024A" w:rsidRDefault="002E6728" w:rsidP="00C65DE8">
            <w:pPr>
              <w:shd w:val="clear" w:color="auto" w:fill="FFFFFF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>(4178.3)</w:t>
            </w:r>
          </w:p>
        </w:tc>
        <w:tc>
          <w:tcPr>
            <w:tcW w:w="374" w:type="pct"/>
            <w:tcBorders>
              <w:top w:val="single" w:sz="12" w:space="0" w:color="000000"/>
              <w:left w:val="nil"/>
              <w:bottom w:val="single" w:sz="12" w:space="0" w:color="000000"/>
              <w:right w:val="nil"/>
              <w:tl2br w:val="nil"/>
            </w:tcBorders>
          </w:tcPr>
          <w:p w14:paraId="3F4C05AD" w14:textId="77777777" w:rsidR="002E6728" w:rsidRPr="0038024A" w:rsidRDefault="002E6728" w:rsidP="00C65DE8">
            <w:pPr>
              <w:shd w:val="clear" w:color="auto" w:fill="FFFFFF"/>
              <w:wordWrap w:val="0"/>
              <w:spacing w:before="0" w:after="0"/>
              <w:jc w:val="right"/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</w:pPr>
            <w:r w:rsidRPr="0038024A">
              <w:rPr>
                <w:rFonts w:eastAsia="新細明體" w:cs="Times New Roman" w:hint="eastAsia"/>
                <w:color w:val="FF0000"/>
                <w:sz w:val="16"/>
                <w:szCs w:val="16"/>
                <w:lang w:eastAsia="zh-TW"/>
              </w:rPr>
              <w:t>&lt;</w:t>
            </w:r>
            <w:r w:rsidRPr="0038024A">
              <w:rPr>
                <w:rFonts w:eastAsia="新細明體" w:cs="Times New Roman"/>
                <w:color w:val="FF0000"/>
                <w:sz w:val="16"/>
                <w:szCs w:val="16"/>
                <w:lang w:eastAsia="zh-TW"/>
              </w:rPr>
              <w:t xml:space="preserve"> 0.001</w:t>
            </w:r>
          </w:p>
        </w:tc>
      </w:tr>
    </w:tbl>
    <w:p w14:paraId="467AF2B0" w14:textId="77777777" w:rsidR="002E6728" w:rsidRDefault="002E6728" w:rsidP="002E6728">
      <w:pPr>
        <w:spacing w:before="0" w:after="200" w:line="276" w:lineRule="auto"/>
        <w:rPr>
          <w:rFonts w:cs="Times New Roman"/>
          <w:b/>
          <w:szCs w:val="24"/>
          <w:lang w:eastAsia="zh-TW"/>
        </w:rPr>
      </w:pPr>
    </w:p>
    <w:p w14:paraId="7976D135" w14:textId="77777777" w:rsidR="00973451" w:rsidRPr="00467937" w:rsidRDefault="00973451" w:rsidP="00EF646D">
      <w:pPr>
        <w:spacing w:before="0" w:after="200" w:line="276" w:lineRule="auto"/>
        <w:rPr>
          <w:rFonts w:cs="Times New Roman"/>
          <w:b/>
          <w:szCs w:val="24"/>
          <w:lang w:eastAsia="zh-TW"/>
        </w:rPr>
      </w:pPr>
    </w:p>
    <w:sectPr w:rsidR="00973451" w:rsidRPr="00467937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D7DD1" w14:textId="77777777" w:rsidR="00105F4C" w:rsidRDefault="00105F4C" w:rsidP="00117666">
      <w:pPr>
        <w:spacing w:after="0"/>
      </w:pPr>
      <w:r>
        <w:separator/>
      </w:r>
    </w:p>
  </w:endnote>
  <w:endnote w:type="continuationSeparator" w:id="0">
    <w:p w14:paraId="29E9B07B" w14:textId="77777777" w:rsidR="00105F4C" w:rsidRDefault="00105F4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D15131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2042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2D15131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20420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9247D4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2042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59247D4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2042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36DF8" w14:textId="77777777" w:rsidR="00105F4C" w:rsidRDefault="00105F4C" w:rsidP="00117666">
      <w:pPr>
        <w:spacing w:after="0"/>
      </w:pPr>
      <w:r>
        <w:separator/>
      </w:r>
    </w:p>
  </w:footnote>
  <w:footnote w:type="continuationSeparator" w:id="0">
    <w:p w14:paraId="55117E33" w14:textId="77777777" w:rsidR="00105F4C" w:rsidRDefault="00105F4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25302"/>
    <w:rsid w:val="00034304"/>
    <w:rsid w:val="00035434"/>
    <w:rsid w:val="0003583C"/>
    <w:rsid w:val="00052A14"/>
    <w:rsid w:val="00077D53"/>
    <w:rsid w:val="000B3B38"/>
    <w:rsid w:val="000D0771"/>
    <w:rsid w:val="000D2B42"/>
    <w:rsid w:val="00105F4C"/>
    <w:rsid w:val="00105FD9"/>
    <w:rsid w:val="00117666"/>
    <w:rsid w:val="00133931"/>
    <w:rsid w:val="001549D3"/>
    <w:rsid w:val="00160065"/>
    <w:rsid w:val="00177D84"/>
    <w:rsid w:val="00257C1D"/>
    <w:rsid w:val="00267D18"/>
    <w:rsid w:val="002713A2"/>
    <w:rsid w:val="00274347"/>
    <w:rsid w:val="002868E2"/>
    <w:rsid w:val="002869C3"/>
    <w:rsid w:val="002936E4"/>
    <w:rsid w:val="002B4A57"/>
    <w:rsid w:val="002C5724"/>
    <w:rsid w:val="002C74CA"/>
    <w:rsid w:val="002E6728"/>
    <w:rsid w:val="002F344B"/>
    <w:rsid w:val="00300C85"/>
    <w:rsid w:val="003123F4"/>
    <w:rsid w:val="00330F9E"/>
    <w:rsid w:val="003544FB"/>
    <w:rsid w:val="0038024A"/>
    <w:rsid w:val="003D2F2D"/>
    <w:rsid w:val="00401590"/>
    <w:rsid w:val="00402E2A"/>
    <w:rsid w:val="00436EB2"/>
    <w:rsid w:val="00447801"/>
    <w:rsid w:val="00452E9C"/>
    <w:rsid w:val="00466E15"/>
    <w:rsid w:val="00467937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84600"/>
    <w:rsid w:val="006B7D14"/>
    <w:rsid w:val="006D091D"/>
    <w:rsid w:val="006F57D5"/>
    <w:rsid w:val="00701727"/>
    <w:rsid w:val="0070566C"/>
    <w:rsid w:val="00714C50"/>
    <w:rsid w:val="00725A7D"/>
    <w:rsid w:val="007501BE"/>
    <w:rsid w:val="007729AF"/>
    <w:rsid w:val="00790BB3"/>
    <w:rsid w:val="007B31FB"/>
    <w:rsid w:val="007C206C"/>
    <w:rsid w:val="00805125"/>
    <w:rsid w:val="00817DD6"/>
    <w:rsid w:val="0083759F"/>
    <w:rsid w:val="00885156"/>
    <w:rsid w:val="00897909"/>
    <w:rsid w:val="009151AA"/>
    <w:rsid w:val="0093429D"/>
    <w:rsid w:val="00943573"/>
    <w:rsid w:val="00964134"/>
    <w:rsid w:val="00970F7D"/>
    <w:rsid w:val="00973451"/>
    <w:rsid w:val="00994A3D"/>
    <w:rsid w:val="009C2B12"/>
    <w:rsid w:val="009E55F4"/>
    <w:rsid w:val="00A174D9"/>
    <w:rsid w:val="00A20420"/>
    <w:rsid w:val="00AA4D24"/>
    <w:rsid w:val="00AB6715"/>
    <w:rsid w:val="00B1671E"/>
    <w:rsid w:val="00B222C7"/>
    <w:rsid w:val="00B25EB8"/>
    <w:rsid w:val="00B37F4D"/>
    <w:rsid w:val="00B7771B"/>
    <w:rsid w:val="00C06E30"/>
    <w:rsid w:val="00C41383"/>
    <w:rsid w:val="00C52A7B"/>
    <w:rsid w:val="00C56BAF"/>
    <w:rsid w:val="00C679AA"/>
    <w:rsid w:val="00C75972"/>
    <w:rsid w:val="00C82353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C646F"/>
    <w:rsid w:val="00ED20B5"/>
    <w:rsid w:val="00EE2D41"/>
    <w:rsid w:val="00EF646D"/>
    <w:rsid w:val="00F46900"/>
    <w:rsid w:val="00F61D89"/>
    <w:rsid w:val="00F8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C646F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標題 2 字元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標題 字元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註解方塊文字 字元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註解文字 字元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章節附註文字 字元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頁尾 字元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註腳文字 字元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頁首 字元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標題 3 字元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標題 4 字元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標題 5 字元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0">
    <w:name w:val="Quote"/>
    <w:basedOn w:val="a0"/>
    <w:next w:val="a0"/>
    <w:link w:val="aff1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1">
    <w:name w:val="引文 字元"/>
    <w:basedOn w:val="a1"/>
    <w:link w:val="aff0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2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3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4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Title"/>
    <w:basedOn w:val="a0"/>
    <w:next w:val="a0"/>
    <w:link w:val="aff6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6">
    <w:name w:val="標題 字元"/>
    <w:basedOn w:val="a1"/>
    <w:link w:val="aff5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5"/>
    <w:next w:val="aff5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642D881-FE93-4ED7-A2FD-826C165F1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鼎鈞 黃</cp:lastModifiedBy>
  <cp:revision>2</cp:revision>
  <cp:lastPrinted>2013-10-03T12:51:00Z</cp:lastPrinted>
  <dcterms:created xsi:type="dcterms:W3CDTF">2022-01-20T15:48:00Z</dcterms:created>
  <dcterms:modified xsi:type="dcterms:W3CDTF">2022-01-20T15:48:00Z</dcterms:modified>
</cp:coreProperties>
</file>