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D644" w14:textId="0D8367F9" w:rsidR="00E03F6E" w:rsidRPr="00405D15" w:rsidRDefault="00055A81" w:rsidP="00405D15">
      <w:pPr>
        <w:rPr>
          <w:b/>
          <w:sz w:val="32"/>
          <w:szCs w:val="32"/>
        </w:rPr>
      </w:pPr>
      <w:r w:rsidRPr="00405D15">
        <w:rPr>
          <w:b/>
          <w:sz w:val="32"/>
          <w:szCs w:val="32"/>
        </w:rPr>
        <w:t>Supplementary Methods S</w:t>
      </w:r>
      <w:r w:rsidR="00E03F6E" w:rsidRPr="00405D15">
        <w:rPr>
          <w:b/>
          <w:sz w:val="32"/>
          <w:szCs w:val="32"/>
        </w:rPr>
        <w:t>3: Detailed material and method description for Molecular biology experiments</w:t>
      </w:r>
    </w:p>
    <w:p w14:paraId="5E30D607" w14:textId="5D7F16B5" w:rsidR="00E03F6E" w:rsidRDefault="00E03F6E" w:rsidP="00405D15">
      <w:pPr>
        <w:rPr>
          <w:b/>
        </w:rPr>
      </w:pPr>
    </w:p>
    <w:p w14:paraId="6F9703BB" w14:textId="77777777" w:rsidR="00405D15" w:rsidRPr="00405D15" w:rsidRDefault="00405D15" w:rsidP="00405D15">
      <w:pPr>
        <w:rPr>
          <w:b/>
        </w:rPr>
      </w:pPr>
    </w:p>
    <w:p w14:paraId="128FB6F8" w14:textId="77777777" w:rsidR="00E03F6E" w:rsidRPr="00405D15" w:rsidRDefault="00E03F6E" w:rsidP="00405D15">
      <w:pPr>
        <w:spacing w:after="200"/>
        <w:jc w:val="both"/>
        <w:rPr>
          <w:i/>
        </w:rPr>
      </w:pPr>
      <w:r w:rsidRPr="00405D15">
        <w:rPr>
          <w:i/>
        </w:rPr>
        <w:t>HAP1 expression constructs, cell transfection and harvest</w:t>
      </w:r>
    </w:p>
    <w:p w14:paraId="2E6AF534" w14:textId="77777777" w:rsidR="00E03F6E" w:rsidRPr="00405D15" w:rsidRDefault="00E03F6E" w:rsidP="00405D15">
      <w:pPr>
        <w:spacing w:after="200"/>
        <w:jc w:val="both"/>
      </w:pPr>
      <w:r w:rsidRPr="00405D15">
        <w:t xml:space="preserve">Expression plasmid containing the wild type C-terminally </w:t>
      </w:r>
      <w:proofErr w:type="spellStart"/>
      <w:r w:rsidRPr="00405D15">
        <w:t>myc</w:t>
      </w:r>
      <w:proofErr w:type="spellEnd"/>
      <w:r w:rsidRPr="00405D15">
        <w:t xml:space="preserve">-DDK tagged HAP1 cDNA under the control of the constitutive CMV promoter was purchased from </w:t>
      </w:r>
      <w:proofErr w:type="spellStart"/>
      <w:r w:rsidRPr="00405D15">
        <w:t>OriGene</w:t>
      </w:r>
      <w:proofErr w:type="spellEnd"/>
      <w:r w:rsidRPr="00405D15">
        <w:t xml:space="preserve"> Technologies Inc. (RC220251). The </w:t>
      </w:r>
      <w:r w:rsidRPr="00405D15">
        <w:rPr>
          <w:i/>
        </w:rPr>
        <w:t>Hap1</w:t>
      </w:r>
      <w:r w:rsidRPr="00405D15">
        <w:rPr>
          <w:i/>
          <w:vertAlign w:val="superscript"/>
        </w:rPr>
        <w:t>K4R</w:t>
      </w:r>
      <w:r w:rsidRPr="00405D15">
        <w:t xml:space="preserve"> (rs4796604 G&gt;A) point mutation was introduced by PCR directed mutagenesis (see table below for primer sequences) and </w:t>
      </w:r>
      <w:proofErr w:type="spellStart"/>
      <w:r w:rsidRPr="00405D15">
        <w:t>subcloning</w:t>
      </w:r>
      <w:proofErr w:type="spellEnd"/>
      <w:r w:rsidRPr="00405D15">
        <w:t xml:space="preserve"> into the </w:t>
      </w:r>
      <w:proofErr w:type="spellStart"/>
      <w:r w:rsidRPr="00405D15">
        <w:t>OriGene</w:t>
      </w:r>
      <w:proofErr w:type="spellEnd"/>
      <w:r w:rsidRPr="00405D15">
        <w:t xml:space="preserve"> Technologies Inc. </w:t>
      </w:r>
      <w:proofErr w:type="spellStart"/>
      <w:r w:rsidRPr="00405D15">
        <w:t>pENTRY</w:t>
      </w:r>
      <w:proofErr w:type="spellEnd"/>
      <w:r w:rsidRPr="00405D15">
        <w:t xml:space="preserve"> plasmid (PS100001) using restriction enzymes </w:t>
      </w:r>
      <w:proofErr w:type="spellStart"/>
      <w:r w:rsidRPr="00405D15">
        <w:t>SgfI</w:t>
      </w:r>
      <w:proofErr w:type="spellEnd"/>
      <w:r w:rsidRPr="00405D15">
        <w:t xml:space="preserve"> and </w:t>
      </w:r>
      <w:proofErr w:type="spellStart"/>
      <w:r w:rsidRPr="00405D15">
        <w:t>XhoI</w:t>
      </w:r>
      <w:proofErr w:type="spellEnd"/>
      <w:r w:rsidRPr="00405D15">
        <w:t>. The presence of the mutation was verified by Sanger sequencing.</w:t>
      </w:r>
    </w:p>
    <w:p w14:paraId="584D8CB4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  <w:r w:rsidRPr="00405D15">
        <w:t xml:space="preserve">The constructs were introduced in the human neuroblastoma derived cell line, SH-SYS5 (ATCC CRL-2266) cells, using the </w:t>
      </w:r>
      <w:proofErr w:type="spellStart"/>
      <w:r w:rsidRPr="00405D15">
        <w:t>jetPRIME</w:t>
      </w:r>
      <w:proofErr w:type="spellEnd"/>
      <w:r w:rsidRPr="00405D15">
        <w:t>® transfection reagent (</w:t>
      </w:r>
      <w:proofErr w:type="spellStart"/>
      <w:r w:rsidRPr="00405D15">
        <w:t>Polyplus</w:t>
      </w:r>
      <w:proofErr w:type="spellEnd"/>
      <w:r w:rsidRPr="00405D15">
        <w:t xml:space="preserve">-transfection® SA). </w:t>
      </w:r>
      <w:r w:rsidRPr="00405D15">
        <w:rPr>
          <w:color w:val="000000" w:themeColor="text1"/>
        </w:rPr>
        <w:t>All molecular biology experiments were done in triplicates.</w:t>
      </w:r>
    </w:p>
    <w:p w14:paraId="321BB3CD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  <w:r w:rsidRPr="00405D15">
        <w:t>SH-SYS5 cells were grown at 37°C with 5% CO</w:t>
      </w:r>
      <w:r w:rsidRPr="00405D15">
        <w:rPr>
          <w:vertAlign w:val="subscript"/>
        </w:rPr>
        <w:t>2</w:t>
      </w:r>
      <w:r w:rsidRPr="00405D15">
        <w:t xml:space="preserve"> in DMEM/F-12 + </w:t>
      </w:r>
      <w:proofErr w:type="spellStart"/>
      <w:r w:rsidRPr="00405D15">
        <w:t>GlutaMAX</w:t>
      </w:r>
      <w:proofErr w:type="spellEnd"/>
      <w:r w:rsidRPr="00405D15">
        <w:t xml:space="preserve">™ (Dulbecco’s Modified Eagle Medium/Nutrient mixture F-12, </w:t>
      </w:r>
      <w:proofErr w:type="spellStart"/>
      <w:r w:rsidRPr="00405D15">
        <w:t>ThermoFisher</w:t>
      </w:r>
      <w:proofErr w:type="spellEnd"/>
      <w:r w:rsidRPr="00405D15">
        <w:t xml:space="preserve"> Scientific) media supplemented with 15% decomplemented Fetal </w:t>
      </w:r>
      <w:proofErr w:type="spellStart"/>
      <w:r w:rsidRPr="00405D15">
        <w:t>Bovin</w:t>
      </w:r>
      <w:proofErr w:type="spellEnd"/>
      <w:r w:rsidRPr="00405D15">
        <w:t xml:space="preserve"> Serum (FBS 10500, </w:t>
      </w:r>
      <w:proofErr w:type="spellStart"/>
      <w:r w:rsidRPr="00405D15">
        <w:t>ThermoFisher</w:t>
      </w:r>
      <w:proofErr w:type="spellEnd"/>
      <w:r w:rsidRPr="00405D15">
        <w:t xml:space="preserve"> Scientific), penicillin and streptomycin antibiotics (P0781, Merck), 2 </w:t>
      </w:r>
      <w:proofErr w:type="spellStart"/>
      <w:r w:rsidRPr="00405D15">
        <w:t>mM</w:t>
      </w:r>
      <w:proofErr w:type="spellEnd"/>
      <w:r w:rsidRPr="00405D15">
        <w:t xml:space="preserve"> Glutamine (</w:t>
      </w:r>
      <w:proofErr w:type="spellStart"/>
      <w:r w:rsidRPr="00405D15">
        <w:t>ThermoFisher</w:t>
      </w:r>
      <w:proofErr w:type="spellEnd"/>
      <w:r w:rsidRPr="00405D15">
        <w:t xml:space="preserve"> Scientific) and 1 % MEM Non-Essential Amino Acid solution (</w:t>
      </w:r>
      <w:proofErr w:type="spellStart"/>
      <w:r w:rsidRPr="00405D15">
        <w:t>ThermoFisher</w:t>
      </w:r>
      <w:proofErr w:type="spellEnd"/>
      <w:r w:rsidRPr="00405D15">
        <w:t xml:space="preserve"> Scientific). The </w:t>
      </w:r>
      <w:r w:rsidRPr="00405D15">
        <w:rPr>
          <w:i/>
        </w:rPr>
        <w:t>HAP1</w:t>
      </w:r>
      <w:r w:rsidRPr="00405D15">
        <w:t xml:space="preserve"> containing plasmids and the empty vector control were transfected according to manufacturer’s instructions. After 6 hours incubation with the transfection mix, </w:t>
      </w:r>
      <w:r w:rsidRPr="00405D15">
        <w:rPr>
          <w:color w:val="000000" w:themeColor="text1"/>
        </w:rPr>
        <w:t>the supernatant was replaced by a maintenance media, identical to the culture media except for the FBS concentration, at 7.5% instead of 15%. Cells and supernatant were harvested 48h after transfection using an 0.05% Trypsin-EDTA solution (Sigma Life Science). Cells were washed in ice cold PBS (spin at 400g, 5 min), aliquoted and pellets processed immediately or frozen at -20°C for protein extraction and sub-cellular fractionation or -80°C for mRNA preparations.</w:t>
      </w:r>
    </w:p>
    <w:p w14:paraId="631F2D81" w14:textId="77777777" w:rsidR="00405D15" w:rsidRDefault="00405D15" w:rsidP="00405D15">
      <w:pPr>
        <w:spacing w:after="200"/>
        <w:jc w:val="both"/>
        <w:rPr>
          <w:i/>
          <w:color w:val="000000" w:themeColor="text1"/>
        </w:rPr>
      </w:pPr>
    </w:p>
    <w:p w14:paraId="6BCD9437" w14:textId="0F76FEF1" w:rsidR="00E03F6E" w:rsidRPr="00405D15" w:rsidRDefault="00E03F6E" w:rsidP="00405D15">
      <w:pPr>
        <w:spacing w:after="200"/>
        <w:jc w:val="both"/>
        <w:rPr>
          <w:i/>
          <w:color w:val="000000" w:themeColor="text1"/>
        </w:rPr>
      </w:pPr>
      <w:r w:rsidRPr="00405D15">
        <w:rPr>
          <w:i/>
          <w:color w:val="000000" w:themeColor="text1"/>
        </w:rPr>
        <w:t>Total protein extraction, subcellular fractionation and western blot</w:t>
      </w:r>
    </w:p>
    <w:p w14:paraId="48BBEC87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  <w:r w:rsidRPr="00405D15">
        <w:rPr>
          <w:color w:val="000000" w:themeColor="text1"/>
        </w:rPr>
        <w:t xml:space="preserve">For whole protein extraction, frozen cell pellets were resuspended in ice cold lysis buffer (50mM Tris </w:t>
      </w:r>
      <w:proofErr w:type="spellStart"/>
      <w:r w:rsidRPr="00405D15">
        <w:rPr>
          <w:color w:val="000000" w:themeColor="text1"/>
        </w:rPr>
        <w:t>HCl</w:t>
      </w:r>
      <w:proofErr w:type="spellEnd"/>
      <w:r w:rsidRPr="00405D15">
        <w:rPr>
          <w:color w:val="000000" w:themeColor="text1"/>
        </w:rPr>
        <w:t xml:space="preserve"> pH 7.8, 10mM </w:t>
      </w:r>
      <w:proofErr w:type="spellStart"/>
      <w:r w:rsidRPr="00405D15">
        <w:rPr>
          <w:color w:val="000000" w:themeColor="text1"/>
        </w:rPr>
        <w:t>NaCl</w:t>
      </w:r>
      <w:proofErr w:type="spellEnd"/>
      <w:r w:rsidRPr="00405D15">
        <w:rPr>
          <w:color w:val="000000" w:themeColor="text1"/>
        </w:rPr>
        <w:t>, 0.6% NP-40) containing a protease inhibitor cocktail (</w:t>
      </w:r>
      <w:proofErr w:type="spellStart"/>
      <w:r w:rsidRPr="00405D15">
        <w:rPr>
          <w:color w:val="000000" w:themeColor="text1"/>
        </w:rPr>
        <w:t>cOmplete</w:t>
      </w:r>
      <w:proofErr w:type="spellEnd"/>
      <w:r w:rsidRPr="00405D15">
        <w:rPr>
          <w:color w:val="000000" w:themeColor="text1"/>
        </w:rPr>
        <w:t xml:space="preserve"> Mini, </w:t>
      </w:r>
      <w:proofErr w:type="spellStart"/>
      <w:r w:rsidRPr="00405D15">
        <w:rPr>
          <w:color w:val="000000" w:themeColor="text1"/>
        </w:rPr>
        <w:t>EASYpack</w:t>
      </w:r>
      <w:proofErr w:type="spellEnd"/>
      <w:r w:rsidRPr="00405D15">
        <w:rPr>
          <w:color w:val="000000" w:themeColor="text1"/>
        </w:rPr>
        <w:t xml:space="preserve"> from Roche) and vortexed for 15 minutes at 4°C. Lysed cells were centrifuged for 10 minutes at 10’000g, 4°C. The supernatant was recovered and boiled for 5 minutes in 1x SDS-PAGE loading buffer.</w:t>
      </w:r>
    </w:p>
    <w:p w14:paraId="6C6DDC45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  <w:r w:rsidRPr="00405D15">
        <w:rPr>
          <w:color w:val="000000" w:themeColor="text1"/>
        </w:rPr>
        <w:t xml:space="preserve">Sub-cellular fractionations were performed using the Subcellular Protein Fractionation Kit for Cultured Cells from </w:t>
      </w:r>
      <w:proofErr w:type="spellStart"/>
      <w:r w:rsidRPr="00405D15">
        <w:rPr>
          <w:color w:val="000000" w:themeColor="text1"/>
        </w:rPr>
        <w:t>ThermoFisher</w:t>
      </w:r>
      <w:proofErr w:type="spellEnd"/>
      <w:r w:rsidRPr="00405D15">
        <w:rPr>
          <w:color w:val="000000" w:themeColor="text1"/>
        </w:rPr>
        <w:t xml:space="preserve"> Scientific (#78840), following manufacturer’s instructions. The resulting fractions were prepared as above for detection.</w:t>
      </w:r>
    </w:p>
    <w:p w14:paraId="4DA82C1E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  <w:r w:rsidRPr="00405D15">
        <w:rPr>
          <w:color w:val="000000" w:themeColor="text1"/>
        </w:rPr>
        <w:t xml:space="preserve">All protein preparations were analyzed by SDS-PAGE, transferred to nitrocellulose membranes and incubated with respective antibodies. HRP signals were detected using a LAS-4000 imaging system (Fujifilm Life Science, USA). Antibodies used were anti-FLAG (F3165, Sigma-Aldrich), HRP-conjugated anti-actin (ab49900, ABCAM), HRP-conjugated anti-mouse (170-6516, </w:t>
      </w:r>
      <w:proofErr w:type="spellStart"/>
      <w:r w:rsidRPr="00405D15">
        <w:rPr>
          <w:color w:val="000000" w:themeColor="text1"/>
        </w:rPr>
        <w:t>Biorad</w:t>
      </w:r>
      <w:proofErr w:type="spellEnd"/>
      <w:r w:rsidRPr="00405D15">
        <w:rPr>
          <w:color w:val="000000" w:themeColor="text1"/>
        </w:rPr>
        <w:t>), anti-Hsp90 (MABC1106, EMD Millipore), anti-pan-PMCA (MABN1802, EMD Millipore) and anti-vimentin (14-9897-80, Invitrogen).</w:t>
      </w:r>
    </w:p>
    <w:p w14:paraId="3579EAF3" w14:textId="77777777" w:rsidR="00405D15" w:rsidRDefault="00405D15" w:rsidP="00405D15">
      <w:pPr>
        <w:spacing w:after="200"/>
        <w:jc w:val="both"/>
        <w:rPr>
          <w:i/>
          <w:color w:val="000000" w:themeColor="text1"/>
        </w:rPr>
      </w:pPr>
    </w:p>
    <w:p w14:paraId="47B147DA" w14:textId="51D6B8BC" w:rsidR="00E03F6E" w:rsidRPr="00405D15" w:rsidRDefault="00E03F6E" w:rsidP="00405D15">
      <w:pPr>
        <w:spacing w:after="200"/>
        <w:jc w:val="both"/>
        <w:rPr>
          <w:i/>
          <w:color w:val="000000" w:themeColor="text1"/>
        </w:rPr>
      </w:pPr>
      <w:r w:rsidRPr="00405D15">
        <w:rPr>
          <w:i/>
          <w:color w:val="000000" w:themeColor="text1"/>
        </w:rPr>
        <w:lastRenderedPageBreak/>
        <w:t>mRNA extraction and RT-PCR</w:t>
      </w:r>
    </w:p>
    <w:p w14:paraId="771E3E93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  <w:r w:rsidRPr="00405D15">
        <w:rPr>
          <w:color w:val="000000" w:themeColor="text1"/>
        </w:rPr>
        <w:t xml:space="preserve">Messenger RNA was isolated from frozen cell pellets using the </w:t>
      </w:r>
      <w:proofErr w:type="spellStart"/>
      <w:r w:rsidRPr="00405D15">
        <w:rPr>
          <w:color w:val="000000" w:themeColor="text1"/>
        </w:rPr>
        <w:t>PureLink</w:t>
      </w:r>
      <w:proofErr w:type="spellEnd"/>
      <w:r w:rsidRPr="00405D15">
        <w:rPr>
          <w:color w:val="000000" w:themeColor="text1"/>
        </w:rPr>
        <w:t>™ RNA Mini kit (</w:t>
      </w:r>
      <w:proofErr w:type="spellStart"/>
      <w:r w:rsidRPr="00405D15">
        <w:rPr>
          <w:color w:val="000000" w:themeColor="text1"/>
        </w:rPr>
        <w:t>Ambion</w:t>
      </w:r>
      <w:proofErr w:type="spellEnd"/>
      <w:r w:rsidRPr="00405D15">
        <w:rPr>
          <w:color w:val="000000" w:themeColor="text1"/>
        </w:rPr>
        <w:t xml:space="preserve">®), quantified with the Qubit™ RNA BR Assay kit (Invitrogen) and translated to cDNA with the </w:t>
      </w:r>
      <w:proofErr w:type="spellStart"/>
      <w:r w:rsidRPr="00405D15">
        <w:rPr>
          <w:color w:val="000000" w:themeColor="text1"/>
        </w:rPr>
        <w:t>iScript</w:t>
      </w:r>
      <w:proofErr w:type="spellEnd"/>
      <w:r w:rsidRPr="00405D15">
        <w:rPr>
          <w:color w:val="000000" w:themeColor="text1"/>
        </w:rPr>
        <w:t xml:space="preserve"> Select cDNA Synthesis kit (Bio-Rad). RT-PCR analysis were performed on a </w:t>
      </w:r>
      <w:proofErr w:type="spellStart"/>
      <w:r w:rsidRPr="00405D15">
        <w:rPr>
          <w:color w:val="000000" w:themeColor="text1"/>
        </w:rPr>
        <w:t>StepOne</w:t>
      </w:r>
      <w:proofErr w:type="spellEnd"/>
      <w:r w:rsidRPr="00405D15">
        <w:rPr>
          <w:color w:val="000000" w:themeColor="text1"/>
        </w:rPr>
        <w:t xml:space="preserve"> RT-PCR System (Applied Biosystems) using </w:t>
      </w:r>
      <w:proofErr w:type="spellStart"/>
      <w:r w:rsidRPr="00405D15">
        <w:rPr>
          <w:color w:val="000000" w:themeColor="text1"/>
        </w:rPr>
        <w:t>PowerUp</w:t>
      </w:r>
      <w:proofErr w:type="spellEnd"/>
      <w:r w:rsidRPr="00405D15">
        <w:rPr>
          <w:color w:val="000000" w:themeColor="text1"/>
        </w:rPr>
        <w:t>™ SYBR™ Green Master Mix (Applied Biosystems). Primers for the RT-PCR are described in the table below. Normalization was done against ACT1 mRNA expression.</w:t>
      </w:r>
    </w:p>
    <w:p w14:paraId="5E537913" w14:textId="77777777" w:rsidR="00E03F6E" w:rsidRPr="00405D15" w:rsidRDefault="00E03F6E" w:rsidP="00405D15">
      <w:pPr>
        <w:spacing w:after="200"/>
        <w:jc w:val="both"/>
        <w:rPr>
          <w:color w:val="000000" w:themeColor="text1"/>
        </w:rPr>
      </w:pPr>
    </w:p>
    <w:p w14:paraId="4358A87E" w14:textId="77777777" w:rsidR="00E03F6E" w:rsidRPr="00405D15" w:rsidRDefault="00E03F6E" w:rsidP="00405D15">
      <w:r w:rsidRPr="00405D15">
        <w:t xml:space="preserve">Oligonucleotide Primers Table: </w:t>
      </w:r>
    </w:p>
    <w:p w14:paraId="3B44B467" w14:textId="77777777" w:rsidR="00E03F6E" w:rsidRPr="00405D15" w:rsidRDefault="00E03F6E" w:rsidP="00405D15"/>
    <w:tbl>
      <w:tblPr>
        <w:tblStyle w:val="GridTable1Light-Accent11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03F6E" w:rsidRPr="00405D15" w14:paraId="303B1C82" w14:textId="77777777" w:rsidTr="00107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55C9A9F6" w14:textId="77777777" w:rsidR="00E03F6E" w:rsidRPr="00405D15" w:rsidRDefault="00E03F6E" w:rsidP="00405D15">
            <w:pPr>
              <w:rPr>
                <w:b w:val="0"/>
                <w:color w:val="000000"/>
              </w:rPr>
            </w:pPr>
          </w:p>
        </w:tc>
        <w:tc>
          <w:tcPr>
            <w:tcW w:w="6520" w:type="dxa"/>
            <w:vAlign w:val="center"/>
          </w:tcPr>
          <w:p w14:paraId="348A1457" w14:textId="77777777" w:rsidR="00E03F6E" w:rsidRPr="00405D15" w:rsidRDefault="00E03F6E" w:rsidP="00405D15">
            <w:pPr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05D15">
              <w:rPr>
                <w:color w:val="000000"/>
              </w:rPr>
              <w:t>Sequence</w:t>
            </w:r>
          </w:p>
        </w:tc>
      </w:tr>
      <w:tr w:rsidR="00E03F6E" w:rsidRPr="00405D15" w14:paraId="77965338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66C164F7" w14:textId="77777777" w:rsidR="00E03F6E" w:rsidRPr="00405D15" w:rsidRDefault="00E03F6E" w:rsidP="00405D15">
            <w:pPr>
              <w:rPr>
                <w:color w:val="000000"/>
              </w:rPr>
            </w:pPr>
            <w:r w:rsidRPr="00405D15">
              <w:rPr>
                <w:color w:val="000000"/>
              </w:rPr>
              <w:t xml:space="preserve">Hap1K4R </w:t>
            </w:r>
            <w:proofErr w:type="gramStart"/>
            <w:r w:rsidRPr="00405D15">
              <w:rPr>
                <w:color w:val="000000"/>
              </w:rPr>
              <w:t>mutation :</w:t>
            </w:r>
            <w:proofErr w:type="gramEnd"/>
          </w:p>
        </w:tc>
        <w:tc>
          <w:tcPr>
            <w:tcW w:w="6520" w:type="dxa"/>
            <w:vAlign w:val="center"/>
          </w:tcPr>
          <w:p w14:paraId="244B4B59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3F6E" w:rsidRPr="00405D15" w14:paraId="160DCBB4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5D038CE5" w14:textId="77777777" w:rsidR="00E03F6E" w:rsidRPr="00405D15" w:rsidRDefault="00E03F6E" w:rsidP="00405D15">
            <w:pPr>
              <w:ind w:left="449"/>
              <w:rPr>
                <w:b w:val="0"/>
                <w:bCs w:val="0"/>
                <w:color w:val="000000"/>
              </w:rPr>
            </w:pPr>
            <w:r w:rsidRPr="00405D15">
              <w:rPr>
                <w:b w:val="0"/>
                <w:color w:val="000000"/>
              </w:rPr>
              <w:t xml:space="preserve">Forward </w:t>
            </w:r>
          </w:p>
        </w:tc>
        <w:tc>
          <w:tcPr>
            <w:tcW w:w="6520" w:type="dxa"/>
            <w:vAlign w:val="center"/>
          </w:tcPr>
          <w:p w14:paraId="6C410947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bookmarkStart w:id="0" w:name="_GoBack"/>
            <w:r w:rsidRPr="00405D15">
              <w:rPr>
                <w:color w:val="000000"/>
              </w:rPr>
              <w:t>5</w:t>
            </w:r>
            <w:bookmarkEnd w:id="0"/>
            <w:r w:rsidRPr="00405D15">
              <w:rPr>
                <w:color w:val="000000"/>
              </w:rPr>
              <w:t xml:space="preserve">’ - GAC </w:t>
            </w:r>
            <w:r w:rsidRPr="00405D15">
              <w:rPr>
                <w:color w:val="000000"/>
                <w:u w:val="single"/>
              </w:rPr>
              <w:t>GCG ATC GC</w:t>
            </w:r>
            <w:r w:rsidRPr="00405D15">
              <w:rPr>
                <w:color w:val="000000"/>
              </w:rPr>
              <w:t xml:space="preserve">C ATG CGC CCG AGG </w:t>
            </w:r>
            <w:proofErr w:type="spellStart"/>
            <w:r w:rsidRPr="00405D15">
              <w:rPr>
                <w:color w:val="000000"/>
              </w:rPr>
              <w:t>AGG</w:t>
            </w:r>
            <w:proofErr w:type="spellEnd"/>
            <w:r w:rsidRPr="00405D15">
              <w:rPr>
                <w:color w:val="000000"/>
              </w:rPr>
              <w:t xml:space="preserve"> TT – 3’</w:t>
            </w:r>
          </w:p>
        </w:tc>
      </w:tr>
      <w:tr w:rsidR="00E03F6E" w:rsidRPr="00405D15" w14:paraId="1718814D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2A4C62E0" w14:textId="77777777" w:rsidR="00E03F6E" w:rsidRPr="00405D15" w:rsidRDefault="00E03F6E" w:rsidP="00405D15">
            <w:pPr>
              <w:ind w:left="449"/>
              <w:rPr>
                <w:b w:val="0"/>
                <w:color w:val="000000"/>
              </w:rPr>
            </w:pPr>
            <w:r w:rsidRPr="00405D15">
              <w:rPr>
                <w:b w:val="0"/>
                <w:color w:val="000000"/>
              </w:rPr>
              <w:t>Reverse</w:t>
            </w:r>
          </w:p>
        </w:tc>
        <w:tc>
          <w:tcPr>
            <w:tcW w:w="6520" w:type="dxa"/>
            <w:vAlign w:val="center"/>
          </w:tcPr>
          <w:p w14:paraId="4F7A04D7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05D15">
              <w:rPr>
                <w:color w:val="000000"/>
              </w:rPr>
              <w:t>5’ – CTG AGA TGA GTT TCT GCT CGA GCG GCC GC – 3’</w:t>
            </w:r>
          </w:p>
        </w:tc>
      </w:tr>
      <w:tr w:rsidR="00E03F6E" w:rsidRPr="00405D15" w14:paraId="64477CC1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22252E9B" w14:textId="77777777" w:rsidR="00E03F6E" w:rsidRPr="00405D15" w:rsidRDefault="00E03F6E" w:rsidP="00405D15">
            <w:pPr>
              <w:tabs>
                <w:tab w:val="left" w:pos="709"/>
              </w:tabs>
              <w:rPr>
                <w:color w:val="000000"/>
              </w:rPr>
            </w:pPr>
            <w:proofErr w:type="gramStart"/>
            <w:r w:rsidRPr="00405D15">
              <w:rPr>
                <w:color w:val="000000"/>
              </w:rPr>
              <w:t>qPCR :</w:t>
            </w:r>
            <w:proofErr w:type="gramEnd"/>
          </w:p>
        </w:tc>
        <w:tc>
          <w:tcPr>
            <w:tcW w:w="6520" w:type="dxa"/>
            <w:vAlign w:val="center"/>
          </w:tcPr>
          <w:p w14:paraId="0779BCAA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03F6E" w:rsidRPr="00405D15" w14:paraId="79C0334D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14:paraId="2589DE64" w14:textId="77777777" w:rsidR="00E03F6E" w:rsidRPr="00405D15" w:rsidRDefault="00E03F6E" w:rsidP="00405D15">
            <w:pPr>
              <w:tabs>
                <w:tab w:val="left" w:pos="709"/>
              </w:tabs>
              <w:ind w:left="449"/>
              <w:rPr>
                <w:b w:val="0"/>
                <w:color w:val="000000"/>
              </w:rPr>
            </w:pPr>
            <w:r w:rsidRPr="00405D15">
              <w:rPr>
                <w:b w:val="0"/>
                <w:color w:val="000000"/>
              </w:rPr>
              <w:t>ACT1-F</w:t>
            </w:r>
          </w:p>
        </w:tc>
        <w:tc>
          <w:tcPr>
            <w:tcW w:w="6520" w:type="dxa"/>
            <w:vAlign w:val="center"/>
          </w:tcPr>
          <w:p w14:paraId="352579D8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05D15">
              <w:t>5’ – T</w:t>
            </w:r>
            <w:r w:rsidRPr="00405D15">
              <w:rPr>
                <w:caps/>
              </w:rPr>
              <w:t>gg cac cca gca caa tga a – 3’</w:t>
            </w:r>
          </w:p>
        </w:tc>
      </w:tr>
      <w:tr w:rsidR="00E03F6E" w:rsidRPr="00405D15" w14:paraId="6E4FA61A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5D7CF706" w14:textId="77777777" w:rsidR="00E03F6E" w:rsidRPr="00405D15" w:rsidRDefault="00E03F6E" w:rsidP="00405D15">
            <w:pPr>
              <w:ind w:left="449"/>
              <w:rPr>
                <w:b w:val="0"/>
                <w:color w:val="000000"/>
              </w:rPr>
            </w:pPr>
            <w:r w:rsidRPr="00405D15">
              <w:rPr>
                <w:b w:val="0"/>
                <w:color w:val="000000"/>
              </w:rPr>
              <w:t>ACT1-R</w:t>
            </w:r>
          </w:p>
        </w:tc>
        <w:tc>
          <w:tcPr>
            <w:tcW w:w="6520" w:type="dxa"/>
            <w:vAlign w:val="center"/>
          </w:tcPr>
          <w:p w14:paraId="1E1D8A4E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05D15">
              <w:t>5’ – C</w:t>
            </w:r>
            <w:r w:rsidRPr="00405D15">
              <w:rPr>
                <w:caps/>
              </w:rPr>
              <w:t>ta agt cat agt ccg cct aga agc a - 3’</w:t>
            </w:r>
          </w:p>
        </w:tc>
      </w:tr>
      <w:tr w:rsidR="00E03F6E" w:rsidRPr="00405D15" w14:paraId="36333FED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00A43680" w14:textId="77777777" w:rsidR="00E03F6E" w:rsidRPr="00405D15" w:rsidRDefault="00E03F6E" w:rsidP="00405D15">
            <w:pPr>
              <w:ind w:left="449"/>
              <w:rPr>
                <w:b w:val="0"/>
                <w:color w:val="000000"/>
              </w:rPr>
            </w:pPr>
            <w:r w:rsidRPr="00405D15">
              <w:rPr>
                <w:b w:val="0"/>
                <w:color w:val="000000"/>
              </w:rPr>
              <w:t>HAP1-tag-F</w:t>
            </w:r>
          </w:p>
        </w:tc>
        <w:tc>
          <w:tcPr>
            <w:tcW w:w="6520" w:type="dxa"/>
            <w:vAlign w:val="center"/>
          </w:tcPr>
          <w:p w14:paraId="36CB7423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05D15">
              <w:t>5’ – GCA AGA TGC CCA TTA CAG GC – 3’</w:t>
            </w:r>
          </w:p>
        </w:tc>
      </w:tr>
      <w:tr w:rsidR="00E03F6E" w:rsidRPr="00405D15" w14:paraId="7A05BCC4" w14:textId="77777777" w:rsidTr="001074C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14:paraId="67284AE6" w14:textId="77777777" w:rsidR="00E03F6E" w:rsidRPr="00405D15" w:rsidRDefault="00E03F6E" w:rsidP="00405D15">
            <w:pPr>
              <w:ind w:left="449"/>
              <w:rPr>
                <w:b w:val="0"/>
                <w:color w:val="000000"/>
              </w:rPr>
            </w:pPr>
            <w:r w:rsidRPr="00405D15">
              <w:rPr>
                <w:b w:val="0"/>
                <w:color w:val="000000"/>
              </w:rPr>
              <w:t>HAP1-tag-R</w:t>
            </w:r>
          </w:p>
        </w:tc>
        <w:tc>
          <w:tcPr>
            <w:tcW w:w="6520" w:type="dxa"/>
            <w:vAlign w:val="center"/>
          </w:tcPr>
          <w:p w14:paraId="0FCE57AA" w14:textId="77777777" w:rsidR="00E03F6E" w:rsidRPr="00405D15" w:rsidRDefault="00E03F6E" w:rsidP="00405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05D15">
              <w:t xml:space="preserve">5’ – TCT </w:t>
            </w:r>
            <w:proofErr w:type="spellStart"/>
            <w:r w:rsidRPr="00405D15">
              <w:t>TCT</w:t>
            </w:r>
            <w:proofErr w:type="spellEnd"/>
            <w:r w:rsidRPr="00405D15">
              <w:t xml:space="preserve"> GAG ATG AGT TTC TGC TC – 3’</w:t>
            </w:r>
          </w:p>
        </w:tc>
      </w:tr>
    </w:tbl>
    <w:p w14:paraId="11E1C6CA" w14:textId="000B0A55" w:rsidR="00E03F6E" w:rsidRPr="00405D15" w:rsidRDefault="00E03F6E" w:rsidP="00405D15"/>
    <w:sectPr w:rsidR="00E03F6E" w:rsidRPr="00405D15" w:rsidSect="00522A04">
      <w:headerReference w:type="default" r:id="rId7"/>
      <w:head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C6B9" w14:textId="77777777" w:rsidR="0023181F" w:rsidRDefault="0023181F" w:rsidP="00522A04">
      <w:r>
        <w:separator/>
      </w:r>
    </w:p>
  </w:endnote>
  <w:endnote w:type="continuationSeparator" w:id="0">
    <w:p w14:paraId="456C25F8" w14:textId="77777777" w:rsidR="0023181F" w:rsidRDefault="0023181F" w:rsidP="0052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6B57" w14:textId="77777777" w:rsidR="0023181F" w:rsidRDefault="0023181F" w:rsidP="00522A04">
      <w:r>
        <w:separator/>
      </w:r>
    </w:p>
  </w:footnote>
  <w:footnote w:type="continuationSeparator" w:id="0">
    <w:p w14:paraId="66FF94D0" w14:textId="77777777" w:rsidR="0023181F" w:rsidRDefault="0023181F" w:rsidP="0052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2744" w14:textId="0BBDDAE6" w:rsidR="00522A04" w:rsidRPr="00522A04" w:rsidRDefault="00522A04" w:rsidP="00522A04">
    <w:pPr>
      <w:spacing w:line="360" w:lineRule="auto"/>
      <w:rPr>
        <w:rFonts w:ascii="Bookman Old Style" w:hAnsi="Bookman Old Style"/>
        <w:b/>
        <w:color w:val="000000" w:themeColor="text1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E70C" w14:textId="6863F371" w:rsidR="00522A04" w:rsidRPr="00522A04" w:rsidRDefault="00522A04" w:rsidP="00522A04">
    <w:pPr>
      <w:spacing w:line="360" w:lineRule="auto"/>
      <w:rPr>
        <w:rFonts w:ascii="Bookman Old Style" w:hAnsi="Bookman Old Style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914"/>
    <w:multiLevelType w:val="hybridMultilevel"/>
    <w:tmpl w:val="70E8EAC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456"/>
    <w:multiLevelType w:val="hybridMultilevel"/>
    <w:tmpl w:val="328A4B42"/>
    <w:lvl w:ilvl="0" w:tplc="8604BD64">
      <w:start w:val="1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0CD0"/>
    <w:multiLevelType w:val="hybridMultilevel"/>
    <w:tmpl w:val="E91EE92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3C5F"/>
    <w:multiLevelType w:val="hybridMultilevel"/>
    <w:tmpl w:val="261C7BAC"/>
    <w:lvl w:ilvl="0" w:tplc="9DB0DC8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9D"/>
    <w:rsid w:val="00001A68"/>
    <w:rsid w:val="00017A78"/>
    <w:rsid w:val="00051BCF"/>
    <w:rsid w:val="00055A81"/>
    <w:rsid w:val="0007617D"/>
    <w:rsid w:val="00091E6A"/>
    <w:rsid w:val="000B753E"/>
    <w:rsid w:val="000C4EB7"/>
    <w:rsid w:val="000D409F"/>
    <w:rsid w:val="000D6883"/>
    <w:rsid w:val="001074C9"/>
    <w:rsid w:val="00107D15"/>
    <w:rsid w:val="00127FC9"/>
    <w:rsid w:val="001351E2"/>
    <w:rsid w:val="00144BA9"/>
    <w:rsid w:val="00152A24"/>
    <w:rsid w:val="00154638"/>
    <w:rsid w:val="0018012A"/>
    <w:rsid w:val="00194AA8"/>
    <w:rsid w:val="0023181F"/>
    <w:rsid w:val="0026763C"/>
    <w:rsid w:val="002A5E5C"/>
    <w:rsid w:val="002B3C78"/>
    <w:rsid w:val="002C2712"/>
    <w:rsid w:val="002E1249"/>
    <w:rsid w:val="002E4350"/>
    <w:rsid w:val="002E4738"/>
    <w:rsid w:val="003229AF"/>
    <w:rsid w:val="003452CE"/>
    <w:rsid w:val="00354843"/>
    <w:rsid w:val="003712C9"/>
    <w:rsid w:val="003A1A5C"/>
    <w:rsid w:val="003A34EB"/>
    <w:rsid w:val="003B0D8F"/>
    <w:rsid w:val="003D6F3D"/>
    <w:rsid w:val="003F4B30"/>
    <w:rsid w:val="00403339"/>
    <w:rsid w:val="00405D15"/>
    <w:rsid w:val="004123C5"/>
    <w:rsid w:val="00432004"/>
    <w:rsid w:val="00443954"/>
    <w:rsid w:val="00445C66"/>
    <w:rsid w:val="0045570C"/>
    <w:rsid w:val="0047436B"/>
    <w:rsid w:val="00486313"/>
    <w:rsid w:val="00493B37"/>
    <w:rsid w:val="004A41DD"/>
    <w:rsid w:val="004C515C"/>
    <w:rsid w:val="004D34C0"/>
    <w:rsid w:val="004F2099"/>
    <w:rsid w:val="005125F0"/>
    <w:rsid w:val="005153C4"/>
    <w:rsid w:val="00522A04"/>
    <w:rsid w:val="005254ED"/>
    <w:rsid w:val="00554D99"/>
    <w:rsid w:val="005671E0"/>
    <w:rsid w:val="005856F3"/>
    <w:rsid w:val="005B6F87"/>
    <w:rsid w:val="00607C1C"/>
    <w:rsid w:val="00611791"/>
    <w:rsid w:val="006331E8"/>
    <w:rsid w:val="00657A74"/>
    <w:rsid w:val="006654C7"/>
    <w:rsid w:val="006679AF"/>
    <w:rsid w:val="00674E01"/>
    <w:rsid w:val="0068619E"/>
    <w:rsid w:val="00686C40"/>
    <w:rsid w:val="00697E4C"/>
    <w:rsid w:val="006B5C42"/>
    <w:rsid w:val="006C0469"/>
    <w:rsid w:val="006C32AE"/>
    <w:rsid w:val="006C503E"/>
    <w:rsid w:val="006D17FC"/>
    <w:rsid w:val="006D3740"/>
    <w:rsid w:val="006E1F68"/>
    <w:rsid w:val="006E319D"/>
    <w:rsid w:val="006F70FA"/>
    <w:rsid w:val="007221F2"/>
    <w:rsid w:val="00722CD5"/>
    <w:rsid w:val="00773B15"/>
    <w:rsid w:val="00780F8C"/>
    <w:rsid w:val="007A636C"/>
    <w:rsid w:val="007B1DD5"/>
    <w:rsid w:val="007C54EF"/>
    <w:rsid w:val="007C72B9"/>
    <w:rsid w:val="007F7390"/>
    <w:rsid w:val="00834A1B"/>
    <w:rsid w:val="00844CA1"/>
    <w:rsid w:val="00896473"/>
    <w:rsid w:val="008A7CE0"/>
    <w:rsid w:val="008E158C"/>
    <w:rsid w:val="0092167C"/>
    <w:rsid w:val="00934799"/>
    <w:rsid w:val="00947180"/>
    <w:rsid w:val="00951A45"/>
    <w:rsid w:val="009B73BB"/>
    <w:rsid w:val="00A018FA"/>
    <w:rsid w:val="00A022BB"/>
    <w:rsid w:val="00A34593"/>
    <w:rsid w:val="00A4059C"/>
    <w:rsid w:val="00AA4C8F"/>
    <w:rsid w:val="00AB3304"/>
    <w:rsid w:val="00AB7788"/>
    <w:rsid w:val="00AE295E"/>
    <w:rsid w:val="00B13AD5"/>
    <w:rsid w:val="00B265FB"/>
    <w:rsid w:val="00B655B1"/>
    <w:rsid w:val="00B921E8"/>
    <w:rsid w:val="00BA2CE4"/>
    <w:rsid w:val="00BA5C8D"/>
    <w:rsid w:val="00BC0027"/>
    <w:rsid w:val="00BC6E97"/>
    <w:rsid w:val="00BD3B48"/>
    <w:rsid w:val="00BE2B9D"/>
    <w:rsid w:val="00BF4154"/>
    <w:rsid w:val="00C110B9"/>
    <w:rsid w:val="00C617AD"/>
    <w:rsid w:val="00CA6064"/>
    <w:rsid w:val="00CD6D84"/>
    <w:rsid w:val="00D46EE4"/>
    <w:rsid w:val="00D567FD"/>
    <w:rsid w:val="00D60B57"/>
    <w:rsid w:val="00D9232C"/>
    <w:rsid w:val="00DA37A0"/>
    <w:rsid w:val="00DD1914"/>
    <w:rsid w:val="00DD4BF5"/>
    <w:rsid w:val="00DF0863"/>
    <w:rsid w:val="00DF67D4"/>
    <w:rsid w:val="00E00947"/>
    <w:rsid w:val="00E03F6E"/>
    <w:rsid w:val="00E24125"/>
    <w:rsid w:val="00E24B66"/>
    <w:rsid w:val="00E25181"/>
    <w:rsid w:val="00E4520E"/>
    <w:rsid w:val="00E63CD0"/>
    <w:rsid w:val="00E74840"/>
    <w:rsid w:val="00E76C5C"/>
    <w:rsid w:val="00E86BA6"/>
    <w:rsid w:val="00E963F3"/>
    <w:rsid w:val="00EE3F1E"/>
    <w:rsid w:val="00EE3FE1"/>
    <w:rsid w:val="00F0522C"/>
    <w:rsid w:val="00F1079E"/>
    <w:rsid w:val="00F10882"/>
    <w:rsid w:val="00F134B7"/>
    <w:rsid w:val="00F51C28"/>
    <w:rsid w:val="00F73523"/>
    <w:rsid w:val="00F746BE"/>
    <w:rsid w:val="00F8117F"/>
    <w:rsid w:val="00F8120D"/>
    <w:rsid w:val="00F96FAC"/>
    <w:rsid w:val="00FA093B"/>
    <w:rsid w:val="00FB45FA"/>
    <w:rsid w:val="00FD77B7"/>
    <w:rsid w:val="00FE025C"/>
    <w:rsid w:val="00FF106D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1976"/>
  <w15:docId w15:val="{A320BC31-DC95-A243-B41D-A1898BD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F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5671E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E1249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6331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2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12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68619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Normal"/>
    <w:uiPriority w:val="46"/>
    <w:rsid w:val="0068619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68619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8619E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861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A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de Genève</Company>
  <LinksUpToDate>false</LinksUpToDate>
  <CharactersWithSpaces>4050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2022-06-03T12:19:00Z</dcterms:created>
  <dcterms:modified xsi:type="dcterms:W3CDTF">2022-06-03T12:19:00Z</dcterms:modified>
</cp:coreProperties>
</file>