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1F824" w14:textId="38091D08" w:rsidR="00423EEB" w:rsidRPr="00511A83" w:rsidRDefault="0032332C" w:rsidP="00423EEB">
      <w:pPr>
        <w:jc w:val="center"/>
        <w:rPr>
          <w:rFonts w:ascii="Times" w:hAnsi="Times"/>
          <w:b/>
          <w:iCs/>
        </w:rPr>
      </w:pPr>
      <w:r w:rsidRPr="00511A83">
        <w:rPr>
          <w:rFonts w:ascii="Times" w:hAnsi="Times"/>
          <w:b/>
          <w:iCs/>
        </w:rPr>
        <w:t>Supplementary material</w:t>
      </w:r>
      <w:r w:rsidR="00EE542F" w:rsidRPr="00511A83">
        <w:rPr>
          <w:rFonts w:ascii="Times" w:hAnsi="Times"/>
          <w:b/>
          <w:iCs/>
        </w:rPr>
        <w:t xml:space="preserve"> for</w:t>
      </w:r>
    </w:p>
    <w:p w14:paraId="0A0A71EE" w14:textId="1C1E05BC" w:rsidR="005805E2" w:rsidRDefault="005805E2" w:rsidP="00423EEB">
      <w:pPr>
        <w:jc w:val="center"/>
        <w:rPr>
          <w:rFonts w:ascii="Times" w:hAnsi="Times"/>
          <w:b/>
          <w:iCs/>
          <w:sz w:val="28"/>
          <w:szCs w:val="28"/>
        </w:rPr>
      </w:pPr>
      <w:r>
        <w:rPr>
          <w:rFonts w:ascii="Times" w:hAnsi="Times"/>
          <w:b/>
          <w:iCs/>
          <w:sz w:val="28"/>
          <w:szCs w:val="28"/>
        </w:rPr>
        <w:t>Temporal evolution of</w:t>
      </w:r>
      <w:r w:rsidRPr="00B77DE5">
        <w:rPr>
          <w:rFonts w:ascii="Times" w:hAnsi="Times"/>
          <w:b/>
          <w:iCs/>
          <w:sz w:val="28"/>
          <w:szCs w:val="28"/>
        </w:rPr>
        <w:t xml:space="preserve"> island arc</w:t>
      </w:r>
      <w:r>
        <w:rPr>
          <w:rFonts w:ascii="Times" w:hAnsi="Times"/>
          <w:b/>
          <w:iCs/>
          <w:sz w:val="28"/>
          <w:szCs w:val="28"/>
        </w:rPr>
        <w:t xml:space="preserve"> magmatism and its influence on long-term climate:</w:t>
      </w:r>
      <w:r w:rsidRPr="00B77DE5">
        <w:rPr>
          <w:rFonts w:ascii="Times" w:hAnsi="Times"/>
          <w:b/>
          <w:iCs/>
          <w:sz w:val="28"/>
          <w:szCs w:val="28"/>
        </w:rPr>
        <w:t xml:space="preserve"> </w:t>
      </w:r>
      <w:r w:rsidR="0078187D">
        <w:rPr>
          <w:rFonts w:ascii="Times" w:hAnsi="Times"/>
          <w:b/>
          <w:iCs/>
          <w:sz w:val="28"/>
          <w:szCs w:val="28"/>
        </w:rPr>
        <w:t>I</w:t>
      </w:r>
      <w:r>
        <w:rPr>
          <w:rFonts w:ascii="Times" w:hAnsi="Times"/>
          <w:b/>
          <w:iCs/>
          <w:sz w:val="28"/>
          <w:szCs w:val="28"/>
        </w:rPr>
        <w:t>nsights</w:t>
      </w:r>
      <w:r w:rsidRPr="00B77DE5">
        <w:rPr>
          <w:rFonts w:ascii="Times" w:hAnsi="Times"/>
          <w:b/>
          <w:iCs/>
          <w:sz w:val="28"/>
          <w:szCs w:val="28"/>
        </w:rPr>
        <w:t xml:space="preserve"> from the Izu</w:t>
      </w:r>
      <w:r>
        <w:rPr>
          <w:rFonts w:ascii="Times" w:hAnsi="Times"/>
          <w:b/>
          <w:iCs/>
          <w:sz w:val="28"/>
          <w:szCs w:val="28"/>
        </w:rPr>
        <w:t xml:space="preserve"> </w:t>
      </w:r>
      <w:r w:rsidRPr="00B77DE5">
        <w:rPr>
          <w:rFonts w:ascii="Times" w:hAnsi="Times"/>
          <w:b/>
          <w:iCs/>
          <w:sz w:val="28"/>
          <w:szCs w:val="28"/>
        </w:rPr>
        <w:t>intra-oceanic arc</w:t>
      </w:r>
    </w:p>
    <w:p w14:paraId="2D30B7F0" w14:textId="7E3BF3EC" w:rsidR="00FF127B" w:rsidRDefault="00FF127B" w:rsidP="00423EEB">
      <w:pPr>
        <w:jc w:val="center"/>
        <w:rPr>
          <w:rFonts w:ascii="Times" w:hAnsi="Times"/>
          <w:b/>
          <w:iCs/>
          <w:sz w:val="28"/>
          <w:szCs w:val="28"/>
        </w:rPr>
      </w:pPr>
    </w:p>
    <w:p w14:paraId="11098159" w14:textId="2DA210DF" w:rsidR="00F15178" w:rsidRPr="005B466C" w:rsidRDefault="00F15178" w:rsidP="00423EEB">
      <w:pPr>
        <w:jc w:val="center"/>
        <w:rPr>
          <w:rFonts w:ascii="Times" w:hAnsi="Times"/>
        </w:rPr>
      </w:pPr>
      <w:r w:rsidRPr="00501F0D">
        <w:rPr>
          <w:rFonts w:ascii="Times" w:hAnsi="Times"/>
        </w:rPr>
        <w:t>Julia M. Ribeiro</w:t>
      </w:r>
      <w:r w:rsidRPr="00501F0D">
        <w:rPr>
          <w:rFonts w:ascii="Times" w:hAnsi="Times"/>
          <w:vertAlign w:val="superscript"/>
        </w:rPr>
        <w:t>1</w:t>
      </w:r>
      <w:r>
        <w:rPr>
          <w:rFonts w:ascii="Times" w:hAnsi="Times"/>
        </w:rPr>
        <w:t>, Osamu Ishizuka</w:t>
      </w:r>
      <w:r w:rsidRPr="00CB2066">
        <w:rPr>
          <w:rFonts w:ascii="Times" w:hAnsi="Times"/>
          <w:vertAlign w:val="superscript"/>
        </w:rPr>
        <w:t>2,</w:t>
      </w:r>
      <w:r>
        <w:rPr>
          <w:rFonts w:ascii="Times" w:hAnsi="Times"/>
          <w:vertAlign w:val="superscript"/>
        </w:rPr>
        <w:t>3</w:t>
      </w:r>
      <w:r>
        <w:rPr>
          <w:rFonts w:ascii="Times" w:hAnsi="Times"/>
        </w:rPr>
        <w:t>, Philip A.E. Pogge von Strandmann</w:t>
      </w:r>
      <w:r w:rsidRPr="00CB2066">
        <w:rPr>
          <w:rFonts w:ascii="Times" w:hAnsi="Times"/>
          <w:vertAlign w:val="superscript"/>
        </w:rPr>
        <w:t>4</w:t>
      </w:r>
      <w:r>
        <w:rPr>
          <w:rFonts w:ascii="Times" w:hAnsi="Times"/>
        </w:rPr>
        <w:t>, Yoshihiko Tamura</w:t>
      </w:r>
      <w:r w:rsidRPr="00CB2066">
        <w:rPr>
          <w:rFonts w:ascii="Times" w:hAnsi="Times"/>
          <w:vertAlign w:val="superscript"/>
        </w:rPr>
        <w:t>2</w:t>
      </w:r>
      <w:r w:rsidR="00F80495">
        <w:rPr>
          <w:rFonts w:ascii="Times" w:hAnsi="Times"/>
        </w:rPr>
        <w:t>, Yi-G</w:t>
      </w:r>
      <w:r>
        <w:rPr>
          <w:rFonts w:ascii="Times" w:hAnsi="Times"/>
        </w:rPr>
        <w:t>ang Xu</w:t>
      </w:r>
      <w:r w:rsidRPr="006C77A5">
        <w:rPr>
          <w:rFonts w:ascii="Times" w:hAnsi="Times"/>
          <w:vertAlign w:val="superscript"/>
        </w:rPr>
        <w:t>1</w:t>
      </w:r>
      <w:r w:rsidR="00423EEB">
        <w:rPr>
          <w:rFonts w:ascii="Times" w:hAnsi="Times"/>
          <w:vertAlign w:val="superscript"/>
        </w:rPr>
        <w:t>,5</w:t>
      </w:r>
    </w:p>
    <w:p w14:paraId="34B3EE00" w14:textId="0D61D8A0" w:rsidR="00F15178" w:rsidRPr="0099752D" w:rsidRDefault="00F15178" w:rsidP="00423EEB">
      <w:pPr>
        <w:jc w:val="center"/>
        <w:rPr>
          <w:rFonts w:ascii="Times" w:hAnsi="Times"/>
        </w:rPr>
      </w:pPr>
      <w:r w:rsidRPr="00501F0D">
        <w:rPr>
          <w:rFonts w:ascii="Times" w:hAnsi="Times"/>
          <w:vertAlign w:val="superscript"/>
        </w:rPr>
        <w:tab/>
        <w:t xml:space="preserve"> </w:t>
      </w:r>
    </w:p>
    <w:p w14:paraId="75BE5874" w14:textId="3023CAFD" w:rsidR="00F15178" w:rsidRPr="004A07E1" w:rsidRDefault="00F15178" w:rsidP="00F15178">
      <w:pPr>
        <w:outlineLvl w:val="0"/>
        <w:rPr>
          <w:rFonts w:ascii="Times" w:hAnsi="Times"/>
        </w:rPr>
      </w:pPr>
      <w:r w:rsidRPr="00BE7D98">
        <w:rPr>
          <w:rFonts w:ascii="Times" w:hAnsi="Times"/>
          <w:vertAlign w:val="superscript"/>
        </w:rPr>
        <w:t>1</w:t>
      </w:r>
      <w:r w:rsidRPr="00BE7D98">
        <w:rPr>
          <w:rFonts w:ascii="Times" w:hAnsi="Times"/>
        </w:rPr>
        <w:t xml:space="preserve"> </w:t>
      </w:r>
      <w:r w:rsidR="00423EEB">
        <w:rPr>
          <w:rFonts w:ascii="Times" w:hAnsi="Times"/>
        </w:rPr>
        <w:t>State Key Laboratory of Isotope G</w:t>
      </w:r>
      <w:r w:rsidR="002E3DBA" w:rsidRPr="004A07E1">
        <w:rPr>
          <w:rFonts w:ascii="Times" w:hAnsi="Times"/>
        </w:rPr>
        <w:t>eochemistry,</w:t>
      </w:r>
      <w:r w:rsidR="002E3DBA">
        <w:rPr>
          <w:rFonts w:ascii="Times" w:hAnsi="Times"/>
        </w:rPr>
        <w:t xml:space="preserve"> </w:t>
      </w:r>
      <w:r w:rsidRPr="00BE7D98">
        <w:rPr>
          <w:rFonts w:ascii="Times" w:hAnsi="Times"/>
        </w:rPr>
        <w:t>Guangzhou Institut</w:t>
      </w:r>
      <w:r w:rsidRPr="004A07E1">
        <w:rPr>
          <w:rFonts w:ascii="Times" w:hAnsi="Times"/>
        </w:rPr>
        <w:t>e of Geochemistry, the Chinese Academy of Science, China.</w:t>
      </w:r>
    </w:p>
    <w:p w14:paraId="22544DE8" w14:textId="0513EDE6" w:rsidR="00F15178" w:rsidRPr="00CB2066" w:rsidRDefault="00F15178" w:rsidP="00F15178">
      <w:pPr>
        <w:tabs>
          <w:tab w:val="left" w:pos="0"/>
        </w:tabs>
        <w:rPr>
          <w:rFonts w:ascii="Times" w:hAnsi="Times"/>
        </w:rPr>
      </w:pPr>
      <w:r w:rsidRPr="00A74595">
        <w:rPr>
          <w:rFonts w:ascii="Times" w:hAnsi="Times"/>
          <w:vertAlign w:val="superscript"/>
        </w:rPr>
        <w:t>2</w:t>
      </w:r>
      <w:r w:rsidRPr="00CB2066">
        <w:rPr>
          <w:rFonts w:ascii="Times" w:hAnsi="Times"/>
        </w:rPr>
        <w:t xml:space="preserve"> Japan Agency for Marine-Earth Science and Technology, Yokosuka, Japan.</w:t>
      </w:r>
    </w:p>
    <w:p w14:paraId="173D8930" w14:textId="5C2FEE24" w:rsidR="00F15178" w:rsidRPr="00CB2066" w:rsidRDefault="00F15178" w:rsidP="00F15178">
      <w:pPr>
        <w:outlineLvl w:val="0"/>
        <w:rPr>
          <w:rFonts w:ascii="Times" w:hAnsi="Times"/>
        </w:rPr>
      </w:pPr>
      <w:r w:rsidRPr="00BE7D98">
        <w:rPr>
          <w:rFonts w:ascii="Times" w:hAnsi="Times"/>
          <w:vertAlign w:val="superscript"/>
        </w:rPr>
        <w:t>3</w:t>
      </w:r>
      <w:r w:rsidRPr="00BE7D98">
        <w:rPr>
          <w:rFonts w:ascii="Times" w:hAnsi="Times"/>
        </w:rPr>
        <w:t xml:space="preserve"> </w:t>
      </w:r>
      <w:r w:rsidRPr="00CB2066">
        <w:rPr>
          <w:rFonts w:ascii="Times" w:hAnsi="Times"/>
        </w:rPr>
        <w:t>Geological Survey of Japan, AIST, Ibaraki, Japan.</w:t>
      </w:r>
    </w:p>
    <w:p w14:paraId="2EC4A9FD" w14:textId="05A361F1" w:rsidR="00F15178" w:rsidRDefault="00F15178" w:rsidP="00F15178">
      <w:pPr>
        <w:outlineLvl w:val="0"/>
        <w:rPr>
          <w:rFonts w:ascii="Times" w:hAnsi="Times"/>
        </w:rPr>
      </w:pPr>
      <w:r w:rsidRPr="00CB2066">
        <w:rPr>
          <w:rFonts w:ascii="Times" w:hAnsi="Times"/>
          <w:vertAlign w:val="superscript"/>
        </w:rPr>
        <w:t>4</w:t>
      </w:r>
      <w:r w:rsidRPr="00CB2066">
        <w:rPr>
          <w:rFonts w:ascii="Times" w:hAnsi="Times"/>
        </w:rPr>
        <w:t xml:space="preserve"> Institute of Geosciences, Johannes Gutenberg University Mainz, Germany.</w:t>
      </w:r>
    </w:p>
    <w:p w14:paraId="2979413D" w14:textId="295E9996" w:rsidR="00423EEB" w:rsidRDefault="00423EEB" w:rsidP="00423EEB">
      <w:pPr>
        <w:outlineLvl w:val="0"/>
        <w:rPr>
          <w:rFonts w:ascii="Times" w:hAnsi="Times"/>
        </w:rPr>
      </w:pPr>
      <w:r w:rsidRPr="003F5BAF">
        <w:rPr>
          <w:rFonts w:ascii="Times" w:hAnsi="Times"/>
          <w:vertAlign w:val="superscript"/>
        </w:rPr>
        <w:t>5</w:t>
      </w:r>
      <w:r w:rsidRPr="002D3815">
        <w:rPr>
          <w:rFonts w:ascii="Times" w:hAnsi="Times"/>
        </w:rPr>
        <w:t xml:space="preserve"> Southern Marine Science and Engineering Guangdong Laboratory (Guangzhou), Guangzhou, 511458, China</w:t>
      </w:r>
      <w:r>
        <w:rPr>
          <w:rFonts w:ascii="Times" w:hAnsi="Times"/>
        </w:rPr>
        <w:t>.</w:t>
      </w:r>
    </w:p>
    <w:p w14:paraId="3DE163E5" w14:textId="450AFDDC" w:rsidR="008C2EF3" w:rsidRDefault="008C2EF3">
      <w:bookmarkStart w:id="0" w:name="_GoBack"/>
      <w:bookmarkEnd w:id="0"/>
    </w:p>
    <w:p w14:paraId="0AC217B2" w14:textId="51B9BD1A" w:rsidR="0032332C" w:rsidRDefault="00423EEB">
      <w:pPr>
        <w:rPr>
          <w:b/>
        </w:rPr>
      </w:pPr>
      <w:r>
        <w:rPr>
          <w:rFonts w:ascii="Times" w:hAnsi="Times"/>
          <w:noProof/>
        </w:rPr>
        <mc:AlternateContent>
          <mc:Choice Requires="wps">
            <w:drawing>
              <wp:anchor distT="0" distB="0" distL="114300" distR="114300" simplePos="0" relativeHeight="251659264" behindDoc="0" locked="0" layoutInCell="1" allowOverlap="1" wp14:anchorId="46140B8A" wp14:editId="3A5FC605">
                <wp:simplePos x="0" y="0"/>
                <wp:positionH relativeFrom="column">
                  <wp:posOffset>-62865</wp:posOffset>
                </wp:positionH>
                <wp:positionV relativeFrom="paragraph">
                  <wp:posOffset>217805</wp:posOffset>
                </wp:positionV>
                <wp:extent cx="2751455" cy="58242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51455" cy="5824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873EF" w14:textId="77777777" w:rsidR="007E0FAA" w:rsidRDefault="007E0FAA">
                            <w:r>
                              <w:rPr>
                                <w:noProof/>
                              </w:rPr>
                              <w:drawing>
                                <wp:inline distT="0" distB="0" distL="0" distR="0" wp14:anchorId="7FE9988E" wp14:editId="3F8E7081">
                                  <wp:extent cx="2539065" cy="379236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jpg"/>
                                          <pic:cNvPicPr/>
                                        </pic:nvPicPr>
                                        <pic:blipFill>
                                          <a:blip r:embed="rId7">
                                            <a:extLst>
                                              <a:ext uri="{28A0092B-C50C-407E-A947-70E740481C1C}">
                                                <a14:useLocalDpi xmlns:a14="http://schemas.microsoft.com/office/drawing/2010/main" val="0"/>
                                              </a:ext>
                                            </a:extLst>
                                          </a:blip>
                                          <a:stretch>
                                            <a:fillRect/>
                                          </a:stretch>
                                        </pic:blipFill>
                                        <pic:spPr>
                                          <a:xfrm>
                                            <a:off x="0" y="0"/>
                                            <a:ext cx="2565039" cy="3831159"/>
                                          </a:xfrm>
                                          <a:prstGeom prst="rect">
                                            <a:avLst/>
                                          </a:prstGeom>
                                        </pic:spPr>
                                      </pic:pic>
                                    </a:graphicData>
                                  </a:graphic>
                                </wp:inline>
                              </w:drawing>
                            </w:r>
                          </w:p>
                          <w:p w14:paraId="3444878B" w14:textId="7B07D4E1" w:rsidR="007E0FAA" w:rsidRPr="003602A8" w:rsidRDefault="007E0FAA" w:rsidP="003602A8">
                            <w:pPr>
                              <w:jc w:val="both"/>
                              <w:rPr>
                                <w:i/>
                              </w:rPr>
                            </w:pPr>
                            <w:r w:rsidRPr="003602A8">
                              <w:rPr>
                                <w:i/>
                              </w:rPr>
                              <w:t>Fi</w:t>
                            </w:r>
                            <w:r w:rsidR="003602A8" w:rsidRPr="003602A8">
                              <w:rPr>
                                <w:i/>
                              </w:rPr>
                              <w:t xml:space="preserve">g. S1: </w:t>
                            </w:r>
                            <w:r w:rsidR="00B60B84">
                              <w:rPr>
                                <w:i/>
                              </w:rPr>
                              <w:t xml:space="preserve">A) </w:t>
                            </w:r>
                            <w:r w:rsidR="003602A8" w:rsidRPr="003602A8">
                              <w:rPr>
                                <w:i/>
                              </w:rPr>
                              <w:t>H</w:t>
                            </w:r>
                            <w:r w:rsidR="003602A8" w:rsidRPr="003602A8">
                              <w:rPr>
                                <w:i/>
                                <w:vertAlign w:val="subscript"/>
                              </w:rPr>
                              <w:t>2</w:t>
                            </w:r>
                            <w:r w:rsidR="003602A8" w:rsidRPr="003602A8">
                              <w:rPr>
                                <w:i/>
                              </w:rPr>
                              <w:t>O</w:t>
                            </w:r>
                            <w:r w:rsidR="003755F2">
                              <w:rPr>
                                <w:i/>
                              </w:rPr>
                              <w:t xml:space="preserve"> (wt%)</w:t>
                            </w:r>
                            <w:r w:rsidR="003602A8" w:rsidRPr="003602A8">
                              <w:rPr>
                                <w:i/>
                              </w:rPr>
                              <w:t xml:space="preserve"> vs. SiO</w:t>
                            </w:r>
                            <w:r w:rsidR="003602A8" w:rsidRPr="003602A8">
                              <w:rPr>
                                <w:i/>
                                <w:vertAlign w:val="subscript"/>
                              </w:rPr>
                              <w:t>2</w:t>
                            </w:r>
                            <w:r w:rsidR="003755F2">
                              <w:rPr>
                                <w:i/>
                                <w:vertAlign w:val="subscript"/>
                              </w:rPr>
                              <w:t xml:space="preserve"> </w:t>
                            </w:r>
                            <w:r w:rsidR="003755F2" w:rsidRPr="003755F2">
                              <w:rPr>
                                <w:i/>
                              </w:rPr>
                              <w:t>(wt%)</w:t>
                            </w:r>
                            <w:r w:rsidR="003602A8" w:rsidRPr="003755F2">
                              <w:rPr>
                                <w:i/>
                              </w:rPr>
                              <w:t>,</w:t>
                            </w:r>
                            <w:r w:rsidR="003602A8" w:rsidRPr="003602A8">
                              <w:rPr>
                                <w:i/>
                              </w:rPr>
                              <w:t xml:space="preserve"> and B)</w:t>
                            </w:r>
                            <w:r w:rsidR="00B60B84">
                              <w:rPr>
                                <w:i/>
                              </w:rPr>
                              <w:t xml:space="preserve"> H</w:t>
                            </w:r>
                            <w:r w:rsidR="00B60B84" w:rsidRPr="00B60B84">
                              <w:rPr>
                                <w:i/>
                                <w:vertAlign w:val="subscript"/>
                              </w:rPr>
                              <w:t>2</w:t>
                            </w:r>
                            <w:r w:rsidR="00B60B84">
                              <w:rPr>
                                <w:i/>
                              </w:rPr>
                              <w:t>O</w:t>
                            </w:r>
                            <w:r w:rsidR="003755F2">
                              <w:rPr>
                                <w:i/>
                              </w:rPr>
                              <w:t xml:space="preserve"> (wt%)</w:t>
                            </w:r>
                            <w:r w:rsidR="00B60B84">
                              <w:rPr>
                                <w:i/>
                              </w:rPr>
                              <w:t xml:space="preserve"> vs.</w:t>
                            </w:r>
                            <w:r w:rsidR="003602A8" w:rsidRPr="003602A8">
                              <w:rPr>
                                <w:i/>
                              </w:rPr>
                              <w:t xml:space="preserve"> K</w:t>
                            </w:r>
                            <w:r w:rsidR="003602A8" w:rsidRPr="003602A8">
                              <w:rPr>
                                <w:i/>
                                <w:vertAlign w:val="subscript"/>
                              </w:rPr>
                              <w:t>2</w:t>
                            </w:r>
                            <w:r w:rsidR="003602A8" w:rsidRPr="003602A8">
                              <w:rPr>
                                <w:i/>
                              </w:rPr>
                              <w:t>O</w:t>
                            </w:r>
                            <w:r w:rsidR="003755F2">
                              <w:rPr>
                                <w:i/>
                              </w:rPr>
                              <w:t xml:space="preserve"> (wt%)</w:t>
                            </w:r>
                            <w:r w:rsidR="00B60B84">
                              <w:rPr>
                                <w:i/>
                              </w:rPr>
                              <w:t xml:space="preserve"> diagrams</w:t>
                            </w:r>
                            <w:r w:rsidR="003602A8" w:rsidRPr="003602A8">
                              <w:rPr>
                                <w:i/>
                              </w:rPr>
                              <w:t>. The positive co-variations between H</w:t>
                            </w:r>
                            <w:r w:rsidR="003602A8" w:rsidRPr="003602A8">
                              <w:rPr>
                                <w:i/>
                                <w:vertAlign w:val="subscript"/>
                              </w:rPr>
                              <w:t>2</w:t>
                            </w:r>
                            <w:r w:rsidR="003602A8" w:rsidRPr="003602A8">
                              <w:rPr>
                                <w:i/>
                              </w:rPr>
                              <w:t>O, K</w:t>
                            </w:r>
                            <w:r w:rsidR="003602A8" w:rsidRPr="003602A8">
                              <w:rPr>
                                <w:i/>
                                <w:vertAlign w:val="subscript"/>
                              </w:rPr>
                              <w:t>2</w:t>
                            </w:r>
                            <w:r w:rsidR="003602A8" w:rsidRPr="003602A8">
                              <w:rPr>
                                <w:i/>
                              </w:rPr>
                              <w:t>O and SiO</w:t>
                            </w:r>
                            <w:r w:rsidR="003602A8" w:rsidRPr="003602A8">
                              <w:rPr>
                                <w:i/>
                                <w:vertAlign w:val="subscript"/>
                              </w:rPr>
                              <w:t>2</w:t>
                            </w:r>
                            <w:r w:rsidR="003602A8" w:rsidRPr="003602A8">
                              <w:rPr>
                                <w:i/>
                              </w:rPr>
                              <w:t xml:space="preserve"> demonstrate that fractionation trends remained preserved in the samples, indicating that alteration processes, diffusion between the crystal host and the inclusion </w:t>
                            </w:r>
                            <w:r w:rsidR="003602A8" w:rsidRPr="003602A8">
                              <w:rPr>
                                <w:i/>
                              </w:rPr>
                              <w:fldChar w:fldCharType="begin"/>
                            </w:r>
                            <w:r w:rsidR="003602A8" w:rsidRPr="003602A8">
                              <w:rPr>
                                <w:i/>
                              </w:rPr>
                              <w:instrText xml:space="preserve"> ADDIN EN.CITE &lt;EndNote&gt;&lt;Cite&gt;&lt;Author&gt;Gaetani&lt;/Author&gt;&lt;Year&gt;2000&lt;/Year&gt;&lt;RecNum&gt;1501&lt;/RecNum&gt;&lt;DisplayText&gt;(Gaetani and Watson, 2000)&lt;/DisplayText&gt;&lt;record&gt;&lt;rec-number&gt;1501&lt;/rec-number&gt;&lt;foreign-keys&gt;&lt;key app="EN" db-id="tfxzr2zrjddafqe0td4xze5qtw9zstt9z5f2" timestamp="1571886443"&gt;1501&lt;/key&gt;&lt;/foreign-keys&gt;&lt;ref-type name="Journal Article"&gt;17&lt;/ref-type&gt;&lt;contributors&gt;&lt;authors&gt;&lt;author&gt;Gaetani, G. A.&lt;/author&gt;&lt;author&gt;Watson, E. B.&lt;/author&gt;&lt;/authors&gt;&lt;/contributors&gt;&lt;titles&gt;&lt;title&gt;Open system behavior of olivine-hosted melt inclusions&lt;/title&gt;&lt;secondary-title&gt;Earth and Planetary Science Letters&lt;/secondary-title&gt;&lt;/titles&gt;&lt;periodical&gt;&lt;full-title&gt;Earth and Planetary Science Letters&lt;/full-title&gt;&lt;/periodical&gt;&lt;pages&gt;27-41&lt;/pages&gt;&lt;volume&gt;183&lt;/volume&gt;&lt;number&gt;1&lt;/number&gt;&lt;keywords&gt;&lt;keyword&gt;inclusions&lt;/keyword&gt;&lt;keyword&gt;olivine&lt;/keyword&gt;&lt;keyword&gt;diffusion&lt;/keyword&gt;&lt;keyword&gt;picrite&lt;/keyword&gt;&lt;keyword&gt;Reykjanes Peninsula&lt;/keyword&gt;&lt;/keywords&gt;&lt;dates&gt;&lt;year&gt;2000&lt;/year&gt;&lt;pub-dates&gt;&lt;date&gt;2000/11/30/&lt;/date&gt;&lt;/pub-dates&gt;&lt;/dates&gt;&lt;isbn&gt;0012-821X&lt;/isbn&gt;&lt;urls&gt;&lt;related-urls&gt;&lt;url&gt;http://www.sciencedirect.com/science/article/pii/S0012821X00002600&lt;/url&gt;&lt;/related-urls&gt;&lt;/urls&gt;&lt;electronic-resource-num&gt;https://doi.org/10.1016/S0012-821X(00)00260-0&lt;/electronic-resource-num&gt;&lt;/record&gt;&lt;/Cite&gt;&lt;/EndNote&gt;</w:instrText>
                            </w:r>
                            <w:r w:rsidR="003602A8" w:rsidRPr="003602A8">
                              <w:rPr>
                                <w:i/>
                              </w:rPr>
                              <w:fldChar w:fldCharType="separate"/>
                            </w:r>
                            <w:r w:rsidR="003602A8" w:rsidRPr="003602A8">
                              <w:rPr>
                                <w:i/>
                                <w:noProof/>
                              </w:rPr>
                              <w:t>(Gaetani and Watson, 2000)</w:t>
                            </w:r>
                            <w:r w:rsidR="003602A8" w:rsidRPr="003602A8">
                              <w:rPr>
                                <w:i/>
                              </w:rPr>
                              <w:fldChar w:fldCharType="end"/>
                            </w:r>
                            <w:r w:rsidR="003602A8" w:rsidRPr="003602A8">
                              <w:rPr>
                                <w:i/>
                              </w:rPr>
                              <w:t xml:space="preserve">, and volcanic degassing play a minor role in the water content of our filtered glasses.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40B8A" id="_x0000_t202" coordsize="21600,21600" o:spt="202" path="m0,0l0,21600,21600,21600,21600,0xe">
                <v:stroke joinstyle="miter"/>
                <v:path gradientshapeok="t" o:connecttype="rect"/>
              </v:shapetype>
              <v:shape id="Text Box 1" o:spid="_x0000_s1026" type="#_x0000_t202" style="position:absolute;margin-left:-4.95pt;margin-top:17.15pt;width:216.65pt;height:4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" filled="f" stroked="f">
                <v:textbox>
                  <w:txbxContent>
                    <w:p w14:paraId="79B873EF" w14:textId="77777777" w:rsidR="007E0FAA" w:rsidRDefault="007E0FAA">
                      <w:r>
                        <w:rPr>
                          <w:noProof/>
                        </w:rPr>
                        <w:drawing>
                          <wp:inline distT="0" distB="0" distL="0" distR="0" wp14:anchorId="7FE9988E" wp14:editId="3F8E7081">
                            <wp:extent cx="2539065" cy="379236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1.jpg"/>
                                    <pic:cNvPicPr/>
                                  </pic:nvPicPr>
                                  <pic:blipFill>
                                    <a:blip r:embed="rId8">
                                      <a:extLst>
                                        <a:ext uri="{28A0092B-C50C-407E-A947-70E740481C1C}">
                                          <a14:useLocalDpi xmlns:a14="http://schemas.microsoft.com/office/drawing/2010/main" val="0"/>
                                        </a:ext>
                                      </a:extLst>
                                    </a:blip>
                                    <a:stretch>
                                      <a:fillRect/>
                                    </a:stretch>
                                  </pic:blipFill>
                                  <pic:spPr>
                                    <a:xfrm>
                                      <a:off x="0" y="0"/>
                                      <a:ext cx="2565039" cy="3831159"/>
                                    </a:xfrm>
                                    <a:prstGeom prst="rect">
                                      <a:avLst/>
                                    </a:prstGeom>
                                  </pic:spPr>
                                </pic:pic>
                              </a:graphicData>
                            </a:graphic>
                          </wp:inline>
                        </w:drawing>
                      </w:r>
                    </w:p>
                    <w:p w14:paraId="3444878B" w14:textId="7B07D4E1" w:rsidR="007E0FAA" w:rsidRPr="003602A8" w:rsidRDefault="007E0FAA" w:rsidP="003602A8">
                      <w:pPr>
                        <w:jc w:val="both"/>
                        <w:rPr>
                          <w:i/>
                        </w:rPr>
                      </w:pPr>
                      <w:r w:rsidRPr="003602A8">
                        <w:rPr>
                          <w:i/>
                        </w:rPr>
                        <w:t>Fi</w:t>
                      </w:r>
                      <w:r w:rsidR="003602A8" w:rsidRPr="003602A8">
                        <w:rPr>
                          <w:i/>
                        </w:rPr>
                        <w:t xml:space="preserve">g. S1: </w:t>
                      </w:r>
                      <w:r w:rsidR="00B60B84">
                        <w:rPr>
                          <w:i/>
                        </w:rPr>
                        <w:t xml:space="preserve">A) </w:t>
                      </w:r>
                      <w:r w:rsidR="003602A8" w:rsidRPr="003602A8">
                        <w:rPr>
                          <w:i/>
                        </w:rPr>
                        <w:t>H</w:t>
                      </w:r>
                      <w:r w:rsidR="003602A8" w:rsidRPr="003602A8">
                        <w:rPr>
                          <w:i/>
                          <w:vertAlign w:val="subscript"/>
                        </w:rPr>
                        <w:t>2</w:t>
                      </w:r>
                      <w:r w:rsidR="003602A8" w:rsidRPr="003602A8">
                        <w:rPr>
                          <w:i/>
                        </w:rPr>
                        <w:t>O</w:t>
                      </w:r>
                      <w:r w:rsidR="003755F2">
                        <w:rPr>
                          <w:i/>
                        </w:rPr>
                        <w:t xml:space="preserve"> (wt%)</w:t>
                      </w:r>
                      <w:r w:rsidR="003602A8" w:rsidRPr="003602A8">
                        <w:rPr>
                          <w:i/>
                        </w:rPr>
                        <w:t xml:space="preserve"> vs. SiO</w:t>
                      </w:r>
                      <w:r w:rsidR="003602A8" w:rsidRPr="003602A8">
                        <w:rPr>
                          <w:i/>
                          <w:vertAlign w:val="subscript"/>
                        </w:rPr>
                        <w:t>2</w:t>
                      </w:r>
                      <w:r w:rsidR="003755F2">
                        <w:rPr>
                          <w:i/>
                          <w:vertAlign w:val="subscript"/>
                        </w:rPr>
                        <w:t xml:space="preserve"> </w:t>
                      </w:r>
                      <w:r w:rsidR="003755F2" w:rsidRPr="003755F2">
                        <w:rPr>
                          <w:i/>
                        </w:rPr>
                        <w:t>(wt%)</w:t>
                      </w:r>
                      <w:r w:rsidR="003602A8" w:rsidRPr="003755F2">
                        <w:rPr>
                          <w:i/>
                        </w:rPr>
                        <w:t>,</w:t>
                      </w:r>
                      <w:r w:rsidR="003602A8" w:rsidRPr="003602A8">
                        <w:rPr>
                          <w:i/>
                        </w:rPr>
                        <w:t xml:space="preserve"> and B)</w:t>
                      </w:r>
                      <w:r w:rsidR="00B60B84">
                        <w:rPr>
                          <w:i/>
                        </w:rPr>
                        <w:t xml:space="preserve"> H</w:t>
                      </w:r>
                      <w:r w:rsidR="00B60B84" w:rsidRPr="00B60B84">
                        <w:rPr>
                          <w:i/>
                          <w:vertAlign w:val="subscript"/>
                        </w:rPr>
                        <w:t>2</w:t>
                      </w:r>
                      <w:r w:rsidR="00B60B84">
                        <w:rPr>
                          <w:i/>
                        </w:rPr>
                        <w:t>O</w:t>
                      </w:r>
                      <w:r w:rsidR="003755F2">
                        <w:rPr>
                          <w:i/>
                        </w:rPr>
                        <w:t xml:space="preserve"> (wt%)</w:t>
                      </w:r>
                      <w:r w:rsidR="00B60B84">
                        <w:rPr>
                          <w:i/>
                        </w:rPr>
                        <w:t xml:space="preserve"> vs.</w:t>
                      </w:r>
                      <w:r w:rsidR="003602A8" w:rsidRPr="003602A8">
                        <w:rPr>
                          <w:i/>
                        </w:rPr>
                        <w:t xml:space="preserve"> K</w:t>
                      </w:r>
                      <w:r w:rsidR="003602A8" w:rsidRPr="003602A8">
                        <w:rPr>
                          <w:i/>
                          <w:vertAlign w:val="subscript"/>
                        </w:rPr>
                        <w:t>2</w:t>
                      </w:r>
                      <w:r w:rsidR="003602A8" w:rsidRPr="003602A8">
                        <w:rPr>
                          <w:i/>
                        </w:rPr>
                        <w:t>O</w:t>
                      </w:r>
                      <w:r w:rsidR="003755F2">
                        <w:rPr>
                          <w:i/>
                        </w:rPr>
                        <w:t xml:space="preserve"> (wt%)</w:t>
                      </w:r>
                      <w:r w:rsidR="00B60B84">
                        <w:rPr>
                          <w:i/>
                        </w:rPr>
                        <w:t xml:space="preserve"> diagrams</w:t>
                      </w:r>
                      <w:r w:rsidR="003602A8" w:rsidRPr="003602A8">
                        <w:rPr>
                          <w:i/>
                        </w:rPr>
                        <w:t>. The positive co-variations between H</w:t>
                      </w:r>
                      <w:r w:rsidR="003602A8" w:rsidRPr="003602A8">
                        <w:rPr>
                          <w:i/>
                          <w:vertAlign w:val="subscript"/>
                        </w:rPr>
                        <w:t>2</w:t>
                      </w:r>
                      <w:r w:rsidR="003602A8" w:rsidRPr="003602A8">
                        <w:rPr>
                          <w:i/>
                        </w:rPr>
                        <w:t>O, K</w:t>
                      </w:r>
                      <w:r w:rsidR="003602A8" w:rsidRPr="003602A8">
                        <w:rPr>
                          <w:i/>
                          <w:vertAlign w:val="subscript"/>
                        </w:rPr>
                        <w:t>2</w:t>
                      </w:r>
                      <w:r w:rsidR="003602A8" w:rsidRPr="003602A8">
                        <w:rPr>
                          <w:i/>
                        </w:rPr>
                        <w:t>O and SiO</w:t>
                      </w:r>
                      <w:r w:rsidR="003602A8" w:rsidRPr="003602A8">
                        <w:rPr>
                          <w:i/>
                          <w:vertAlign w:val="subscript"/>
                        </w:rPr>
                        <w:t>2</w:t>
                      </w:r>
                      <w:r w:rsidR="003602A8" w:rsidRPr="003602A8">
                        <w:rPr>
                          <w:i/>
                        </w:rPr>
                        <w:t xml:space="preserve"> demonstrate that fractionation trends remained preserved in the samples, indicating that alteration processes, diffusion between the crystal host and the inclusion </w:t>
                      </w:r>
                      <w:r w:rsidR="003602A8" w:rsidRPr="003602A8">
                        <w:rPr>
                          <w:i/>
                        </w:rPr>
                        <w:fldChar w:fldCharType="begin"/>
                      </w:r>
                      <w:r w:rsidR="003602A8" w:rsidRPr="003602A8">
                        <w:rPr>
                          <w:i/>
                        </w:rPr>
                        <w:instrText xml:space="preserve"> ADDIN EN.CITE &lt;EndNote&gt;&lt;Cite&gt;&lt;Author&gt;Gaetani&lt;/Author&gt;&lt;Year&gt;2000&lt;/Year&gt;&lt;RecNum&gt;1501&lt;/RecNum&gt;&lt;DisplayText&gt;(Gaetani and Watson, 2000)&lt;/DisplayText&gt;&lt;record&gt;&lt;rec-number&gt;1501&lt;/rec-number&gt;&lt;foreign-keys&gt;&lt;key app="EN" db-id="tfxzr2zrjddafqe0td4xze5qtw9zstt9z5f2" timestamp="1571886443"&gt;1501&lt;/key&gt;&lt;/foreign-keys&gt;&lt;ref-type name="Journal Article"&gt;17&lt;/ref-type&gt;&lt;contributors&gt;&lt;authors&gt;&lt;author&gt;Gaetani, G. A.&lt;/author&gt;&lt;author&gt;Watson, E. B.&lt;/author&gt;&lt;/authors&gt;&lt;/contributors&gt;&lt;titles&gt;&lt;title&gt;Open system behavior of olivine-hosted melt inclusions&lt;/title&gt;&lt;secondary-title&gt;Earth and Planetary Science Letters&lt;/secondary-title&gt;&lt;/titles&gt;&lt;periodical&gt;&lt;full-title&gt;Earth and Planetary Science Letters&lt;/full-title&gt;&lt;/periodical&gt;&lt;pages&gt;27-41&lt;/pages&gt;&lt;volume&gt;183&lt;/volume&gt;&lt;number&gt;1&lt;/number&gt;&lt;keywords&gt;&lt;keyword&gt;inclusions&lt;/keyword&gt;&lt;keyword&gt;olivine&lt;/keyword&gt;&lt;keyword&gt;diffusion&lt;/keyword&gt;&lt;keyword&gt;picrite&lt;/keyword&gt;&lt;keyword&gt;Reykjanes Peninsula&lt;/keyword&gt;&lt;/keywords&gt;&lt;dates&gt;&lt;year&gt;2000&lt;/year&gt;&lt;pub-dates&gt;&lt;date&gt;2000/11/30/&lt;/date&gt;&lt;/pub-dates&gt;&lt;/dates&gt;&lt;isbn&gt;0012-821X&lt;/isbn&gt;&lt;urls&gt;&lt;related-urls&gt;&lt;url&gt;http://www.sciencedirect.com/science/article/pii/S0012821X00002600&lt;/url&gt;&lt;/related-urls&gt;&lt;/urls&gt;&lt;electronic-resource-num&gt;https://doi.org/10.1016/S0012-821X(00)00260-0&lt;/electronic-resource-num&gt;&lt;/record&gt;&lt;/Cite&gt;&lt;/EndNote&gt;</w:instrText>
                      </w:r>
                      <w:r w:rsidR="003602A8" w:rsidRPr="003602A8">
                        <w:rPr>
                          <w:i/>
                        </w:rPr>
                        <w:fldChar w:fldCharType="separate"/>
                      </w:r>
                      <w:r w:rsidR="003602A8" w:rsidRPr="003602A8">
                        <w:rPr>
                          <w:i/>
                          <w:noProof/>
                        </w:rPr>
                        <w:t>(Gaetani and Watson, 2000)</w:t>
                      </w:r>
                      <w:r w:rsidR="003602A8" w:rsidRPr="003602A8">
                        <w:rPr>
                          <w:i/>
                        </w:rPr>
                        <w:fldChar w:fldCharType="end"/>
                      </w:r>
                      <w:r w:rsidR="003602A8" w:rsidRPr="003602A8">
                        <w:rPr>
                          <w:i/>
                        </w:rPr>
                        <w:t xml:space="preserve">, and volcanic degassing play a minor role in the water content of our filtered glasses. </w:t>
                      </w:r>
                    </w:p>
                  </w:txbxContent>
                </v:textbox>
                <w10:wrap type="square"/>
              </v:shape>
            </w:pict>
          </mc:Fallback>
        </mc:AlternateContent>
      </w:r>
      <w:r w:rsidR="007E0FAA">
        <w:rPr>
          <w:b/>
        </w:rPr>
        <w:t xml:space="preserve">Ensuring reliable </w:t>
      </w:r>
      <w:r w:rsidR="0032332C" w:rsidRPr="0032332C">
        <w:rPr>
          <w:b/>
        </w:rPr>
        <w:t>content</w:t>
      </w:r>
      <w:r w:rsidR="0096791A">
        <w:rPr>
          <w:b/>
        </w:rPr>
        <w:t>s</w:t>
      </w:r>
      <w:r w:rsidR="008F3860">
        <w:rPr>
          <w:b/>
        </w:rPr>
        <w:t xml:space="preserve"> in the glass shards and plagioclase-hosted melt inclusions</w:t>
      </w:r>
    </w:p>
    <w:p w14:paraId="6ACC283B" w14:textId="2E6B6612" w:rsidR="00296CFA" w:rsidRDefault="00296CFA" w:rsidP="00296CFA">
      <w:pPr>
        <w:jc w:val="both"/>
        <w:rPr>
          <w:rFonts w:ascii="Times" w:hAnsi="Times"/>
          <w:bCs/>
        </w:rPr>
      </w:pPr>
    </w:p>
    <w:p w14:paraId="0CA68E39" w14:textId="355B181D" w:rsidR="00A52DDA" w:rsidRDefault="00621ED8" w:rsidP="00296CFA">
      <w:pPr>
        <w:ind w:firstLine="720"/>
        <w:jc w:val="both"/>
        <w:rPr>
          <w:rFonts w:ascii="Times" w:hAnsi="Times"/>
          <w:bCs/>
        </w:rPr>
      </w:pPr>
      <w:r>
        <w:rPr>
          <w:rFonts w:ascii="Times" w:hAnsi="Times"/>
          <w:bCs/>
        </w:rPr>
        <w:t>Despite their freshness, b</w:t>
      </w:r>
      <w:r w:rsidR="00296CFA">
        <w:rPr>
          <w:rFonts w:ascii="Times" w:hAnsi="Times"/>
          <w:bCs/>
        </w:rPr>
        <w:t xml:space="preserve">asaltic glass shards and mineral-hosted melt inclusions </w:t>
      </w:r>
      <w:r w:rsidR="00141138">
        <w:rPr>
          <w:rFonts w:ascii="Times" w:hAnsi="Times"/>
          <w:bCs/>
        </w:rPr>
        <w:t>may still</w:t>
      </w:r>
      <w:r w:rsidR="00296CFA">
        <w:rPr>
          <w:rFonts w:ascii="Times" w:hAnsi="Times"/>
          <w:bCs/>
        </w:rPr>
        <w:t xml:space="preserve"> be prone to volcanic degassing or alteration processes upon magma ascent</w:t>
      </w:r>
      <w:r>
        <w:rPr>
          <w:rFonts w:ascii="Times" w:hAnsi="Times"/>
          <w:bCs/>
        </w:rPr>
        <w:t xml:space="preserve"> or after their emplacement</w:t>
      </w:r>
      <w:r w:rsidR="00296CFA">
        <w:rPr>
          <w:rFonts w:ascii="Times" w:hAnsi="Times"/>
          <w:bCs/>
        </w:rPr>
        <w:t>. Degassing and alteration can affect the water content of the magmas. Alteration processes can also modify the composition of the magmas in</w:t>
      </w:r>
      <w:r>
        <w:rPr>
          <w:rFonts w:ascii="Times" w:hAnsi="Times"/>
          <w:bCs/>
        </w:rPr>
        <w:t xml:space="preserve"> fluid-mobile elements, such as</w:t>
      </w:r>
      <w:r w:rsidR="00296CFA">
        <w:rPr>
          <w:rFonts w:ascii="Times" w:hAnsi="Times"/>
          <w:bCs/>
        </w:rPr>
        <w:t xml:space="preserve"> K</w:t>
      </w:r>
      <w:r w:rsidR="00296CFA" w:rsidRPr="00621ED8">
        <w:rPr>
          <w:rFonts w:ascii="Times" w:hAnsi="Times"/>
          <w:bCs/>
          <w:vertAlign w:val="subscript"/>
        </w:rPr>
        <w:t>2</w:t>
      </w:r>
      <w:r>
        <w:rPr>
          <w:rFonts w:ascii="Times" w:hAnsi="Times"/>
          <w:bCs/>
        </w:rPr>
        <w:t>O, Ba, Cs, Rb,</w:t>
      </w:r>
      <w:r w:rsidR="00DB4DD7">
        <w:rPr>
          <w:rFonts w:ascii="Times" w:hAnsi="Times"/>
          <w:bCs/>
        </w:rPr>
        <w:t xml:space="preserve"> Na</w:t>
      </w:r>
      <w:r w:rsidR="00DB4DD7" w:rsidRPr="00141138">
        <w:rPr>
          <w:rFonts w:ascii="Times" w:hAnsi="Times"/>
          <w:bCs/>
          <w:vertAlign w:val="subscript"/>
        </w:rPr>
        <w:t>2</w:t>
      </w:r>
      <w:r w:rsidR="00DB4DD7">
        <w:rPr>
          <w:rFonts w:ascii="Times" w:hAnsi="Times"/>
          <w:bCs/>
        </w:rPr>
        <w:t>O</w:t>
      </w:r>
      <w:r>
        <w:rPr>
          <w:rFonts w:ascii="Times" w:hAnsi="Times"/>
          <w:bCs/>
        </w:rPr>
        <w:t xml:space="preserve"> which can be easily mobilized by hydrothermal fluids or seawater brines</w:t>
      </w:r>
      <w:r w:rsidR="00296CFA">
        <w:rPr>
          <w:rFonts w:ascii="Times" w:hAnsi="Times"/>
          <w:bCs/>
        </w:rPr>
        <w:t xml:space="preserve"> </w:t>
      </w:r>
      <w:r w:rsidR="00296CFA">
        <w:rPr>
          <w:rFonts w:ascii="Times" w:hAnsi="Times"/>
          <w:bCs/>
        </w:rPr>
        <w:fldChar w:fldCharType="begin"/>
      </w:r>
      <w:r w:rsidR="00296CFA">
        <w:rPr>
          <w:rFonts w:ascii="Times" w:hAnsi="Times"/>
          <w:bCs/>
        </w:rPr>
        <w:instrText xml:space="preserve"> ADDIN EN.CITE &lt;EndNote&gt;&lt;Cite&gt;&lt;Author&gt;Kent&lt;/Author&gt;&lt;Year&gt;2002&lt;/Year&gt;&lt;RecNum&gt;785&lt;/RecNum&gt;&lt;DisplayText&gt;(Kent et al., 2002)&lt;/DisplayText&gt;&lt;record&gt;&lt;rec-number&gt;785&lt;/rec-number&gt;&lt;foreign-keys&gt;&lt;key app="EN" db-id="tfxzr2zrjddafqe0td4xze5qtw9zstt9z5f2" timestamp="1514972253"&gt;785&lt;/key&gt;&lt;/foreign-keys&gt;&lt;ref-type name="Journal Article"&gt;17&lt;/ref-type&gt;&lt;contributors&gt;&lt;authors&gt;&lt;author&gt;Kent, A. J. R.&lt;/author&gt;&lt;author&gt;Peate, D. W.&lt;/author&gt;&lt;author&gt;Newman, S.&lt;/author&gt;&lt;author&gt;Stolper, E. M.&lt;/author&gt;&lt;author&gt;Pearce, J. A.&lt;/author&gt;&lt;/authors&gt;&lt;/contributors&gt;&lt;titles&gt;&lt;title&gt;Chlorine in submarine glasses from the Lau Basin: seawater contamination and constraints on the composition of slab-derived fluids&lt;/title&gt;&lt;secondary-title&gt;Earth and Planetary Science Letters&lt;/secondary-title&gt;&lt;/titles&gt;&lt;periodical&gt;&lt;full-title&gt;Earth and Planetary Science Letters&lt;/full-title&gt;&lt;/periodical&gt;&lt;pages&gt;361-377&lt;/pages&gt;&lt;volume&gt;202&lt;/volume&gt;&lt;number&gt;2&lt;/number&gt;&lt;keywords&gt;&lt;keyword&gt;Lau Basin&lt;/keyword&gt;&lt;keyword&gt;chlorine&lt;/keyword&gt;&lt;keyword&gt;subduction&lt;/keyword&gt;&lt;keyword&gt;back-arc basins&lt;/keyword&gt;&lt;keyword&gt;magma contamination&lt;/keyword&gt;&lt;/keywords&gt;&lt;dates&gt;&lt;year&gt;2002&lt;/year&gt;&lt;/dates&gt;&lt;isbn&gt;0012-821X&lt;/isbn&gt;&lt;urls&gt;&lt;related-urls&gt;&lt;url&gt;http://www.sciencedirect.com/science/article/pii/S0012821X02007860&lt;/url&gt;&lt;/related-urls&gt;&lt;/urls&gt;&lt;electronic-resource-num&gt;http://dx.doi.org/10.1016/S0012-821X(02)00786-0&lt;/electronic-resource-num&gt;&lt;/record&gt;&lt;/Cite&gt;&lt;/EndNote&gt;</w:instrText>
      </w:r>
      <w:r w:rsidR="00296CFA">
        <w:rPr>
          <w:rFonts w:ascii="Times" w:hAnsi="Times"/>
          <w:bCs/>
        </w:rPr>
        <w:fldChar w:fldCharType="separate"/>
      </w:r>
      <w:r w:rsidR="00296CFA">
        <w:rPr>
          <w:rFonts w:ascii="Times" w:hAnsi="Times"/>
          <w:bCs/>
          <w:noProof/>
        </w:rPr>
        <w:t>(Kent et al., 2002)</w:t>
      </w:r>
      <w:r w:rsidR="00296CFA">
        <w:rPr>
          <w:rFonts w:ascii="Times" w:hAnsi="Times"/>
          <w:bCs/>
        </w:rPr>
        <w:fldChar w:fldCharType="end"/>
      </w:r>
      <w:r w:rsidR="00296CFA">
        <w:rPr>
          <w:rFonts w:ascii="Times" w:hAnsi="Times"/>
          <w:bCs/>
        </w:rPr>
        <w:t xml:space="preserve">. </w:t>
      </w:r>
      <w:r w:rsidR="0096791A">
        <w:rPr>
          <w:rFonts w:ascii="Times" w:hAnsi="Times"/>
          <w:bCs/>
        </w:rPr>
        <w:t>The</w:t>
      </w:r>
      <w:r w:rsidR="00296CFA">
        <w:rPr>
          <w:rFonts w:ascii="Times" w:hAnsi="Times"/>
          <w:bCs/>
        </w:rPr>
        <w:t xml:space="preserve"> fact that fractionation trends </w:t>
      </w:r>
      <w:r w:rsidR="0096791A">
        <w:rPr>
          <w:rFonts w:ascii="Times" w:hAnsi="Times"/>
          <w:bCs/>
        </w:rPr>
        <w:t>are preserved</w:t>
      </w:r>
      <w:r w:rsidR="001A4E5A">
        <w:rPr>
          <w:rFonts w:ascii="Times" w:hAnsi="Times"/>
          <w:bCs/>
        </w:rPr>
        <w:t xml:space="preserve"> between H</w:t>
      </w:r>
      <w:r w:rsidR="001A4E5A" w:rsidRPr="00A52DDA">
        <w:rPr>
          <w:rFonts w:ascii="Times" w:hAnsi="Times"/>
          <w:bCs/>
          <w:vertAlign w:val="subscript"/>
        </w:rPr>
        <w:t>2</w:t>
      </w:r>
      <w:r w:rsidR="001A4E5A">
        <w:rPr>
          <w:rFonts w:ascii="Times" w:hAnsi="Times"/>
          <w:bCs/>
        </w:rPr>
        <w:t>O, SiO</w:t>
      </w:r>
      <w:r w:rsidR="001A4E5A" w:rsidRPr="00A52DDA">
        <w:rPr>
          <w:rFonts w:ascii="Times" w:hAnsi="Times"/>
          <w:bCs/>
          <w:vertAlign w:val="subscript"/>
        </w:rPr>
        <w:t>2</w:t>
      </w:r>
      <w:r w:rsidR="00DB4DD7">
        <w:rPr>
          <w:rFonts w:ascii="Times" w:hAnsi="Times"/>
          <w:bCs/>
        </w:rPr>
        <w:t>,</w:t>
      </w:r>
      <w:r w:rsidR="001A4E5A">
        <w:rPr>
          <w:rFonts w:ascii="Times" w:hAnsi="Times"/>
          <w:bCs/>
        </w:rPr>
        <w:t xml:space="preserve"> K</w:t>
      </w:r>
      <w:r w:rsidR="001A4E5A" w:rsidRPr="00A52DDA">
        <w:rPr>
          <w:rFonts w:ascii="Times" w:hAnsi="Times"/>
          <w:bCs/>
          <w:vertAlign w:val="subscript"/>
        </w:rPr>
        <w:t>2</w:t>
      </w:r>
      <w:r w:rsidR="001A4E5A">
        <w:rPr>
          <w:rFonts w:ascii="Times" w:hAnsi="Times"/>
          <w:bCs/>
        </w:rPr>
        <w:t>O</w:t>
      </w:r>
      <w:r w:rsidR="0096791A">
        <w:rPr>
          <w:rFonts w:ascii="Times" w:hAnsi="Times"/>
          <w:bCs/>
        </w:rPr>
        <w:t xml:space="preserve"> </w:t>
      </w:r>
      <w:r w:rsidR="00DB4DD7">
        <w:rPr>
          <w:rFonts w:ascii="Times" w:hAnsi="Times"/>
          <w:bCs/>
        </w:rPr>
        <w:t>and Na</w:t>
      </w:r>
      <w:r w:rsidR="00DB4DD7" w:rsidRPr="00DB4DD7">
        <w:rPr>
          <w:rFonts w:ascii="Times" w:hAnsi="Times"/>
          <w:bCs/>
          <w:vertAlign w:val="subscript"/>
        </w:rPr>
        <w:t>2</w:t>
      </w:r>
      <w:r w:rsidR="00DB4DD7">
        <w:rPr>
          <w:rFonts w:ascii="Times" w:hAnsi="Times"/>
          <w:bCs/>
        </w:rPr>
        <w:t xml:space="preserve">O (Fig. S1-S2) </w:t>
      </w:r>
      <w:r w:rsidR="00753E66">
        <w:rPr>
          <w:rFonts w:ascii="Times" w:hAnsi="Times"/>
          <w:bCs/>
        </w:rPr>
        <w:t xml:space="preserve">in most samples </w:t>
      </w:r>
      <w:r w:rsidR="0096791A">
        <w:rPr>
          <w:rFonts w:ascii="Times" w:hAnsi="Times"/>
          <w:bCs/>
        </w:rPr>
        <w:t>demonstrates</w:t>
      </w:r>
      <w:r w:rsidR="00DB4DD7">
        <w:rPr>
          <w:rFonts w:ascii="Times" w:hAnsi="Times"/>
          <w:bCs/>
        </w:rPr>
        <w:t xml:space="preserve"> that they generally </w:t>
      </w:r>
      <w:r w:rsidR="00296CFA">
        <w:rPr>
          <w:rFonts w:ascii="Times" w:hAnsi="Times"/>
          <w:bCs/>
        </w:rPr>
        <w:t>retai</w:t>
      </w:r>
      <w:r w:rsidR="00D320EC">
        <w:rPr>
          <w:rFonts w:ascii="Times" w:hAnsi="Times"/>
          <w:bCs/>
        </w:rPr>
        <w:t>ned their origina</w:t>
      </w:r>
      <w:r w:rsidR="00FC51F2">
        <w:rPr>
          <w:rFonts w:ascii="Times" w:hAnsi="Times"/>
          <w:bCs/>
        </w:rPr>
        <w:t>l</w:t>
      </w:r>
      <w:r w:rsidR="00B60B84">
        <w:rPr>
          <w:rFonts w:ascii="Times" w:hAnsi="Times"/>
          <w:bCs/>
        </w:rPr>
        <w:t xml:space="preserve"> </w:t>
      </w:r>
      <w:r w:rsidR="00FC51F2">
        <w:rPr>
          <w:rFonts w:ascii="Times" w:hAnsi="Times"/>
          <w:bCs/>
        </w:rPr>
        <w:t xml:space="preserve">composition. </w:t>
      </w:r>
      <w:r w:rsidR="00B60B84">
        <w:rPr>
          <w:rFonts w:ascii="Times" w:hAnsi="Times"/>
          <w:bCs/>
        </w:rPr>
        <w:t xml:space="preserve"> </w:t>
      </w:r>
    </w:p>
    <w:p w14:paraId="3B5CD5B2" w14:textId="77777777" w:rsidR="00B60B84" w:rsidRDefault="00B60B84" w:rsidP="00296CFA">
      <w:pPr>
        <w:ind w:firstLine="720"/>
        <w:jc w:val="both"/>
        <w:rPr>
          <w:rFonts w:ascii="Times" w:hAnsi="Times"/>
          <w:bCs/>
        </w:rPr>
      </w:pPr>
    </w:p>
    <w:p w14:paraId="12091791" w14:textId="5CC77C14" w:rsidR="00A52DDA" w:rsidRDefault="00B60B84" w:rsidP="00DB4DD7">
      <w:pPr>
        <w:ind w:firstLine="720"/>
        <w:jc w:val="both"/>
        <w:rPr>
          <w:rFonts w:ascii="Times" w:hAnsi="Times"/>
          <w:bCs/>
        </w:rPr>
      </w:pPr>
      <w:r>
        <w:rPr>
          <w:rFonts w:ascii="Times" w:hAnsi="Times"/>
          <w:bCs/>
        </w:rPr>
        <w:t xml:space="preserve">To further ensure that the markers of slab fluids have retained their original composition, we also </w:t>
      </w:r>
      <w:r w:rsidR="00DB4DD7">
        <w:rPr>
          <w:rFonts w:ascii="Times" w:hAnsi="Times"/>
          <w:bCs/>
        </w:rPr>
        <w:t>plotted Rb/Th, Ba/Th, Th/Nb, Cs/Ba, Ba/Nb ratios along with their silica content. Most of these ratios are roughly constant with increasing SiO</w:t>
      </w:r>
      <w:r w:rsidR="00DB4DD7" w:rsidRPr="00DB4DD7">
        <w:rPr>
          <w:rFonts w:ascii="Times" w:hAnsi="Times"/>
          <w:bCs/>
          <w:vertAlign w:val="subscript"/>
        </w:rPr>
        <w:t>2</w:t>
      </w:r>
      <w:r w:rsidR="00DB4DD7">
        <w:rPr>
          <w:rFonts w:ascii="Times" w:hAnsi="Times"/>
          <w:bCs/>
        </w:rPr>
        <w:t>, suggesting that they are minimally affected by fractionation and alteration processes. However, a few basaltic glasses display higher ratios as compared to the general trend, especially in Rb/Th, Cs/Ba and Ba/Th. Because Rb, Cs and Ba are highly sensitive to alteration processes, these samples might be affected by alteration to some extent. Because here we are only concerned by the global trend in fluid–mobile elements, outliers will not be considered</w:t>
      </w:r>
      <w:r w:rsidR="00F36DDC">
        <w:rPr>
          <w:rFonts w:ascii="Times" w:hAnsi="Times"/>
          <w:bCs/>
        </w:rPr>
        <w:t xml:space="preserve"> in our interpretations</w:t>
      </w:r>
      <w:r w:rsidR="00DB4DD7">
        <w:rPr>
          <w:rFonts w:ascii="Times" w:hAnsi="Times"/>
          <w:bCs/>
        </w:rPr>
        <w:t xml:space="preserve">. </w:t>
      </w:r>
      <w:r w:rsidR="00DB4DD7">
        <w:rPr>
          <w:rFonts w:ascii="Times" w:hAnsi="Times"/>
          <w:bCs/>
        </w:rPr>
        <w:lastRenderedPageBreak/>
        <w:t xml:space="preserve">Despite the scattering observed in Th/Nb in the basaltic glasses, Th and Nb are much less sensitive to alteration processes. We can thus consider concentrations in fluid-mobile elements can be reliably used to infer subduction processes in our filtered database. </w:t>
      </w:r>
    </w:p>
    <w:p w14:paraId="4E0A9B25" w14:textId="0BD7515B" w:rsidR="00296CFA" w:rsidRDefault="00DB4DD7" w:rsidP="00296CFA">
      <w:pPr>
        <w:ind w:firstLine="720"/>
        <w:jc w:val="both"/>
        <w:rPr>
          <w:rFonts w:ascii="Times" w:hAnsi="Times"/>
          <w:bCs/>
        </w:rPr>
      </w:pPr>
      <w:r>
        <w:rPr>
          <w:noProof/>
        </w:rPr>
        <mc:AlternateContent>
          <mc:Choice Requires="wps">
            <w:drawing>
              <wp:anchor distT="0" distB="0" distL="114300" distR="114300" simplePos="0" relativeHeight="251660288" behindDoc="0" locked="0" layoutInCell="1" allowOverlap="1" wp14:anchorId="58278802" wp14:editId="1FAE02F6">
                <wp:simplePos x="0" y="0"/>
                <wp:positionH relativeFrom="column">
                  <wp:posOffset>39370</wp:posOffset>
                </wp:positionH>
                <wp:positionV relativeFrom="paragraph">
                  <wp:posOffset>207645</wp:posOffset>
                </wp:positionV>
                <wp:extent cx="5938520" cy="7839075"/>
                <wp:effectExtent l="0" t="0" r="0" b="9525"/>
                <wp:wrapSquare wrapText="bothSides"/>
                <wp:docPr id="5" name="Text Box 5"/>
                <wp:cNvGraphicFramePr/>
                <a:graphic xmlns:a="http://schemas.openxmlformats.org/drawingml/2006/main">
                  <a:graphicData uri="http://schemas.microsoft.com/office/word/2010/wordprocessingShape">
                    <wps:wsp>
                      <wps:cNvSpPr txBox="1"/>
                      <wps:spPr>
                        <a:xfrm>
                          <a:off x="0" y="0"/>
                          <a:ext cx="5938520" cy="7839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CFF66" w14:textId="1D5F25D1" w:rsidR="00B60B84" w:rsidRDefault="00EF5B54">
                            <w:r>
                              <w:rPr>
                                <w:noProof/>
                              </w:rPr>
                              <w:drawing>
                                <wp:inline distT="0" distB="0" distL="0" distR="0" wp14:anchorId="663A80BD" wp14:editId="06D7B158">
                                  <wp:extent cx="5755640" cy="61620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jpg"/>
                                          <pic:cNvPicPr/>
                                        </pic:nvPicPr>
                                        <pic:blipFill>
                                          <a:blip r:embed="rId9">
                                            <a:extLst>
                                              <a:ext uri="{28A0092B-C50C-407E-A947-70E740481C1C}">
                                                <a14:useLocalDpi xmlns:a14="http://schemas.microsoft.com/office/drawing/2010/main" val="0"/>
                                              </a:ext>
                                            </a:extLst>
                                          </a:blip>
                                          <a:stretch>
                                            <a:fillRect/>
                                          </a:stretch>
                                        </pic:blipFill>
                                        <pic:spPr>
                                          <a:xfrm>
                                            <a:off x="0" y="0"/>
                                            <a:ext cx="5755640" cy="6162040"/>
                                          </a:xfrm>
                                          <a:prstGeom prst="rect">
                                            <a:avLst/>
                                          </a:prstGeom>
                                        </pic:spPr>
                                      </pic:pic>
                                    </a:graphicData>
                                  </a:graphic>
                                </wp:inline>
                              </w:drawing>
                            </w:r>
                          </w:p>
                          <w:p w14:paraId="589EE3A4" w14:textId="77777777" w:rsidR="00B60B84" w:rsidRDefault="00B60B84"/>
                          <w:p w14:paraId="628FE085" w14:textId="2B446E24" w:rsidR="00B60B84" w:rsidRPr="00B60B84" w:rsidRDefault="00B60B84">
                            <w:pPr>
                              <w:rPr>
                                <w:i/>
                              </w:rPr>
                            </w:pPr>
                            <w:r w:rsidRPr="00B60B84">
                              <w:rPr>
                                <w:i/>
                              </w:rPr>
                              <w:t>Fig. S2: A) Rb/Th, B) Ba/Th, C) Th/Nb, D) Cs/Ba, E) Ba/Nb, F) Na</w:t>
                            </w:r>
                            <w:r w:rsidRPr="00B60B84">
                              <w:rPr>
                                <w:i/>
                                <w:vertAlign w:val="subscript"/>
                              </w:rPr>
                              <w:t>2</w:t>
                            </w:r>
                            <w:r w:rsidRPr="00B60B84">
                              <w:rPr>
                                <w:i/>
                              </w:rPr>
                              <w:t>O</w:t>
                            </w:r>
                            <w:r w:rsidR="003755F2">
                              <w:rPr>
                                <w:i/>
                              </w:rPr>
                              <w:t xml:space="preserve"> (wt%)</w:t>
                            </w:r>
                            <w:r w:rsidRPr="00B60B84">
                              <w:rPr>
                                <w:i/>
                              </w:rPr>
                              <w:t xml:space="preserve"> vs. SiO</w:t>
                            </w:r>
                            <w:r w:rsidRPr="00B60B84">
                              <w:rPr>
                                <w:i/>
                                <w:vertAlign w:val="subscript"/>
                              </w:rPr>
                              <w:t>2</w:t>
                            </w:r>
                            <w:r w:rsidRPr="00B60B84">
                              <w:rPr>
                                <w:i/>
                              </w:rPr>
                              <w:t xml:space="preserve"> </w:t>
                            </w:r>
                            <w:r w:rsidR="003755F2">
                              <w:rPr>
                                <w:i/>
                              </w:rPr>
                              <w:t xml:space="preserve">(wt%) </w:t>
                            </w:r>
                            <w:r w:rsidRPr="00B60B84">
                              <w:rPr>
                                <w:i/>
                              </w:rPr>
                              <w:t>diagrams. The roughly constant Ba/Th, Rb/Th, Th/Nb, Cs/Ba and Ba/Nb demonstrates that these ratios are generally little affected by alteration and fractionation processes. However, there are some outliers in the basaltic glasses, with much higher ratios, suggesting that glasses, despite their freshness, might be affected by alteration to some extent. The positive correlation between SiO</w:t>
                            </w:r>
                            <w:r w:rsidRPr="00B60B84">
                              <w:rPr>
                                <w:i/>
                                <w:vertAlign w:val="subscript"/>
                              </w:rPr>
                              <w:t>2</w:t>
                            </w:r>
                            <w:r w:rsidRPr="00B60B84">
                              <w:rPr>
                                <w:i/>
                              </w:rPr>
                              <w:t xml:space="preserve"> and Na</w:t>
                            </w:r>
                            <w:r w:rsidRPr="00B60B84">
                              <w:rPr>
                                <w:i/>
                                <w:vertAlign w:val="subscript"/>
                              </w:rPr>
                              <w:t>2</w:t>
                            </w:r>
                            <w:r w:rsidRPr="00B60B84">
                              <w:rPr>
                                <w:i/>
                              </w:rPr>
                              <w:t>O is consistent with fractionation, demonstrating that Na</w:t>
                            </w:r>
                            <w:r w:rsidRPr="003755F2">
                              <w:rPr>
                                <w:i/>
                                <w:vertAlign w:val="subscript"/>
                              </w:rPr>
                              <w:t>2</w:t>
                            </w:r>
                            <w:r w:rsidRPr="00B60B84">
                              <w:rPr>
                                <w:i/>
                              </w:rPr>
                              <w:t xml:space="preserve">O is little affected by alteration processes.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78802" id="Text Box 5" o:spid="_x0000_s1027" type="#_x0000_t202" style="position:absolute;left:0;text-align:left;margin-left:3.1pt;margin-top:16.35pt;width:467.6pt;height:6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" filled="f" stroked="f">
                <v:textbox>
                  <w:txbxContent>
                    <w:p w14:paraId="67BCFF66" w14:textId="1D5F25D1" w:rsidR="00B60B84" w:rsidRDefault="00EF5B54">
                      <w:r>
                        <w:rPr>
                          <w:noProof/>
                        </w:rPr>
                        <w:drawing>
                          <wp:inline distT="0" distB="0" distL="0" distR="0" wp14:anchorId="663A80BD" wp14:editId="06D7B158">
                            <wp:extent cx="5755640" cy="6162040"/>
                            <wp:effectExtent l="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jpg"/>
                                    <pic:cNvPicPr/>
                                  </pic:nvPicPr>
                                  <pic:blipFill>
                                    <a:blip r:embed="rId10">
                                      <a:extLst>
                                        <a:ext uri="{28A0092B-C50C-407E-A947-70E740481C1C}">
                                          <a14:useLocalDpi xmlns:a14="http://schemas.microsoft.com/office/drawing/2010/main" val="0"/>
                                        </a:ext>
                                      </a:extLst>
                                    </a:blip>
                                    <a:stretch>
                                      <a:fillRect/>
                                    </a:stretch>
                                  </pic:blipFill>
                                  <pic:spPr>
                                    <a:xfrm>
                                      <a:off x="0" y="0"/>
                                      <a:ext cx="5755640" cy="6162040"/>
                                    </a:xfrm>
                                    <a:prstGeom prst="rect">
                                      <a:avLst/>
                                    </a:prstGeom>
                                  </pic:spPr>
                                </pic:pic>
                              </a:graphicData>
                            </a:graphic>
                          </wp:inline>
                        </w:drawing>
                      </w:r>
                    </w:p>
                    <w:p w14:paraId="589EE3A4" w14:textId="77777777" w:rsidR="00B60B84" w:rsidRDefault="00B60B84"/>
                    <w:p w14:paraId="628FE085" w14:textId="2B446E24" w:rsidR="00B60B84" w:rsidRPr="00B60B84" w:rsidRDefault="00B60B84">
                      <w:pPr>
                        <w:rPr>
                          <w:i/>
                        </w:rPr>
                      </w:pPr>
                      <w:r w:rsidRPr="00B60B84">
                        <w:rPr>
                          <w:i/>
                        </w:rPr>
                        <w:t xml:space="preserve">Fig. S2: A) </w:t>
                      </w:r>
                      <w:proofErr w:type="spellStart"/>
                      <w:r w:rsidRPr="00B60B84">
                        <w:rPr>
                          <w:i/>
                        </w:rPr>
                        <w:t>Rb</w:t>
                      </w:r>
                      <w:proofErr w:type="spellEnd"/>
                      <w:r w:rsidRPr="00B60B84">
                        <w:rPr>
                          <w:i/>
                        </w:rPr>
                        <w:t>/</w:t>
                      </w:r>
                      <w:proofErr w:type="spellStart"/>
                      <w:r w:rsidRPr="00B60B84">
                        <w:rPr>
                          <w:i/>
                        </w:rPr>
                        <w:t>Th</w:t>
                      </w:r>
                      <w:proofErr w:type="spellEnd"/>
                      <w:r w:rsidRPr="00B60B84">
                        <w:rPr>
                          <w:i/>
                        </w:rPr>
                        <w:t>, B) Ba/</w:t>
                      </w:r>
                      <w:proofErr w:type="spellStart"/>
                      <w:r w:rsidRPr="00B60B84">
                        <w:rPr>
                          <w:i/>
                        </w:rPr>
                        <w:t>Th</w:t>
                      </w:r>
                      <w:proofErr w:type="spellEnd"/>
                      <w:r w:rsidRPr="00B60B84">
                        <w:rPr>
                          <w:i/>
                        </w:rPr>
                        <w:t xml:space="preserve">, C) </w:t>
                      </w:r>
                      <w:proofErr w:type="spellStart"/>
                      <w:r w:rsidRPr="00B60B84">
                        <w:rPr>
                          <w:i/>
                        </w:rPr>
                        <w:t>Th</w:t>
                      </w:r>
                      <w:proofErr w:type="spellEnd"/>
                      <w:r w:rsidRPr="00B60B84">
                        <w:rPr>
                          <w:i/>
                        </w:rPr>
                        <w:t>/</w:t>
                      </w:r>
                      <w:proofErr w:type="spellStart"/>
                      <w:r w:rsidRPr="00B60B84">
                        <w:rPr>
                          <w:i/>
                        </w:rPr>
                        <w:t>Nb</w:t>
                      </w:r>
                      <w:proofErr w:type="spellEnd"/>
                      <w:r w:rsidRPr="00B60B84">
                        <w:rPr>
                          <w:i/>
                        </w:rPr>
                        <w:t>, D) Cs/Ba, E) Ba/</w:t>
                      </w:r>
                      <w:proofErr w:type="spellStart"/>
                      <w:r w:rsidRPr="00B60B84">
                        <w:rPr>
                          <w:i/>
                        </w:rPr>
                        <w:t>Nb</w:t>
                      </w:r>
                      <w:proofErr w:type="spellEnd"/>
                      <w:r w:rsidRPr="00B60B84">
                        <w:rPr>
                          <w:i/>
                        </w:rPr>
                        <w:t>, F) Na</w:t>
                      </w:r>
                      <w:r w:rsidRPr="00B60B84">
                        <w:rPr>
                          <w:i/>
                          <w:vertAlign w:val="subscript"/>
                        </w:rPr>
                        <w:t>2</w:t>
                      </w:r>
                      <w:r w:rsidRPr="00B60B84">
                        <w:rPr>
                          <w:i/>
                        </w:rPr>
                        <w:t>O</w:t>
                      </w:r>
                      <w:r w:rsidR="003755F2">
                        <w:rPr>
                          <w:i/>
                        </w:rPr>
                        <w:t xml:space="preserve"> (wt%)</w:t>
                      </w:r>
                      <w:r w:rsidRPr="00B60B84">
                        <w:rPr>
                          <w:i/>
                        </w:rPr>
                        <w:t xml:space="preserve"> vs. SiO</w:t>
                      </w:r>
                      <w:r w:rsidRPr="00B60B84">
                        <w:rPr>
                          <w:i/>
                          <w:vertAlign w:val="subscript"/>
                        </w:rPr>
                        <w:t>2</w:t>
                      </w:r>
                      <w:r w:rsidRPr="00B60B84">
                        <w:rPr>
                          <w:i/>
                        </w:rPr>
                        <w:t xml:space="preserve"> </w:t>
                      </w:r>
                      <w:r w:rsidR="003755F2">
                        <w:rPr>
                          <w:i/>
                        </w:rPr>
                        <w:t xml:space="preserve">(wt%) </w:t>
                      </w:r>
                      <w:r w:rsidRPr="00B60B84">
                        <w:rPr>
                          <w:i/>
                        </w:rPr>
                        <w:t>diagrams. The roughly constant Ba/</w:t>
                      </w:r>
                      <w:proofErr w:type="spellStart"/>
                      <w:r w:rsidRPr="00B60B84">
                        <w:rPr>
                          <w:i/>
                        </w:rPr>
                        <w:t>Th</w:t>
                      </w:r>
                      <w:proofErr w:type="spellEnd"/>
                      <w:r w:rsidRPr="00B60B84">
                        <w:rPr>
                          <w:i/>
                        </w:rPr>
                        <w:t xml:space="preserve">, </w:t>
                      </w:r>
                      <w:proofErr w:type="spellStart"/>
                      <w:r w:rsidRPr="00B60B84">
                        <w:rPr>
                          <w:i/>
                        </w:rPr>
                        <w:t>Rb</w:t>
                      </w:r>
                      <w:proofErr w:type="spellEnd"/>
                      <w:r w:rsidRPr="00B60B84">
                        <w:rPr>
                          <w:i/>
                        </w:rPr>
                        <w:t>/</w:t>
                      </w:r>
                      <w:proofErr w:type="spellStart"/>
                      <w:r w:rsidRPr="00B60B84">
                        <w:rPr>
                          <w:i/>
                        </w:rPr>
                        <w:t>Th</w:t>
                      </w:r>
                      <w:proofErr w:type="spellEnd"/>
                      <w:r w:rsidRPr="00B60B84">
                        <w:rPr>
                          <w:i/>
                        </w:rPr>
                        <w:t xml:space="preserve">, </w:t>
                      </w:r>
                      <w:proofErr w:type="spellStart"/>
                      <w:r w:rsidRPr="00B60B84">
                        <w:rPr>
                          <w:i/>
                        </w:rPr>
                        <w:t>Th</w:t>
                      </w:r>
                      <w:proofErr w:type="spellEnd"/>
                      <w:r w:rsidRPr="00B60B84">
                        <w:rPr>
                          <w:i/>
                        </w:rPr>
                        <w:t>/</w:t>
                      </w:r>
                      <w:proofErr w:type="spellStart"/>
                      <w:r w:rsidRPr="00B60B84">
                        <w:rPr>
                          <w:i/>
                        </w:rPr>
                        <w:t>Nb</w:t>
                      </w:r>
                      <w:proofErr w:type="spellEnd"/>
                      <w:r w:rsidRPr="00B60B84">
                        <w:rPr>
                          <w:i/>
                        </w:rPr>
                        <w:t>, Cs/Ba and Ba/</w:t>
                      </w:r>
                      <w:proofErr w:type="spellStart"/>
                      <w:r w:rsidRPr="00B60B84">
                        <w:rPr>
                          <w:i/>
                        </w:rPr>
                        <w:t>Nb</w:t>
                      </w:r>
                      <w:proofErr w:type="spellEnd"/>
                      <w:r w:rsidRPr="00B60B84">
                        <w:rPr>
                          <w:i/>
                        </w:rPr>
                        <w:t xml:space="preserve"> demonstrates that these ratios are generally little affected by alteration and fractionation processes. However, there are some outliers in the basaltic glasses, with much higher ratios, suggesting that glasses, despite their freshness, might be affected by alteration to some extent. The positive correlation between SiO</w:t>
                      </w:r>
                      <w:r w:rsidRPr="00B60B84">
                        <w:rPr>
                          <w:i/>
                          <w:vertAlign w:val="subscript"/>
                        </w:rPr>
                        <w:t>2</w:t>
                      </w:r>
                      <w:r w:rsidRPr="00B60B84">
                        <w:rPr>
                          <w:i/>
                        </w:rPr>
                        <w:t xml:space="preserve"> and Na</w:t>
                      </w:r>
                      <w:r w:rsidRPr="00B60B84">
                        <w:rPr>
                          <w:i/>
                          <w:vertAlign w:val="subscript"/>
                        </w:rPr>
                        <w:t>2</w:t>
                      </w:r>
                      <w:r w:rsidRPr="00B60B84">
                        <w:rPr>
                          <w:i/>
                        </w:rPr>
                        <w:t>O is consistent with fractionation, demonstrating that Na</w:t>
                      </w:r>
                      <w:r w:rsidRPr="003755F2">
                        <w:rPr>
                          <w:i/>
                          <w:vertAlign w:val="subscript"/>
                        </w:rPr>
                        <w:t>2</w:t>
                      </w:r>
                      <w:r w:rsidRPr="00B60B84">
                        <w:rPr>
                          <w:i/>
                        </w:rPr>
                        <w:t xml:space="preserve">O is little affected by alteration processes. </w:t>
                      </w:r>
                    </w:p>
                  </w:txbxContent>
                </v:textbox>
                <w10:wrap type="square"/>
              </v:shape>
            </w:pict>
          </mc:Fallback>
        </mc:AlternateContent>
      </w:r>
    </w:p>
    <w:p w14:paraId="5276A27D" w14:textId="77777777" w:rsidR="00BD61A7" w:rsidRDefault="00BD61A7" w:rsidP="0032332C">
      <w:pPr>
        <w:rPr>
          <w:rFonts w:ascii="Times" w:hAnsi="Times"/>
        </w:rPr>
      </w:pPr>
    </w:p>
    <w:p w14:paraId="1CA3F01B" w14:textId="28BDB9B5" w:rsidR="002B39F1" w:rsidRDefault="002B39F1" w:rsidP="0032332C">
      <w:pPr>
        <w:rPr>
          <w:rFonts w:ascii="Times" w:hAnsi="Times"/>
          <w:b/>
        </w:rPr>
      </w:pPr>
      <w:r>
        <w:rPr>
          <w:rFonts w:ascii="Times" w:hAnsi="Times"/>
          <w:b/>
        </w:rPr>
        <w:t xml:space="preserve">REE patterns of the samples </w:t>
      </w:r>
    </w:p>
    <w:p w14:paraId="49EFFBDF" w14:textId="77777777" w:rsidR="009E562F" w:rsidRDefault="009E562F" w:rsidP="0032332C">
      <w:pPr>
        <w:rPr>
          <w:rFonts w:ascii="Times" w:hAnsi="Times"/>
          <w:b/>
        </w:rPr>
      </w:pPr>
    </w:p>
    <w:p w14:paraId="169E7760" w14:textId="77777777" w:rsidR="009E562F" w:rsidRDefault="009E562F" w:rsidP="0032332C">
      <w:pPr>
        <w:rPr>
          <w:rFonts w:ascii="Times" w:hAnsi="Times"/>
          <w:b/>
        </w:rPr>
      </w:pPr>
    </w:p>
    <w:p w14:paraId="067529B0" w14:textId="0027A22A" w:rsidR="001A1921" w:rsidRDefault="009E562F" w:rsidP="009E562F">
      <w:pPr>
        <w:jc w:val="center"/>
        <w:rPr>
          <w:rFonts w:ascii="Times" w:hAnsi="Times"/>
          <w:b/>
        </w:rPr>
      </w:pPr>
      <w:r>
        <w:rPr>
          <w:noProof/>
        </w:rPr>
        <w:drawing>
          <wp:inline distT="0" distB="0" distL="0" distR="0" wp14:anchorId="0B84E852" wp14:editId="04D15B13">
            <wp:extent cx="3154045" cy="4251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Zu RE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4045" cy="4251960"/>
                    </a:xfrm>
                    <a:prstGeom prst="rect">
                      <a:avLst/>
                    </a:prstGeom>
                  </pic:spPr>
                </pic:pic>
              </a:graphicData>
            </a:graphic>
          </wp:inline>
        </w:drawing>
      </w:r>
    </w:p>
    <w:p w14:paraId="3D9C035E" w14:textId="1A327ECB" w:rsidR="002B39F1" w:rsidRDefault="002B39F1" w:rsidP="0032332C">
      <w:pPr>
        <w:rPr>
          <w:rFonts w:ascii="Times" w:hAnsi="Times"/>
          <w:b/>
        </w:rPr>
      </w:pPr>
    </w:p>
    <w:p w14:paraId="1E36E06E" w14:textId="62574B48" w:rsidR="009E562F" w:rsidRPr="009E562F" w:rsidRDefault="009E562F" w:rsidP="009E562F">
      <w:pPr>
        <w:rPr>
          <w:i/>
        </w:rPr>
      </w:pPr>
      <w:r w:rsidRPr="009E562F">
        <w:rPr>
          <w:i/>
        </w:rPr>
        <w:t xml:space="preserve">Fig. S3: Rare Earth element patterns of the mature Izu arc basalts (A) and the infant arc basalts (whole rock, WR). The orange compositional field depicts the bulk rock samples of De Bari et al. (2020). </w:t>
      </w:r>
    </w:p>
    <w:p w14:paraId="3A4C95A8" w14:textId="77777777" w:rsidR="009E562F" w:rsidRDefault="009E562F" w:rsidP="001A1921">
      <w:pPr>
        <w:jc w:val="both"/>
        <w:rPr>
          <w:rFonts w:ascii="Times" w:hAnsi="Times"/>
        </w:rPr>
      </w:pPr>
    </w:p>
    <w:p w14:paraId="3BACC64B" w14:textId="3515A1D6" w:rsidR="002B39F1" w:rsidRPr="001A1921" w:rsidRDefault="001A1921" w:rsidP="009E562F">
      <w:pPr>
        <w:ind w:firstLine="720"/>
        <w:jc w:val="both"/>
        <w:rPr>
          <w:rFonts w:ascii="Times" w:hAnsi="Times"/>
        </w:rPr>
      </w:pPr>
      <w:r>
        <w:rPr>
          <w:rFonts w:ascii="Times" w:hAnsi="Times"/>
        </w:rPr>
        <w:t>In the main tex</w:t>
      </w:r>
      <w:r w:rsidRPr="001A1921">
        <w:rPr>
          <w:rFonts w:ascii="Times" w:hAnsi="Times"/>
        </w:rPr>
        <w:t xml:space="preserve">t, we show a </w:t>
      </w:r>
      <w:r>
        <w:rPr>
          <w:rFonts w:ascii="Times" w:hAnsi="Times"/>
        </w:rPr>
        <w:t>representative</w:t>
      </w:r>
      <w:r w:rsidRPr="001A1921">
        <w:rPr>
          <w:rFonts w:ascii="Times" w:hAnsi="Times"/>
        </w:rPr>
        <w:t xml:space="preserve"> rare Earth element (REE) patterns of the bulk samples </w:t>
      </w:r>
      <w:r>
        <w:rPr>
          <w:rFonts w:ascii="Times" w:hAnsi="Times"/>
        </w:rPr>
        <w:t xml:space="preserve">from the Izu infant arc </w:t>
      </w:r>
      <w:r w:rsidRPr="001A1921">
        <w:rPr>
          <w:rFonts w:ascii="Times" w:hAnsi="Times"/>
        </w:rPr>
        <w:t xml:space="preserve">and </w:t>
      </w:r>
      <w:r>
        <w:rPr>
          <w:rFonts w:ascii="Times" w:hAnsi="Times"/>
        </w:rPr>
        <w:t xml:space="preserve">of the </w:t>
      </w:r>
      <w:r w:rsidRPr="001A1921">
        <w:rPr>
          <w:rFonts w:ascii="Times" w:hAnsi="Times"/>
        </w:rPr>
        <w:t xml:space="preserve">volcanoclastic glasses </w:t>
      </w:r>
      <w:r>
        <w:rPr>
          <w:rFonts w:ascii="Times" w:hAnsi="Times"/>
        </w:rPr>
        <w:t xml:space="preserve">from the Izu mature arc </w:t>
      </w:r>
      <w:r w:rsidRPr="001A1921">
        <w:rPr>
          <w:rFonts w:ascii="Times" w:hAnsi="Times"/>
        </w:rPr>
        <w:t xml:space="preserve">examined in this </w:t>
      </w:r>
      <w:r>
        <w:rPr>
          <w:rFonts w:ascii="Times" w:hAnsi="Times"/>
        </w:rPr>
        <w:t xml:space="preserve">study for simplification. Here, we show the complete set of REE patterns that are described in the main text. </w:t>
      </w:r>
    </w:p>
    <w:p w14:paraId="3D3829EE" w14:textId="77777777" w:rsidR="001A1921" w:rsidRDefault="001A1921" w:rsidP="0032332C">
      <w:pPr>
        <w:rPr>
          <w:rFonts w:ascii="Times" w:hAnsi="Times"/>
          <w:b/>
        </w:rPr>
      </w:pPr>
    </w:p>
    <w:p w14:paraId="2C447BD7" w14:textId="77777777" w:rsidR="00BD61A7" w:rsidRDefault="00BD61A7" w:rsidP="0032332C">
      <w:pPr>
        <w:rPr>
          <w:rFonts w:ascii="Times" w:hAnsi="Times"/>
          <w:b/>
        </w:rPr>
      </w:pPr>
      <w:r w:rsidRPr="00BD61A7">
        <w:rPr>
          <w:rFonts w:ascii="Times" w:hAnsi="Times"/>
          <w:b/>
        </w:rPr>
        <w:t>References</w:t>
      </w:r>
    </w:p>
    <w:p w14:paraId="5A4FA632" w14:textId="7C8290E6" w:rsidR="00BD61A7" w:rsidRDefault="00BD61A7"/>
    <w:p w14:paraId="20C0C5A1" w14:textId="77777777" w:rsidR="003602A8" w:rsidRPr="003602A8" w:rsidRDefault="00BD61A7" w:rsidP="003602A8">
      <w:pPr>
        <w:pStyle w:val="EndNoteBibliography"/>
        <w:rPr>
          <w:noProof/>
        </w:rPr>
      </w:pPr>
      <w:r>
        <w:fldChar w:fldCharType="begin"/>
      </w:r>
      <w:r>
        <w:instrText xml:space="preserve"> ADDIN EN.REFLIST </w:instrText>
      </w:r>
      <w:r>
        <w:fldChar w:fldCharType="separate"/>
      </w:r>
      <w:r w:rsidR="003602A8" w:rsidRPr="003602A8">
        <w:rPr>
          <w:noProof/>
        </w:rPr>
        <w:t>Gaetani, G.A., Watson, E.B., 2000. Open system behavior of olivine-hosted melt inclusions. Earth and Planetary Science Letters 183, 27-41.</w:t>
      </w:r>
    </w:p>
    <w:p w14:paraId="36046B7B" w14:textId="0E2303D6" w:rsidR="003602A8" w:rsidRPr="003602A8" w:rsidRDefault="003602A8" w:rsidP="003602A8">
      <w:pPr>
        <w:pStyle w:val="EndNoteBibliography"/>
        <w:rPr>
          <w:noProof/>
        </w:rPr>
      </w:pPr>
      <w:r w:rsidRPr="003602A8">
        <w:rPr>
          <w:noProof/>
        </w:rPr>
        <w:t>Kent, A.J.R., Peate, D.W., Newman, S., Stolper, E.M., Pearce, J.A., 2002. Chlorine in submarine glasses from the Lau Basin: seawater contamination and constraints on the composition of slab-derived fluids. Earth and Planetary Science Letters 202, 361-377.</w:t>
      </w:r>
    </w:p>
    <w:p w14:paraId="064209EB" w14:textId="36EE67D6" w:rsidR="0032332C" w:rsidRDefault="00BD61A7">
      <w:r>
        <w:fldChar w:fldCharType="end"/>
      </w:r>
    </w:p>
    <w:sectPr w:rsidR="0032332C" w:rsidSect="00390496">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93269" w14:textId="77777777" w:rsidR="00CB014A" w:rsidRDefault="00CB014A" w:rsidP="00A30FFA">
      <w:r>
        <w:separator/>
      </w:r>
    </w:p>
  </w:endnote>
  <w:endnote w:type="continuationSeparator" w:id="0">
    <w:p w14:paraId="0E2E2AEB" w14:textId="77777777" w:rsidR="00CB014A" w:rsidRDefault="00CB014A" w:rsidP="00A30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panose1 w:val="02010600030101010101"/>
    <w:charset w:val="86"/>
    <w:family w:val="script"/>
    <w:pitch w:val="variable"/>
    <w:sig w:usb0="A00002BF" w:usb1="38CF7CFA" w:usb2="00000016" w:usb3="00000000" w:csb0="0004000F" w:csb1="00000000"/>
  </w:font>
  <w:font w:name="Times">
    <w:panose1 w:val="0000050000000002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AEFC4" w14:textId="77777777" w:rsidR="00A30FFA" w:rsidRDefault="00A30FFA" w:rsidP="00DE072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C062CC" w14:textId="77777777" w:rsidR="00A30FFA" w:rsidRDefault="00A30FF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3512" w14:textId="77777777" w:rsidR="00A30FFA" w:rsidRDefault="00A30FFA" w:rsidP="00DE072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B014A">
      <w:rPr>
        <w:rStyle w:val="PageNumber"/>
        <w:noProof/>
      </w:rPr>
      <w:t>1</w:t>
    </w:r>
    <w:r>
      <w:rPr>
        <w:rStyle w:val="PageNumber"/>
      </w:rPr>
      <w:fldChar w:fldCharType="end"/>
    </w:r>
  </w:p>
  <w:p w14:paraId="5FD3302E" w14:textId="77777777" w:rsidR="00A30FFA" w:rsidRDefault="00A30F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D967C" w14:textId="77777777" w:rsidR="00CB014A" w:rsidRDefault="00CB014A" w:rsidP="00A30FFA">
      <w:r>
        <w:separator/>
      </w:r>
    </w:p>
  </w:footnote>
  <w:footnote w:type="continuationSeparator" w:id="0">
    <w:p w14:paraId="5AFC934A" w14:textId="77777777" w:rsidR="00CB014A" w:rsidRDefault="00CB014A" w:rsidP="00A30F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09297B"/>
    <w:multiLevelType w:val="hybridMultilevel"/>
    <w:tmpl w:val="286E7F24"/>
    <w:lvl w:ilvl="0" w:tplc="01FC66E8">
      <w:start w:val="169"/>
      <w:numFmt w:val="decimal"/>
      <w:lvlText w:val="%1"/>
      <w:lvlJc w:val="left"/>
      <w:pPr>
        <w:ind w:left="820" w:hanging="720"/>
        <w:jc w:val="left"/>
      </w:pPr>
      <w:rPr>
        <w:rFonts w:ascii="Times New Roman" w:eastAsia="Times New Roman" w:hAnsi="Times New Roman" w:hint="default"/>
        <w:w w:val="99"/>
        <w:sz w:val="24"/>
        <w:szCs w:val="24"/>
      </w:rPr>
    </w:lvl>
    <w:lvl w:ilvl="1" w:tplc="4858B4A2">
      <w:start w:val="1"/>
      <w:numFmt w:val="bullet"/>
      <w:lvlText w:val="•"/>
      <w:lvlJc w:val="left"/>
      <w:pPr>
        <w:ind w:left="1696" w:hanging="720"/>
      </w:pPr>
      <w:rPr>
        <w:rFonts w:hint="default"/>
      </w:rPr>
    </w:lvl>
    <w:lvl w:ilvl="2" w:tplc="45F425A4">
      <w:start w:val="1"/>
      <w:numFmt w:val="bullet"/>
      <w:lvlText w:val="•"/>
      <w:lvlJc w:val="left"/>
      <w:pPr>
        <w:ind w:left="2572" w:hanging="720"/>
      </w:pPr>
      <w:rPr>
        <w:rFonts w:hint="default"/>
      </w:rPr>
    </w:lvl>
    <w:lvl w:ilvl="3" w:tplc="4E4AFB00">
      <w:start w:val="1"/>
      <w:numFmt w:val="bullet"/>
      <w:lvlText w:val="•"/>
      <w:lvlJc w:val="left"/>
      <w:pPr>
        <w:ind w:left="3448" w:hanging="720"/>
      </w:pPr>
      <w:rPr>
        <w:rFonts w:hint="default"/>
      </w:rPr>
    </w:lvl>
    <w:lvl w:ilvl="4" w:tplc="CF50EF1E">
      <w:start w:val="1"/>
      <w:numFmt w:val="bullet"/>
      <w:lvlText w:val="•"/>
      <w:lvlJc w:val="left"/>
      <w:pPr>
        <w:ind w:left="4324" w:hanging="720"/>
      </w:pPr>
      <w:rPr>
        <w:rFonts w:hint="default"/>
      </w:rPr>
    </w:lvl>
    <w:lvl w:ilvl="5" w:tplc="F18C4752">
      <w:start w:val="1"/>
      <w:numFmt w:val="bullet"/>
      <w:lvlText w:val="•"/>
      <w:lvlJc w:val="left"/>
      <w:pPr>
        <w:ind w:left="5200" w:hanging="720"/>
      </w:pPr>
      <w:rPr>
        <w:rFonts w:hint="default"/>
      </w:rPr>
    </w:lvl>
    <w:lvl w:ilvl="6" w:tplc="A70867AE">
      <w:start w:val="1"/>
      <w:numFmt w:val="bullet"/>
      <w:lvlText w:val="•"/>
      <w:lvlJc w:val="left"/>
      <w:pPr>
        <w:ind w:left="6076" w:hanging="720"/>
      </w:pPr>
      <w:rPr>
        <w:rFonts w:hint="default"/>
      </w:rPr>
    </w:lvl>
    <w:lvl w:ilvl="7" w:tplc="F4E24812">
      <w:start w:val="1"/>
      <w:numFmt w:val="bullet"/>
      <w:lvlText w:val="•"/>
      <w:lvlJc w:val="left"/>
      <w:pPr>
        <w:ind w:left="6952" w:hanging="720"/>
      </w:pPr>
      <w:rPr>
        <w:rFonts w:hint="default"/>
      </w:rPr>
    </w:lvl>
    <w:lvl w:ilvl="8" w:tplc="7276A216">
      <w:start w:val="1"/>
      <w:numFmt w:val="bullet"/>
      <w:lvlText w:val="•"/>
      <w:lvlJc w:val="left"/>
      <w:pPr>
        <w:ind w:left="7828"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revisionView w:markup="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arth Planet Sci Lett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xzr2zrjddafqe0td4xze5qtw9zstt9z5f2&quot;&gt;My EndNote Library&lt;record-ids&gt;&lt;item&gt;785&lt;/item&gt;&lt;item&gt;1501&lt;/item&gt;&lt;/record-ids&gt;&lt;/item&gt;&lt;/Libraries&gt;"/>
  </w:docVars>
  <w:rsids>
    <w:rsidRoot w:val="0032332C"/>
    <w:rsid w:val="00011B13"/>
    <w:rsid w:val="00011E22"/>
    <w:rsid w:val="00080256"/>
    <w:rsid w:val="00093327"/>
    <w:rsid w:val="000B3189"/>
    <w:rsid w:val="000C05DD"/>
    <w:rsid w:val="00127D4B"/>
    <w:rsid w:val="00141138"/>
    <w:rsid w:val="001421CE"/>
    <w:rsid w:val="00156B25"/>
    <w:rsid w:val="001A1921"/>
    <w:rsid w:val="001A4E5A"/>
    <w:rsid w:val="001B2678"/>
    <w:rsid w:val="001B2828"/>
    <w:rsid w:val="001E01DB"/>
    <w:rsid w:val="00243131"/>
    <w:rsid w:val="00260B40"/>
    <w:rsid w:val="00296CFA"/>
    <w:rsid w:val="002B39F1"/>
    <w:rsid w:val="002E3DBA"/>
    <w:rsid w:val="002F72D5"/>
    <w:rsid w:val="00306779"/>
    <w:rsid w:val="0032332C"/>
    <w:rsid w:val="003602A8"/>
    <w:rsid w:val="00370C2B"/>
    <w:rsid w:val="003755F2"/>
    <w:rsid w:val="00390496"/>
    <w:rsid w:val="00401E3A"/>
    <w:rsid w:val="00423EEB"/>
    <w:rsid w:val="00464CA5"/>
    <w:rsid w:val="00496314"/>
    <w:rsid w:val="004A1D2C"/>
    <w:rsid w:val="004C226E"/>
    <w:rsid w:val="004C2477"/>
    <w:rsid w:val="004D05DB"/>
    <w:rsid w:val="004E7DE6"/>
    <w:rsid w:val="004F7CE5"/>
    <w:rsid w:val="00511A83"/>
    <w:rsid w:val="00513992"/>
    <w:rsid w:val="0055050D"/>
    <w:rsid w:val="005805E2"/>
    <w:rsid w:val="005A4BFA"/>
    <w:rsid w:val="005B5CAF"/>
    <w:rsid w:val="005E41D7"/>
    <w:rsid w:val="00604BCB"/>
    <w:rsid w:val="0061272E"/>
    <w:rsid w:val="00621ED8"/>
    <w:rsid w:val="0063430B"/>
    <w:rsid w:val="006448C9"/>
    <w:rsid w:val="0066026A"/>
    <w:rsid w:val="00677170"/>
    <w:rsid w:val="006938FC"/>
    <w:rsid w:val="006A0AB8"/>
    <w:rsid w:val="006A777B"/>
    <w:rsid w:val="006C0811"/>
    <w:rsid w:val="006C33B9"/>
    <w:rsid w:val="006E2176"/>
    <w:rsid w:val="00710598"/>
    <w:rsid w:val="007336C2"/>
    <w:rsid w:val="00753E66"/>
    <w:rsid w:val="007664E4"/>
    <w:rsid w:val="00771263"/>
    <w:rsid w:val="0078187D"/>
    <w:rsid w:val="0079240A"/>
    <w:rsid w:val="007961A5"/>
    <w:rsid w:val="007D40C1"/>
    <w:rsid w:val="007E0FAA"/>
    <w:rsid w:val="007E75B8"/>
    <w:rsid w:val="007F31A6"/>
    <w:rsid w:val="007F7F7F"/>
    <w:rsid w:val="008451AD"/>
    <w:rsid w:val="00875786"/>
    <w:rsid w:val="00885B6E"/>
    <w:rsid w:val="00897891"/>
    <w:rsid w:val="008B4335"/>
    <w:rsid w:val="008C2EF3"/>
    <w:rsid w:val="008C6B13"/>
    <w:rsid w:val="008F3860"/>
    <w:rsid w:val="009321C5"/>
    <w:rsid w:val="0094465C"/>
    <w:rsid w:val="00961BC4"/>
    <w:rsid w:val="0096791A"/>
    <w:rsid w:val="009A33F0"/>
    <w:rsid w:val="009B4EAA"/>
    <w:rsid w:val="009C7534"/>
    <w:rsid w:val="009C7778"/>
    <w:rsid w:val="009E343E"/>
    <w:rsid w:val="009E562F"/>
    <w:rsid w:val="009E5708"/>
    <w:rsid w:val="00A131AC"/>
    <w:rsid w:val="00A30FFA"/>
    <w:rsid w:val="00A52DDA"/>
    <w:rsid w:val="00AA3DC0"/>
    <w:rsid w:val="00AA513D"/>
    <w:rsid w:val="00AB651D"/>
    <w:rsid w:val="00AE66DF"/>
    <w:rsid w:val="00AF4F3D"/>
    <w:rsid w:val="00AF6F26"/>
    <w:rsid w:val="00B32B9D"/>
    <w:rsid w:val="00B60B84"/>
    <w:rsid w:val="00B71D67"/>
    <w:rsid w:val="00B944ED"/>
    <w:rsid w:val="00BA6C58"/>
    <w:rsid w:val="00BD61A7"/>
    <w:rsid w:val="00C05D8A"/>
    <w:rsid w:val="00C07F87"/>
    <w:rsid w:val="00C36769"/>
    <w:rsid w:val="00C75F94"/>
    <w:rsid w:val="00C816A8"/>
    <w:rsid w:val="00C84A70"/>
    <w:rsid w:val="00C95187"/>
    <w:rsid w:val="00CA0244"/>
    <w:rsid w:val="00CB014A"/>
    <w:rsid w:val="00CB49C0"/>
    <w:rsid w:val="00D02FB7"/>
    <w:rsid w:val="00D14221"/>
    <w:rsid w:val="00D320EC"/>
    <w:rsid w:val="00D4328E"/>
    <w:rsid w:val="00D46AA7"/>
    <w:rsid w:val="00D50984"/>
    <w:rsid w:val="00DA71D9"/>
    <w:rsid w:val="00DB4DD7"/>
    <w:rsid w:val="00DC0B34"/>
    <w:rsid w:val="00DD4FC8"/>
    <w:rsid w:val="00DF3A2B"/>
    <w:rsid w:val="00E32BD0"/>
    <w:rsid w:val="00E862D3"/>
    <w:rsid w:val="00E86454"/>
    <w:rsid w:val="00EA2570"/>
    <w:rsid w:val="00EE542F"/>
    <w:rsid w:val="00EF5B54"/>
    <w:rsid w:val="00F12ADC"/>
    <w:rsid w:val="00F15178"/>
    <w:rsid w:val="00F36DDC"/>
    <w:rsid w:val="00F55B75"/>
    <w:rsid w:val="00F56A3A"/>
    <w:rsid w:val="00F74000"/>
    <w:rsid w:val="00F80495"/>
    <w:rsid w:val="00F864CF"/>
    <w:rsid w:val="00FB6470"/>
    <w:rsid w:val="00FC2783"/>
    <w:rsid w:val="00FC51F2"/>
    <w:rsid w:val="00FF12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ED48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2332C"/>
    <w:rPr>
      <w:rFonts w:ascii="Times New Roman" w:eastAsia="Calibri"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D61A7"/>
    <w:pPr>
      <w:ind w:left="720"/>
      <w:contextualSpacing/>
    </w:pPr>
    <w:rPr>
      <w:rFonts w:ascii="Calibri" w:eastAsia="DengXian" w:hAnsi="Calibri"/>
    </w:rPr>
  </w:style>
  <w:style w:type="paragraph" w:styleId="BalloonText">
    <w:name w:val="Balloon Text"/>
    <w:basedOn w:val="Normal"/>
    <w:link w:val="BalloonTextChar"/>
    <w:uiPriority w:val="99"/>
    <w:semiHidden/>
    <w:unhideWhenUsed/>
    <w:rsid w:val="00BD61A7"/>
    <w:rPr>
      <w:sz w:val="18"/>
      <w:szCs w:val="18"/>
    </w:rPr>
  </w:style>
  <w:style w:type="character" w:customStyle="1" w:styleId="BalloonTextChar">
    <w:name w:val="Balloon Text Char"/>
    <w:basedOn w:val="DefaultParagraphFont"/>
    <w:link w:val="BalloonText"/>
    <w:uiPriority w:val="99"/>
    <w:semiHidden/>
    <w:rsid w:val="00BD61A7"/>
    <w:rPr>
      <w:rFonts w:ascii="Times New Roman" w:eastAsia="Calibri" w:hAnsi="Times New Roman" w:cs="Times New Roman"/>
      <w:sz w:val="18"/>
      <w:szCs w:val="18"/>
      <w:lang w:eastAsia="zh-CN"/>
    </w:rPr>
  </w:style>
  <w:style w:type="paragraph" w:customStyle="1" w:styleId="EndNoteBibliographyTitle">
    <w:name w:val="EndNote Bibliography Title"/>
    <w:basedOn w:val="Normal"/>
    <w:rsid w:val="00BD61A7"/>
    <w:pPr>
      <w:jc w:val="center"/>
    </w:pPr>
  </w:style>
  <w:style w:type="paragraph" w:customStyle="1" w:styleId="EndNoteBibliography">
    <w:name w:val="EndNote Bibliography"/>
    <w:basedOn w:val="Normal"/>
    <w:rsid w:val="00BD61A7"/>
  </w:style>
  <w:style w:type="paragraph" w:styleId="Footer">
    <w:name w:val="footer"/>
    <w:basedOn w:val="Normal"/>
    <w:link w:val="FooterChar"/>
    <w:uiPriority w:val="99"/>
    <w:unhideWhenUsed/>
    <w:rsid w:val="00A30FFA"/>
    <w:pPr>
      <w:tabs>
        <w:tab w:val="center" w:pos="4680"/>
        <w:tab w:val="right" w:pos="9360"/>
      </w:tabs>
    </w:pPr>
  </w:style>
  <w:style w:type="character" w:customStyle="1" w:styleId="FooterChar">
    <w:name w:val="Footer Char"/>
    <w:basedOn w:val="DefaultParagraphFont"/>
    <w:link w:val="Footer"/>
    <w:uiPriority w:val="99"/>
    <w:rsid w:val="00A30FFA"/>
    <w:rPr>
      <w:rFonts w:ascii="Times New Roman" w:eastAsia="Calibri" w:hAnsi="Times New Roman" w:cs="Times New Roman"/>
      <w:lang w:eastAsia="zh-CN"/>
    </w:rPr>
  </w:style>
  <w:style w:type="character" w:styleId="PageNumber">
    <w:name w:val="page number"/>
    <w:basedOn w:val="DefaultParagraphFont"/>
    <w:uiPriority w:val="99"/>
    <w:semiHidden/>
    <w:unhideWhenUsed/>
    <w:rsid w:val="00A30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10.jpg"/><Relationship Id="rId9" Type="http://schemas.openxmlformats.org/officeDocument/2006/relationships/image" Target="media/image2.jpeg"/><Relationship Id="rId1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714</Words>
  <Characters>4076</Characters>
  <Application>Microsoft Macintosh Word</Application>
  <DocSecurity>0</DocSecurity>
  <Lines>33</Lines>
  <Paragraphs>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 State Key Laboratory of Isotope Geochemistry, Guangzhou Institute of Geochemis</vt:lpstr>
      <vt:lpstr>3 Geological Survey of Japan, AIST, Ibaraki, Japan.</vt:lpstr>
      <vt:lpstr>4 Institute of Geosciences, Johannes Gutenberg University Mainz, Germany.</vt:lpstr>
      <vt:lpstr>5 Southern Marine Science and Engineering Guangdong Laboratory (Guangzhou), Guan</vt:lpstr>
    </vt:vector>
  </TitlesOfParts>
  <LinksUpToDate>false</LinksUpToDate>
  <CharactersWithSpaces>4781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Ribeiro</dc:creator>
  <cp:keywords/>
  <dc:description/>
  <cp:lastModifiedBy>Julia Ribeiro</cp:lastModifiedBy>
  <cp:revision>22</cp:revision>
  <dcterms:created xsi:type="dcterms:W3CDTF">2021-09-28T12:07:00Z</dcterms:created>
  <dcterms:modified xsi:type="dcterms:W3CDTF">2022-07-03T13:13:00Z</dcterms:modified>
</cp:coreProperties>
</file>