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6D8CB" w14:textId="0232D2D7" w:rsidR="00BB0FD0" w:rsidRPr="00C84FFC" w:rsidRDefault="00D9100D">
      <w:pPr>
        <w:rPr>
          <w:b/>
          <w:bCs/>
          <w:lang w:val="en-US"/>
        </w:rPr>
      </w:pPr>
      <w:r w:rsidRPr="00D9100D">
        <w:rPr>
          <w:b/>
          <w:bCs/>
          <w:lang w:val="en-US"/>
        </w:rPr>
        <w:t>Supplementary Figure 1:</w:t>
      </w:r>
      <w:r>
        <w:rPr>
          <w:lang w:val="en-US"/>
        </w:rPr>
        <w:t xml:space="preserve"> </w:t>
      </w:r>
      <w:r w:rsidRPr="008F2FDB">
        <w:rPr>
          <w:lang w:val="en-US"/>
        </w:rPr>
        <w:t xml:space="preserve"> </w:t>
      </w:r>
      <w:r w:rsidRPr="00D9100D">
        <w:rPr>
          <w:lang w:val="en-US"/>
        </w:rPr>
        <w:t>Quantification of  progesterone (P2) and estrogen (E2) in media of COC cultures using a radioimmunoassay (RIA).</w:t>
      </w:r>
    </w:p>
    <w:p w14:paraId="294FD476" w14:textId="6A868031" w:rsidR="008F2FDB" w:rsidRDefault="004A1FD4">
      <w:pPr>
        <w:rPr>
          <w:lang w:val="en-US"/>
        </w:rPr>
      </w:pPr>
      <w:r>
        <w:rPr>
          <w:noProof/>
          <w:lang w:val="en-US"/>
        </w:rPr>
        <mc:AlternateContent>
          <mc:Choice Requires="wpg">
            <w:drawing>
              <wp:anchor distT="0" distB="0" distL="114300" distR="114300" simplePos="0" relativeHeight="251661312" behindDoc="0" locked="0" layoutInCell="1" allowOverlap="1" wp14:anchorId="14B33BE6" wp14:editId="0CF47E86">
                <wp:simplePos x="0" y="0"/>
                <wp:positionH relativeFrom="column">
                  <wp:posOffset>76200</wp:posOffset>
                </wp:positionH>
                <wp:positionV relativeFrom="paragraph">
                  <wp:posOffset>-3175</wp:posOffset>
                </wp:positionV>
                <wp:extent cx="5505450" cy="2438400"/>
                <wp:effectExtent l="0" t="0" r="0" b="0"/>
                <wp:wrapNone/>
                <wp:docPr id="3" name="Group 3"/>
                <wp:cNvGraphicFramePr/>
                <a:graphic xmlns:a="http://schemas.openxmlformats.org/drawingml/2006/main">
                  <a:graphicData uri="http://schemas.microsoft.com/office/word/2010/wordprocessingGroup">
                    <wpg:wgp>
                      <wpg:cNvGrpSpPr/>
                      <wpg:grpSpPr>
                        <a:xfrm>
                          <a:off x="0" y="0"/>
                          <a:ext cx="5505450" cy="2438400"/>
                          <a:chOff x="0" y="0"/>
                          <a:chExt cx="5505450" cy="2438400"/>
                        </a:xfrm>
                      </wpg:grpSpPr>
                      <wpg:graphicFrame>
                        <wpg:cNvPr id="2" name="Chart 2">
                          <a:extLst>
                            <a:ext uri="{FF2B5EF4-FFF2-40B4-BE49-F238E27FC236}">
                              <a16:creationId xmlns:a16="http://schemas.microsoft.com/office/drawing/2014/main" id="{00000000-0008-0000-0100-000002000000}"/>
                            </a:ext>
                          </a:extLst>
                        </wpg:cNvPr>
                        <wpg:cNvFrPr/>
                        <wpg:xfrm>
                          <a:off x="2638425" y="0"/>
                          <a:ext cx="2867025" cy="2352675"/>
                        </wpg:xfrm>
                        <a:graphic>
                          <a:graphicData uri="http://schemas.openxmlformats.org/drawingml/2006/chart">
                            <c:chart xmlns:c="http://schemas.openxmlformats.org/drawingml/2006/chart" xmlns:r="http://schemas.openxmlformats.org/officeDocument/2006/relationships" r:id="rId5"/>
                          </a:graphicData>
                        </a:graphic>
                      </wpg:graphicFrame>
                      <wpg:graphicFrame>
                        <wpg:cNvPr id="1" name="Chart 1">
                          <a:extLst>
                            <a:ext uri="{FF2B5EF4-FFF2-40B4-BE49-F238E27FC236}">
                              <a16:creationId xmlns:a16="http://schemas.microsoft.com/office/drawing/2014/main" id="{00000000-0008-0000-0000-000002000000}"/>
                            </a:ext>
                          </a:extLst>
                        </wpg:cNvPr>
                        <wpg:cNvFrPr/>
                        <wpg:xfrm>
                          <a:off x="0" y="0"/>
                          <a:ext cx="2657475" cy="2438400"/>
                        </wpg:xfrm>
                        <a:graphic>
                          <a:graphicData uri="http://schemas.openxmlformats.org/drawingml/2006/chart">
                            <c:chart xmlns:c="http://schemas.openxmlformats.org/drawingml/2006/chart" xmlns:r="http://schemas.openxmlformats.org/officeDocument/2006/relationships" r:id="rId6"/>
                          </a:graphicData>
                        </a:graphic>
                      </wpg:graphicFrame>
                      <wps:wsp>
                        <wps:cNvPr id="217" name="Text Box 2"/>
                        <wps:cNvSpPr txBox="1">
                          <a:spLocks noChangeArrowheads="1"/>
                        </wps:cNvSpPr>
                        <wps:spPr bwMode="auto">
                          <a:xfrm>
                            <a:off x="1914525" y="219075"/>
                            <a:ext cx="409575" cy="190500"/>
                          </a:xfrm>
                          <a:prstGeom prst="rect">
                            <a:avLst/>
                          </a:prstGeom>
                          <a:noFill/>
                          <a:ln w="9525">
                            <a:noFill/>
                            <a:miter lim="800000"/>
                            <a:headEnd/>
                            <a:tailEnd/>
                          </a:ln>
                        </wps:spPr>
                        <wps:txbx>
                          <w:txbxContent>
                            <w:p w14:paraId="333FCA8A" w14:textId="77CB5828" w:rsidR="000E5AD3" w:rsidRPr="00C84FFC" w:rsidRDefault="000E5AD3">
                              <w:pPr>
                                <w:rPr>
                                  <w:lang w:val="en-US"/>
                                </w:rPr>
                              </w:pPr>
                              <w:r>
                                <w:t>***</w:t>
                              </w:r>
                            </w:p>
                          </w:txbxContent>
                        </wps:txbx>
                        <wps:bodyPr rot="0" vert="horz" wrap="square" lIns="91440" tIns="45720" rIns="91440" bIns="45720" anchor="t" anchorCtr="0">
                          <a:noAutofit/>
                        </wps:bodyPr>
                      </wps:wsp>
                    </wpg:wgp>
                  </a:graphicData>
                </a:graphic>
              </wp:anchor>
            </w:drawing>
          </mc:Choice>
          <mc:Fallback>
            <w:pict>
              <v:group w14:anchorId="14B33BE6" id="Group 3" o:spid="_x0000_s1026" style="position:absolute;margin-left:6pt;margin-top:-.25pt;width:433.5pt;height:192pt;z-index:251661312" coordsize="55054,24384" o:gfxdata="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 o:spid="_x0000_s1027" type="#_x0000_t75" style="position:absolute;left:26395;width:28651;height:23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">
                  <v:imagedata r:id="rId7" o:title=""/>
                  <o:lock v:ext="edit" aspectratio="f"/>
                </v:shape>
                <v:shape id="Chart 1" o:spid="_x0000_s1028" type="#_x0000_t75" style="position:absolute;width:26578;height:24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">
                  <v:imagedata r:id="rId8" o:title=""/>
                  <o:lock v:ext="edit" aspectratio="f"/>
                </v:shape>
                <v:shapetype id="_x0000_t202" coordsize="21600,21600" o:spt="202" path="m,l,21600r21600,l21600,xe">
                  <v:stroke joinstyle="miter"/>
                  <v:path gradientshapeok="t" o:connecttype="rect"/>
                </v:shapetype>
                <v:shape id="Text Box 2" o:spid="_x0000_s1029" type="#_x0000_t202" style="position:absolute;left:19145;top:2190;width:409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333FCA8A" w14:textId="77CB5828" w:rsidR="000E5AD3" w:rsidRPr="00C84FFC" w:rsidRDefault="000E5AD3">
                        <w:pPr>
                          <w:rPr>
                            <w:lang w:val="en-US"/>
                          </w:rPr>
                        </w:pPr>
                        <w:r>
                          <w:t>***</w:t>
                        </w:r>
                      </w:p>
                    </w:txbxContent>
                  </v:textbox>
                </v:shape>
              </v:group>
            </w:pict>
          </mc:Fallback>
        </mc:AlternateContent>
      </w:r>
    </w:p>
    <w:p w14:paraId="5D93A151" w14:textId="77777777" w:rsidR="000E5AD3" w:rsidRDefault="000E5AD3" w:rsidP="00C84FFC">
      <w:pPr>
        <w:jc w:val="both"/>
        <w:rPr>
          <w:lang w:val="en-US"/>
        </w:rPr>
      </w:pPr>
    </w:p>
    <w:p w14:paraId="38E10351" w14:textId="77777777" w:rsidR="004A1FD4" w:rsidRDefault="004A1FD4" w:rsidP="00C84FFC">
      <w:pPr>
        <w:jc w:val="both"/>
        <w:rPr>
          <w:lang w:val="en-US"/>
        </w:rPr>
      </w:pPr>
    </w:p>
    <w:p w14:paraId="2E4A9E7D" w14:textId="77777777" w:rsidR="004A1FD4" w:rsidRDefault="004A1FD4" w:rsidP="00C84FFC">
      <w:pPr>
        <w:jc w:val="both"/>
        <w:rPr>
          <w:lang w:val="en-US"/>
        </w:rPr>
      </w:pPr>
    </w:p>
    <w:p w14:paraId="73AADD4B" w14:textId="77777777" w:rsidR="004A1FD4" w:rsidRDefault="004A1FD4" w:rsidP="00C84FFC">
      <w:pPr>
        <w:jc w:val="both"/>
        <w:rPr>
          <w:lang w:val="en-US"/>
        </w:rPr>
      </w:pPr>
    </w:p>
    <w:p w14:paraId="657E7932" w14:textId="77777777" w:rsidR="004A1FD4" w:rsidRDefault="004A1FD4" w:rsidP="00C84FFC">
      <w:pPr>
        <w:jc w:val="both"/>
        <w:rPr>
          <w:lang w:val="en-US"/>
        </w:rPr>
      </w:pPr>
    </w:p>
    <w:p w14:paraId="4E81A142" w14:textId="77777777" w:rsidR="004A1FD4" w:rsidRDefault="004A1FD4" w:rsidP="00C84FFC">
      <w:pPr>
        <w:jc w:val="both"/>
        <w:rPr>
          <w:lang w:val="en-US"/>
        </w:rPr>
      </w:pPr>
    </w:p>
    <w:p w14:paraId="4874BD5B" w14:textId="77777777" w:rsidR="004A1FD4" w:rsidRDefault="004A1FD4" w:rsidP="00C84FFC">
      <w:pPr>
        <w:jc w:val="both"/>
        <w:rPr>
          <w:lang w:val="en-US"/>
        </w:rPr>
      </w:pPr>
    </w:p>
    <w:p w14:paraId="7AE5DD83" w14:textId="77777777" w:rsidR="004A1FD4" w:rsidRDefault="004A1FD4" w:rsidP="00C84FFC">
      <w:pPr>
        <w:jc w:val="both"/>
        <w:rPr>
          <w:lang w:val="en-US"/>
        </w:rPr>
      </w:pPr>
    </w:p>
    <w:p w14:paraId="76C139FC" w14:textId="5436C03A" w:rsidR="009777DC" w:rsidRDefault="000E5AD3" w:rsidP="00C84FFC">
      <w:pPr>
        <w:jc w:val="both"/>
        <w:rPr>
          <w:lang w:val="en-US"/>
        </w:rPr>
      </w:pPr>
      <w:r>
        <w:rPr>
          <w:lang w:val="en-US"/>
        </w:rPr>
        <w:t>Effect of DES on select steroids produced by bovine cumulus cells</w:t>
      </w:r>
      <w:r w:rsidR="004A1FD4">
        <w:rPr>
          <w:lang w:val="en-US"/>
        </w:rPr>
        <w:t xml:space="preserve"> in an </w:t>
      </w:r>
      <w:r w:rsidR="004A1FD4" w:rsidRPr="004A1FD4">
        <w:rPr>
          <w:lang w:val="en-US"/>
        </w:rPr>
        <w:t xml:space="preserve">in vitro </w:t>
      </w:r>
      <w:r w:rsidR="004A1FD4">
        <w:rPr>
          <w:lang w:val="en-US"/>
        </w:rPr>
        <w:t>system of COC maturation</w:t>
      </w:r>
      <w:r>
        <w:rPr>
          <w:lang w:val="en-US"/>
        </w:rPr>
        <w:t>. Progesterone (P4) and 17</w:t>
      </w:r>
      <w:r>
        <w:rPr>
          <w:lang w:val="el-GR"/>
        </w:rPr>
        <w:t>β</w:t>
      </w:r>
      <w:r w:rsidRPr="00C84FFC">
        <w:rPr>
          <w:lang w:val="en-US"/>
        </w:rPr>
        <w:t>-</w:t>
      </w:r>
      <w:r>
        <w:rPr>
          <w:lang w:val="en-US"/>
        </w:rPr>
        <w:t>estradiol (E2) levels, in medium in which COCs were in vitro matured in for 24 hours, were quantified by RIA assay (detailed below).</w:t>
      </w:r>
      <w:r w:rsidR="004A1FD4">
        <w:rPr>
          <w:lang w:val="en-US"/>
        </w:rPr>
        <w:t xml:space="preserve"> P4 levels</w:t>
      </w:r>
      <w:r>
        <w:rPr>
          <w:lang w:val="en-US"/>
        </w:rPr>
        <w:t xml:space="preserve"> in the medium were significantly higher when COCs were treated with 10</w:t>
      </w:r>
      <w:r w:rsidRPr="00C84FFC">
        <w:rPr>
          <w:vertAlign w:val="superscript"/>
          <w:lang w:val="en-US"/>
        </w:rPr>
        <w:t>-5</w:t>
      </w:r>
      <w:r>
        <w:rPr>
          <w:lang w:val="en-US"/>
        </w:rPr>
        <w:t xml:space="preserve"> M DES, compared to the vehicle-treated group (</w:t>
      </w:r>
      <w:r w:rsidRPr="00C84FFC">
        <w:rPr>
          <w:i/>
          <w:lang w:val="en-US"/>
        </w:rPr>
        <w:t>p</w:t>
      </w:r>
      <w:r>
        <w:rPr>
          <w:lang w:val="en-US"/>
        </w:rPr>
        <w:t xml:space="preserve"> &lt; 0.001)</w:t>
      </w:r>
    </w:p>
    <w:p w14:paraId="72A4A07E" w14:textId="77777777" w:rsidR="009777DC" w:rsidRDefault="009777DC">
      <w:pPr>
        <w:rPr>
          <w:lang w:val="en-US"/>
        </w:rPr>
      </w:pPr>
    </w:p>
    <w:p w14:paraId="3E65B23C" w14:textId="77777777" w:rsidR="00D76343" w:rsidRDefault="008F2FDB" w:rsidP="008F2FDB">
      <w:pPr>
        <w:shd w:val="clear" w:color="auto" w:fill="FFFFFF"/>
        <w:rPr>
          <w:color w:val="000000"/>
          <w:lang w:val="en-US"/>
        </w:rPr>
      </w:pPr>
      <w:r>
        <w:rPr>
          <w:color w:val="000000"/>
          <w:lang w:val="en-US"/>
        </w:rPr>
        <w:t xml:space="preserve">Assay: </w:t>
      </w:r>
    </w:p>
    <w:p w14:paraId="6B565AC9" w14:textId="63F6350F" w:rsidR="008F2FDB" w:rsidRDefault="008F2FDB" w:rsidP="00D76343">
      <w:pPr>
        <w:shd w:val="clear" w:color="auto" w:fill="FFFFFF"/>
        <w:jc w:val="both"/>
        <w:rPr>
          <w:shd w:val="clear" w:color="auto" w:fill="FFFFFF"/>
          <w:lang w:val="en-US" w:eastAsia="nl-NL"/>
        </w:rPr>
      </w:pPr>
      <w:r>
        <w:rPr>
          <w:color w:val="000000"/>
          <w:lang w:val="en-US"/>
        </w:rPr>
        <w:t xml:space="preserve">The concentrations of progesterone and 17β-estradiol were determined in aliquots of 100 </w:t>
      </w:r>
      <w:r>
        <w:rPr>
          <w:color w:val="000000"/>
          <w:lang w:val="el-GR"/>
        </w:rPr>
        <w:t>μ</w:t>
      </w:r>
      <w:r>
        <w:rPr>
          <w:color w:val="000000"/>
          <w:lang w:val="en-US"/>
        </w:rPr>
        <w:t xml:space="preserve">L </w:t>
      </w:r>
      <w:r w:rsidR="009777DC">
        <w:rPr>
          <w:color w:val="000000"/>
          <w:lang w:val="en-US"/>
        </w:rPr>
        <w:t>medium</w:t>
      </w:r>
      <w:r>
        <w:rPr>
          <w:color w:val="000000"/>
          <w:lang w:val="en-US"/>
        </w:rPr>
        <w:t>.</w:t>
      </w:r>
      <w:r w:rsidRPr="008F2FDB">
        <w:rPr>
          <w:lang w:val="en-US"/>
        </w:rPr>
        <w:t xml:space="preserve"> </w:t>
      </w:r>
      <w:r w:rsidRPr="008F2FDB">
        <w:rPr>
          <w:color w:val="000000"/>
          <w:lang w:val="en-US"/>
        </w:rPr>
        <w:t xml:space="preserve">Oocytes in groups of 70 are matured in 500 μL of maturation media, with or without DES, and the conditioned media is collected at the end of IVM, snap frozen in liquid nitrogen and thawed </w:t>
      </w:r>
      <w:r>
        <w:rPr>
          <w:color w:val="000000"/>
          <w:lang w:val="en-US"/>
        </w:rPr>
        <w:t>right before analysis.</w:t>
      </w:r>
      <w:r w:rsidRPr="008F2FDB">
        <w:rPr>
          <w:color w:val="000000"/>
          <w:lang w:val="en-US"/>
        </w:rPr>
        <w:t xml:space="preserve"> </w:t>
      </w:r>
      <w:r>
        <w:rPr>
          <w:color w:val="000000"/>
          <w:lang w:val="en-US"/>
        </w:rPr>
        <w:t>The samples were analyzed using solid-phase[125I] RIA (</w:t>
      </w:r>
      <w:r w:rsidR="00C75423">
        <w:rPr>
          <w:color w:val="000000"/>
          <w:lang w:val="en-US"/>
        </w:rPr>
        <w:t xml:space="preserve">IM1188, Beckmann Coulter, California, USA; progesterone, </w:t>
      </w:r>
      <w:r w:rsidR="00C75423" w:rsidRPr="00C75423">
        <w:rPr>
          <w:color w:val="000000"/>
          <w:lang w:val="en-US"/>
        </w:rPr>
        <w:t>RIA-4381 CT, DRG Diagnostics GmbH, Marburg, Germany</w:t>
      </w:r>
      <w:r w:rsidR="00C75423">
        <w:rPr>
          <w:color w:val="000000"/>
          <w:lang w:val="en-US"/>
        </w:rPr>
        <w:t>; 17</w:t>
      </w:r>
      <w:r w:rsidR="00C75423">
        <w:rPr>
          <w:color w:val="000000"/>
          <w:lang w:val="el-GR"/>
        </w:rPr>
        <w:t>β</w:t>
      </w:r>
      <w:r w:rsidR="00C75423" w:rsidRPr="00D573B1">
        <w:rPr>
          <w:color w:val="000000"/>
          <w:lang w:val="en-US"/>
        </w:rPr>
        <w:t>-</w:t>
      </w:r>
      <w:r w:rsidR="00C75423">
        <w:rPr>
          <w:color w:val="000000"/>
          <w:lang w:val="en-US"/>
        </w:rPr>
        <w:t>estradiol</w:t>
      </w:r>
      <w:r>
        <w:rPr>
          <w:color w:val="000000"/>
          <w:lang w:val="en-US"/>
        </w:rPr>
        <w:t xml:space="preserve">) according to the manufacturer with slight modifications. </w:t>
      </w:r>
      <w:r w:rsidR="00C75423">
        <w:rPr>
          <w:color w:val="000000"/>
          <w:lang w:val="en-US"/>
        </w:rPr>
        <w:t>Quantification of 17</w:t>
      </w:r>
      <w:r w:rsidR="00C75423">
        <w:rPr>
          <w:color w:val="000000"/>
          <w:lang w:val="el-GR"/>
        </w:rPr>
        <w:t>β</w:t>
      </w:r>
      <w:r w:rsidR="00C75423" w:rsidRPr="00F6443E">
        <w:rPr>
          <w:color w:val="000000"/>
          <w:lang w:val="en-US"/>
        </w:rPr>
        <w:t>-</w:t>
      </w:r>
      <w:r w:rsidR="00C75423">
        <w:rPr>
          <w:color w:val="000000"/>
          <w:lang w:val="en-US"/>
        </w:rPr>
        <w:t>estradiol</w:t>
      </w:r>
      <w:r w:rsidR="00C75423" w:rsidRPr="00F6443E">
        <w:rPr>
          <w:color w:val="000000"/>
          <w:lang w:val="en-US"/>
        </w:rPr>
        <w:t xml:space="preserve"> </w:t>
      </w:r>
      <w:r w:rsidR="00C75423">
        <w:rPr>
          <w:color w:val="000000"/>
          <w:lang w:val="en-US"/>
        </w:rPr>
        <w:t xml:space="preserve">in the sample </w:t>
      </w:r>
      <w:r w:rsidR="00C75423">
        <w:rPr>
          <w:color w:val="000000"/>
          <w:lang w:val="en-GB"/>
        </w:rPr>
        <w:t>required an extraction step. Briefly</w:t>
      </w:r>
      <w:r w:rsidR="00C75423">
        <w:rPr>
          <w:color w:val="000000"/>
          <w:lang w:val="en-US"/>
        </w:rPr>
        <w:t>,</w:t>
      </w:r>
      <w:r>
        <w:rPr>
          <w:color w:val="000000"/>
          <w:lang w:val="en-US"/>
        </w:rPr>
        <w:t xml:space="preserve"> </w:t>
      </w:r>
      <w:r w:rsidR="009777DC">
        <w:rPr>
          <w:color w:val="000000"/>
          <w:lang w:val="en-US"/>
        </w:rPr>
        <w:t>cell culture media</w:t>
      </w:r>
      <w:r>
        <w:rPr>
          <w:color w:val="000000"/>
          <w:lang w:val="en-US"/>
        </w:rPr>
        <w:t xml:space="preserve"> were extracted with 2 mL diethyl ether (Scharlau, Barcelona, Spain) and an internal standard of 167 Bq [3H] steroid was added before extraction in order to determine and correct for the efficiency of extraction. After evaporation of the organic solvent, the samples and efficiency series were dissolved in </w:t>
      </w:r>
      <w:r w:rsidR="00C75423">
        <w:rPr>
          <w:color w:val="000000"/>
          <w:lang w:val="en-US"/>
        </w:rPr>
        <w:t>125</w:t>
      </w:r>
      <w:r>
        <w:rPr>
          <w:color w:val="000000"/>
          <w:lang w:val="en-US"/>
        </w:rPr>
        <w:t xml:space="preserve"> mL borate buffer</w:t>
      </w:r>
      <w:r w:rsidR="00C75423">
        <w:rPr>
          <w:color w:val="000000"/>
          <w:lang w:val="en-US"/>
        </w:rPr>
        <w:t xml:space="preserve">. </w:t>
      </w:r>
      <w:r>
        <w:rPr>
          <w:color w:val="000000"/>
          <w:lang w:val="en-US"/>
        </w:rPr>
        <w:t>Duplicate volumes of the samples</w:t>
      </w:r>
      <w:r w:rsidR="00C75423">
        <w:rPr>
          <w:color w:val="000000"/>
          <w:lang w:val="en-US"/>
        </w:rPr>
        <w:t>, for both 17</w:t>
      </w:r>
      <w:r w:rsidR="00C75423">
        <w:rPr>
          <w:color w:val="000000"/>
          <w:lang w:val="el-GR"/>
        </w:rPr>
        <w:t>β</w:t>
      </w:r>
      <w:r w:rsidR="00C75423" w:rsidRPr="00D573B1">
        <w:rPr>
          <w:color w:val="000000"/>
          <w:lang w:val="en-US"/>
        </w:rPr>
        <w:t>-</w:t>
      </w:r>
      <w:r w:rsidR="00C75423">
        <w:rPr>
          <w:color w:val="000000"/>
          <w:lang w:val="en-US"/>
        </w:rPr>
        <w:t xml:space="preserve">estradiol and progesterone quantification, </w:t>
      </w:r>
      <w:r>
        <w:rPr>
          <w:color w:val="000000"/>
          <w:lang w:val="en-US"/>
        </w:rPr>
        <w:t xml:space="preserve"> were incubated in antibody-coated tubes. Calculation of hormone concentrations was performed by applying the approximation for the standard series from RIA Smart (Packard Instruments Company, Meriden, CT, USA). The concentrations calculated using RIA differed</w:t>
      </w:r>
      <w:r w:rsidR="009777DC">
        <w:rPr>
          <w:color w:val="000000"/>
          <w:lang w:val="en-US"/>
        </w:rPr>
        <w:t xml:space="preserve"> </w:t>
      </w:r>
      <w:r>
        <w:rPr>
          <w:color w:val="000000"/>
          <w:lang w:val="en-US"/>
        </w:rPr>
        <w:t>&lt;4% from the defined concentrations of the standards used to build the reference curves. The intra-and inter assay coefficients of variation were</w:t>
      </w:r>
      <w:r w:rsidR="009777DC">
        <w:rPr>
          <w:color w:val="000000"/>
          <w:lang w:val="en-US"/>
        </w:rPr>
        <w:t xml:space="preserve"> </w:t>
      </w:r>
      <w:r>
        <w:rPr>
          <w:color w:val="000000"/>
          <w:lang w:val="en-US"/>
        </w:rPr>
        <w:t>&lt;10% for all assay</w:t>
      </w:r>
      <w:r w:rsidR="009777DC">
        <w:rPr>
          <w:color w:val="000000"/>
          <w:lang w:val="en-US"/>
        </w:rPr>
        <w:t xml:space="preserve"> </w:t>
      </w:r>
      <w:r>
        <w:rPr>
          <w:color w:val="000000"/>
          <w:lang w:val="en-US"/>
        </w:rPr>
        <w:fldChar w:fldCharType="begin" w:fldLock="1"/>
      </w:r>
      <w:r>
        <w:rPr>
          <w:color w:val="000000"/>
          <w:lang w:val="en-US"/>
        </w:rPr>
        <w:instrText>ADDIN CSL_CITATION {"citationItems":[{"id":"ITEM-1","itemData":{"DOI":"10.1095/biolreprod.112.106062","ISSN":"0006-3363","abstract":"Metabolic conditions characterized by elevated free fatty acid concentrations in blood and follicular fluid are often associated with impaired female fertility. Especially elevated saturated fatty acid levels can be lipotoxic for several somatic cell types. The aim of this study was to determine the impact of elevated free fatty acid concentrations in follicular fluid on neutral lipids (fatty acids stored in lipid droplets) inside cumulus cells and oocytes and their developmental competence. To this end, cows were exposed to a short-term fasting period during final oocyte maturation. This resulted in elevated, but distinct, free fatty acid concentrations in blood and follicular fluid and a rise in the concentrations of in particular fatty acids with a chain length of 14–18 carbon atoms. Interestingly, elevated free fatty acid concentrations in follicular fluid resulted in a massive increase in the level of neutral lipids in cumulus cells, whereas the level of neutral lipid in oocytes was hardly affected. Furthermore, competence of oocytes to develop to the blastocyst stage after fertilization and culture of cumulus-oocyte-complexes of the experimental and control group was not different. In conclusion these data suggest that short-term elevated free fatty acid concentrations in follicular fluid do not harm oocyte developmental competence. We propose that the involvement of high levels of mobilized oleic acid in follicular fluid in combination with the induced lipid storage in cumulus cells serves to prevent harmful saturated fatty acid exposure to the oocyte.","author":[{"dropping-particle":"","family":"Aardema","given":"Hilde","non-dropping-particle":"","parse-names":false,"suffix":""},{"dropping-particle":"","family":"Lolicato","given":"Francesca","non-dropping-particle":"","parse-names":false,"suffix":""},{"dropping-particle":"","family":"Lest","given":"Chris H A","non-dropping-particle":"van de","parse-names":false,"suffix":""},{"dropping-particle":"","family":"Brouwers","given":"Jos F","non-dropping-particle":"","parse-names":false,"suffix":""},{"dropping-particle":"","family":"Vaandrager","given":"Arie B","non-dropping-particle":"","parse-names":false,"suffix":""},{"dropping-particle":"","family":"Tol","given":"Helena T A","non-dropping-particle":"van","parse-names":false,"suffix":""},{"dropping-particle":"","family":"Roelen","given":"Bernard A J","non-dropping-particle":"","parse-names":false,"suffix":""},{"dropping-particle":"","family":"Vos","given":"Peter L A M","non-dropping-particle":"","parse-names":false,"suffix":""},{"dropping-particle":"","family":"Helms","given":"J Bernd","non-dropping-particle":"","parse-names":false,"suffix":""},{"dropping-particle":"","family":"Gadella","given":"Bart M","non-dropping-particle":"","parse-names":false,"suffix":""}],"container-title":"Biology of Reproduction","id":"ITEM-1","issue":"6","issued":{"date-parts":[["2013","6","1"]]},"title":"Bovine Cumulus Cells Protect Maturing Oocytes from Increased Fatty Acid Levels by Massive Intracellular Lipid Storage1","type":"article-journal","volume":"88"},"uris":["http://www.mendeley.com/documents/?uuid=101ebe25-e0d4-4630-a291-8217e421ccd5"]}],"mendeley":{"formattedCitation":"(Aardema et al., 2013)","plainTextFormattedCitation":"(Aardema et al., 2013)"},"properties":{"noteIndex":0},"schema":"https://github.com/citation-style-language/schema/raw/master/csl-citation.json"}</w:instrText>
      </w:r>
      <w:r>
        <w:rPr>
          <w:color w:val="000000"/>
          <w:lang w:val="en-US"/>
        </w:rPr>
        <w:fldChar w:fldCharType="separate"/>
      </w:r>
      <w:r w:rsidRPr="008F2FDB">
        <w:rPr>
          <w:noProof/>
          <w:color w:val="000000"/>
          <w:lang w:val="en-US"/>
        </w:rPr>
        <w:t>(</w:t>
      </w:r>
      <w:r w:rsidR="00C75423">
        <w:rPr>
          <w:noProof/>
          <w:color w:val="000000"/>
          <w:lang w:val="en-US"/>
        </w:rPr>
        <w:t xml:space="preserve">modified from </w:t>
      </w:r>
      <w:r w:rsidRPr="008F2FDB">
        <w:rPr>
          <w:noProof/>
          <w:color w:val="000000"/>
          <w:lang w:val="en-US"/>
        </w:rPr>
        <w:t>Aardema et al., 2013)</w:t>
      </w:r>
      <w:r>
        <w:rPr>
          <w:color w:val="000000"/>
          <w:lang w:val="en-US"/>
        </w:rPr>
        <w:fldChar w:fldCharType="end"/>
      </w:r>
      <w:r w:rsidR="009777DC">
        <w:rPr>
          <w:color w:val="000000"/>
          <w:lang w:val="en-US"/>
        </w:rPr>
        <w:t>.</w:t>
      </w:r>
    </w:p>
    <w:p w14:paraId="244D2204" w14:textId="77777777" w:rsidR="008F2FDB" w:rsidRPr="008F2FDB" w:rsidRDefault="008F2FDB">
      <w:pPr>
        <w:rPr>
          <w:lang w:val="en-US"/>
        </w:rPr>
      </w:pPr>
    </w:p>
    <w:sectPr w:rsidR="008F2FDB" w:rsidRPr="008F2F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FDB"/>
    <w:rsid w:val="000E5AD3"/>
    <w:rsid w:val="0020440A"/>
    <w:rsid w:val="003E5D6B"/>
    <w:rsid w:val="004A1FD4"/>
    <w:rsid w:val="005E334D"/>
    <w:rsid w:val="00863467"/>
    <w:rsid w:val="008F2FDB"/>
    <w:rsid w:val="00954600"/>
    <w:rsid w:val="009777DC"/>
    <w:rsid w:val="00A96630"/>
    <w:rsid w:val="00BB0FD0"/>
    <w:rsid w:val="00C75423"/>
    <w:rsid w:val="00C84FFC"/>
    <w:rsid w:val="00CF2796"/>
    <w:rsid w:val="00D76343"/>
    <w:rsid w:val="00D9100D"/>
    <w:rsid w:val="00F644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C8533"/>
  <w15:chartTrackingRefBased/>
  <w15:docId w15:val="{C8F3A832-92E6-4554-B4F8-2F2F1598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777DC"/>
    <w:rPr>
      <w:sz w:val="16"/>
      <w:szCs w:val="16"/>
    </w:rPr>
  </w:style>
  <w:style w:type="paragraph" w:styleId="CommentText">
    <w:name w:val="annotation text"/>
    <w:basedOn w:val="Normal"/>
    <w:link w:val="CommentTextChar"/>
    <w:uiPriority w:val="99"/>
    <w:semiHidden/>
    <w:unhideWhenUsed/>
    <w:rsid w:val="009777DC"/>
    <w:pPr>
      <w:spacing w:line="240" w:lineRule="auto"/>
    </w:pPr>
    <w:rPr>
      <w:sz w:val="20"/>
      <w:szCs w:val="20"/>
    </w:rPr>
  </w:style>
  <w:style w:type="character" w:customStyle="1" w:styleId="CommentTextChar">
    <w:name w:val="Comment Text Char"/>
    <w:basedOn w:val="DefaultParagraphFont"/>
    <w:link w:val="CommentText"/>
    <w:uiPriority w:val="99"/>
    <w:semiHidden/>
    <w:rsid w:val="009777DC"/>
    <w:rPr>
      <w:sz w:val="20"/>
      <w:szCs w:val="20"/>
    </w:rPr>
  </w:style>
  <w:style w:type="paragraph" w:styleId="CommentSubject">
    <w:name w:val="annotation subject"/>
    <w:basedOn w:val="CommentText"/>
    <w:next w:val="CommentText"/>
    <w:link w:val="CommentSubjectChar"/>
    <w:uiPriority w:val="99"/>
    <w:semiHidden/>
    <w:unhideWhenUsed/>
    <w:rsid w:val="009777DC"/>
    <w:rPr>
      <w:b/>
      <w:bCs/>
    </w:rPr>
  </w:style>
  <w:style w:type="character" w:customStyle="1" w:styleId="CommentSubjectChar">
    <w:name w:val="Comment Subject Char"/>
    <w:basedOn w:val="CommentTextChar"/>
    <w:link w:val="CommentSubject"/>
    <w:uiPriority w:val="99"/>
    <w:semiHidden/>
    <w:rsid w:val="009777DC"/>
    <w:rPr>
      <w:b/>
      <w:bCs/>
      <w:sz w:val="20"/>
      <w:szCs w:val="20"/>
    </w:rPr>
  </w:style>
  <w:style w:type="paragraph" w:styleId="BalloonText">
    <w:name w:val="Balloon Text"/>
    <w:basedOn w:val="Normal"/>
    <w:link w:val="BalloonTextChar"/>
    <w:uiPriority w:val="99"/>
    <w:semiHidden/>
    <w:unhideWhenUsed/>
    <w:rsid w:val="000E5A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A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1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https://solisservices-my.sharepoint.com/personal/k_asimaki_uu_nl/Documents/Laptop/Desktop/Downloads/P4%20and%20E2%20data%20on%20DES%20and%20KTZ%202.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https://solisservices-my.sharepoint.com/personal/k_asimaki_uu_nl/Documents/Laptop/Desktop/Downloads/P4%20and%20E2%20data%20on%20DES%20and%20KTZ%20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0"/>
    </mc:Choice>
    <mc:Fallback>
      <c:style val="40"/>
    </mc:Fallback>
  </mc:AlternateContent>
  <c:chart>
    <c:autoTitleDeleted val="0"/>
    <c:plotArea>
      <c:layout>
        <c:manualLayout>
          <c:layoutTarget val="inner"/>
          <c:xMode val="edge"/>
          <c:yMode val="edge"/>
          <c:x val="0.19114122362611649"/>
          <c:y val="0.12354749054579645"/>
          <c:w val="0.70285621274084931"/>
          <c:h val="0.72895680412829755"/>
        </c:manualLayout>
      </c:layout>
      <c:barChart>
        <c:barDir val="col"/>
        <c:grouping val="clustered"/>
        <c:varyColors val="0"/>
        <c:ser>
          <c:idx val="0"/>
          <c:order val="0"/>
          <c:spPr>
            <a:solidFill>
              <a:schemeClr val="bg1">
                <a:lumMod val="65000"/>
              </a:schemeClr>
            </a:solidFill>
            <a:ln>
              <a:noFill/>
            </a:ln>
          </c:spPr>
          <c:invertIfNegative val="0"/>
          <c:errBars>
            <c:errBarType val="both"/>
            <c:errValType val="cust"/>
            <c:noEndCap val="0"/>
            <c:plus>
              <c:numRef>
                <c:f>Sheet1!$M$11:$Q$11</c:f>
                <c:numCache>
                  <c:formatCode>General</c:formatCode>
                  <c:ptCount val="5"/>
                  <c:pt idx="0">
                    <c:v>6.7692996208928617</c:v>
                  </c:pt>
                  <c:pt idx="1">
                    <c:v>17.117439496458559</c:v>
                  </c:pt>
                  <c:pt idx="2">
                    <c:v>20.257038947050599</c:v>
                  </c:pt>
                  <c:pt idx="3">
                    <c:v>12.668194104648247</c:v>
                  </c:pt>
                  <c:pt idx="4">
                    <c:v>17.79331987375371</c:v>
                  </c:pt>
                </c:numCache>
              </c:numRef>
            </c:plus>
            <c:minus>
              <c:numRef>
                <c:f>Sheet1!$M$11:$Q$11</c:f>
                <c:numCache>
                  <c:formatCode>General</c:formatCode>
                  <c:ptCount val="5"/>
                  <c:pt idx="0">
                    <c:v>6.7692996208928617</c:v>
                  </c:pt>
                  <c:pt idx="1">
                    <c:v>17.117439496458559</c:v>
                  </c:pt>
                  <c:pt idx="2">
                    <c:v>20.257038947050599</c:v>
                  </c:pt>
                  <c:pt idx="3">
                    <c:v>12.668194104648247</c:v>
                  </c:pt>
                  <c:pt idx="4">
                    <c:v>17.79331987375371</c:v>
                  </c:pt>
                </c:numCache>
              </c:numRef>
            </c:minus>
          </c:errBars>
          <c:cat>
            <c:strRef>
              <c:f>Sheet1!$M$9:$Q$9</c:f>
              <c:strCache>
                <c:ptCount val="5"/>
                <c:pt idx="0">
                  <c:v>Control</c:v>
                </c:pt>
                <c:pt idx="1">
                  <c:v>0.01% DMSO</c:v>
                </c:pt>
                <c:pt idx="2">
                  <c:v>10⁻⁹ M DES</c:v>
                </c:pt>
                <c:pt idx="3">
                  <c:v>10⁻⁷ M DES</c:v>
                </c:pt>
                <c:pt idx="4">
                  <c:v>10⁻⁵ M DES</c:v>
                </c:pt>
              </c:strCache>
            </c:strRef>
          </c:cat>
          <c:val>
            <c:numRef>
              <c:f>Sheet1!$M$10:$Q$10</c:f>
              <c:numCache>
                <c:formatCode>General</c:formatCode>
                <c:ptCount val="5"/>
                <c:pt idx="0">
                  <c:v>94.450934066666662</c:v>
                </c:pt>
                <c:pt idx="1">
                  <c:v>69.79072446666666</c:v>
                </c:pt>
                <c:pt idx="2">
                  <c:v>85.993430466666666</c:v>
                </c:pt>
                <c:pt idx="3">
                  <c:v>95.381335399999998</c:v>
                </c:pt>
                <c:pt idx="4">
                  <c:v>84.264754533333345</c:v>
                </c:pt>
              </c:numCache>
            </c:numRef>
          </c:val>
          <c:extLst>
            <c:ext xmlns:c16="http://schemas.microsoft.com/office/drawing/2014/chart" uri="{C3380CC4-5D6E-409C-BE32-E72D297353CC}">
              <c16:uniqueId val="{00000000-057F-45F0-80D4-5F7EB3649377}"/>
            </c:ext>
          </c:extLst>
        </c:ser>
        <c:dLbls>
          <c:showLegendKey val="0"/>
          <c:showVal val="0"/>
          <c:showCatName val="0"/>
          <c:showSerName val="0"/>
          <c:showPercent val="0"/>
          <c:showBubbleSize val="0"/>
        </c:dLbls>
        <c:gapWidth val="150"/>
        <c:axId val="90973696"/>
        <c:axId val="78362240"/>
      </c:barChart>
      <c:catAx>
        <c:axId val="90973696"/>
        <c:scaling>
          <c:orientation val="minMax"/>
        </c:scaling>
        <c:delete val="0"/>
        <c:axPos val="b"/>
        <c:numFmt formatCode="General" sourceLinked="1"/>
        <c:majorTickMark val="none"/>
        <c:minorTickMark val="none"/>
        <c:tickLblPos val="nextTo"/>
        <c:spPr>
          <a:ln>
            <a:solidFill>
              <a:sysClr val="windowText" lastClr="000000"/>
            </a:solidFill>
          </a:ln>
        </c:spPr>
        <c:txPr>
          <a:bodyPr/>
          <a:lstStyle/>
          <a:p>
            <a:pPr>
              <a:defRPr sz="800"/>
            </a:pPr>
            <a:endParaRPr lang="en-US"/>
          </a:p>
        </c:txPr>
        <c:crossAx val="78362240"/>
        <c:crosses val="autoZero"/>
        <c:auto val="1"/>
        <c:lblAlgn val="ctr"/>
        <c:lblOffset val="100"/>
        <c:noMultiLvlLbl val="0"/>
      </c:catAx>
      <c:valAx>
        <c:axId val="78362240"/>
        <c:scaling>
          <c:orientation val="minMax"/>
        </c:scaling>
        <c:delete val="0"/>
        <c:axPos val="l"/>
        <c:title>
          <c:tx>
            <c:rich>
              <a:bodyPr rot="-5400000" vert="horz"/>
              <a:lstStyle/>
              <a:p>
                <a:pPr>
                  <a:defRPr/>
                </a:pPr>
                <a:r>
                  <a:rPr lang="nl-NL"/>
                  <a:t>E2 (pg/mL)</a:t>
                </a:r>
              </a:p>
            </c:rich>
          </c:tx>
          <c:overlay val="0"/>
        </c:title>
        <c:numFmt formatCode="General" sourceLinked="1"/>
        <c:majorTickMark val="out"/>
        <c:minorTickMark val="none"/>
        <c:tickLblPos val="nextTo"/>
        <c:crossAx val="90973696"/>
        <c:crosses val="autoZero"/>
        <c:crossBetween val="between"/>
      </c:valAx>
      <c:spPr>
        <a:noFill/>
      </c:spPr>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8611614408414001"/>
          <c:y val="0.10447723562113791"/>
          <c:w val="0.67499487295270888"/>
          <c:h val="0.72398743464153592"/>
        </c:manualLayout>
      </c:layout>
      <c:barChart>
        <c:barDir val="col"/>
        <c:grouping val="clustered"/>
        <c:varyColors val="0"/>
        <c:ser>
          <c:idx val="0"/>
          <c:order val="0"/>
          <c:spPr>
            <a:solidFill>
              <a:schemeClr val="accent3"/>
            </a:solidFill>
            <a:ln>
              <a:noFill/>
            </a:ln>
            <a:effectLst/>
          </c:spPr>
          <c:invertIfNegative val="0"/>
          <c:errBars>
            <c:errBarType val="both"/>
            <c:errValType val="cust"/>
            <c:noEndCap val="0"/>
            <c:plus>
              <c:numRef>
                <c:f>SDATA11!$K$10:$O$10</c:f>
                <c:numCache>
                  <c:formatCode>General</c:formatCode>
                  <c:ptCount val="5"/>
                  <c:pt idx="0">
                    <c:v>1.1566742085104749</c:v>
                  </c:pt>
                  <c:pt idx="1">
                    <c:v>1.0659380793617113</c:v>
                  </c:pt>
                  <c:pt idx="2">
                    <c:v>0.71589904623487288</c:v>
                  </c:pt>
                  <c:pt idx="3">
                    <c:v>0.93282230978538105</c:v>
                  </c:pt>
                  <c:pt idx="4">
                    <c:v>5.7117206419898698</c:v>
                  </c:pt>
                </c:numCache>
              </c:numRef>
            </c:plus>
            <c:minus>
              <c:numRef>
                <c:f>SDATA11!$K$10:$O$10</c:f>
                <c:numCache>
                  <c:formatCode>General</c:formatCode>
                  <c:ptCount val="5"/>
                  <c:pt idx="0">
                    <c:v>1.1566742085104749</c:v>
                  </c:pt>
                  <c:pt idx="1">
                    <c:v>1.0659380793617113</c:v>
                  </c:pt>
                  <c:pt idx="2">
                    <c:v>0.71589904623487288</c:v>
                  </c:pt>
                  <c:pt idx="3">
                    <c:v>0.93282230978538105</c:v>
                  </c:pt>
                  <c:pt idx="4">
                    <c:v>5.7117206419898698</c:v>
                  </c:pt>
                </c:numCache>
              </c:numRef>
            </c:minus>
            <c:spPr>
              <a:solidFill>
                <a:schemeClr val="tx1"/>
              </a:solidFill>
              <a:ln w="6350" cap="flat" cmpd="sng" algn="ctr">
                <a:solidFill>
                  <a:schemeClr val="tx1"/>
                </a:solidFill>
                <a:prstDash val="solid"/>
                <a:round/>
              </a:ln>
              <a:effectLst/>
            </c:spPr>
          </c:errBars>
          <c:cat>
            <c:strRef>
              <c:f>SDATA11!$K$8:$O$8</c:f>
              <c:strCache>
                <c:ptCount val="5"/>
                <c:pt idx="0">
                  <c:v>Control</c:v>
                </c:pt>
                <c:pt idx="1">
                  <c:v>0.01% DMSO</c:v>
                </c:pt>
                <c:pt idx="2">
                  <c:v>10⁻⁹ M DES</c:v>
                </c:pt>
                <c:pt idx="3">
                  <c:v>10⁻⁷ M DES</c:v>
                </c:pt>
                <c:pt idx="4">
                  <c:v>10⁻⁵ M DES</c:v>
                </c:pt>
              </c:strCache>
            </c:strRef>
          </c:cat>
          <c:val>
            <c:numRef>
              <c:f>SDATA11!$K$9:$O$9</c:f>
              <c:numCache>
                <c:formatCode>General</c:formatCode>
                <c:ptCount val="5"/>
                <c:pt idx="0">
                  <c:v>9.7805866666666663</c:v>
                </c:pt>
                <c:pt idx="1">
                  <c:v>9.5381433333333323</c:v>
                </c:pt>
                <c:pt idx="2">
                  <c:v>10.11828</c:v>
                </c:pt>
                <c:pt idx="3">
                  <c:v>10.286986666666666</c:v>
                </c:pt>
                <c:pt idx="4">
                  <c:v>21.487566666666666</c:v>
                </c:pt>
              </c:numCache>
            </c:numRef>
          </c:val>
          <c:extLst>
            <c:ext xmlns:c16="http://schemas.microsoft.com/office/drawing/2014/chart" uri="{C3380CC4-5D6E-409C-BE32-E72D297353CC}">
              <c16:uniqueId val="{00000000-E185-44E0-9B5F-1368797676DB}"/>
            </c:ext>
          </c:extLst>
        </c:ser>
        <c:dLbls>
          <c:showLegendKey val="0"/>
          <c:showVal val="0"/>
          <c:showCatName val="0"/>
          <c:showSerName val="0"/>
          <c:showPercent val="0"/>
          <c:showBubbleSize val="0"/>
        </c:dLbls>
        <c:gapWidth val="150"/>
        <c:axId val="78227456"/>
        <c:axId val="77949760"/>
      </c:barChart>
      <c:catAx>
        <c:axId val="78227456"/>
        <c:scaling>
          <c:orientation val="minMax"/>
        </c:scaling>
        <c:delete val="0"/>
        <c:axPos val="b"/>
        <c:numFmt formatCode="General" sourceLinked="1"/>
        <c:majorTickMark val="none"/>
        <c:minorTickMark val="none"/>
        <c:tickLblPos val="nextTo"/>
        <c:spPr>
          <a:noFill/>
          <a:ln w="6350" cap="flat" cmpd="sng" algn="ctr">
            <a:solidFill>
              <a:schemeClr val="tx1"/>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77949760"/>
        <c:crosses val="autoZero"/>
        <c:auto val="1"/>
        <c:lblAlgn val="ctr"/>
        <c:lblOffset val="100"/>
        <c:noMultiLvlLbl val="0"/>
      </c:catAx>
      <c:valAx>
        <c:axId val="77949760"/>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P4 (ng/mL)</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w="6350" cap="flat" cmpd="sng" algn="ctr">
            <a:solidFill>
              <a:schemeClr val="tx1"/>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78227456"/>
        <c:crosses val="autoZero"/>
        <c:crossBetween val="between"/>
      </c:valAx>
      <c:spPr>
        <a:solidFill>
          <a:schemeClr val="bg1"/>
        </a:solidFill>
        <a:ln>
          <a:noFill/>
        </a:ln>
        <a:effectLst/>
      </c:spPr>
    </c:plotArea>
    <c:plotVisOnly val="1"/>
    <c:dispBlanksAs val="gap"/>
    <c:showDLblsOverMax val="0"/>
  </c:chart>
  <c:spPr>
    <a:solidFill>
      <a:schemeClr val="bg1"/>
    </a:solidFill>
    <a:ln w="6350" cap="flat" cmpd="sng" algn="ctr">
      <a:noFill/>
      <a:prstDash val="solid"/>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104">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C8042-D1EC-4E89-9702-08A09DDEC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Asimaki, K. (Konstantina)</dc:creator>
  <cp:keywords/>
  <dc:description/>
  <cp:lastModifiedBy>Asimaki, K. (Konstantina)</cp:lastModifiedBy>
  <cp:revision>6</cp:revision>
  <dcterms:created xsi:type="dcterms:W3CDTF">2022-03-29T13:19:00Z</dcterms:created>
  <dcterms:modified xsi:type="dcterms:W3CDTF">2022-04-22T09:18:00Z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f8b7d38d-dbd7-3a25-9284-b10501739fe4</vt:lpwstr>
  </property>
  <property fmtid="{D5CDD505-2E9C-101B-9397-08002B2CF9AE}" pid="24" name="Mendeley Citation Style_1">
    <vt:lpwstr>http://www.zotero.org/styles/apa</vt:lpwstr>
  </property>
</Properties>
</file>