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9B796" w14:textId="0BD76218" w:rsidR="000278EF" w:rsidRDefault="000278EF">
      <w:pPr>
        <w:rPr>
          <w:rFonts w:ascii="Arial" w:hAnsi="Arial" w:cs="Arial"/>
          <w:b/>
          <w:bCs/>
          <w:noProof/>
          <w:color w:val="000000"/>
        </w:rPr>
      </w:pPr>
      <w:r>
        <w:rPr>
          <w:rFonts w:ascii="Arial" w:hAnsi="Arial" w:cs="Arial"/>
          <w:b/>
          <w:bCs/>
          <w:noProof/>
          <w:color w:val="000000"/>
        </w:rPr>
        <w:drawing>
          <wp:inline distT="0" distB="0" distL="0" distR="0" wp14:anchorId="60DAF045" wp14:editId="69979AEC">
            <wp:extent cx="6324271" cy="2137144"/>
            <wp:effectExtent l="0" t="0" r="63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ic diagram_supplFig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24271" cy="2137144"/>
                    </a:xfrm>
                    <a:prstGeom prst="rect">
                      <a:avLst/>
                    </a:prstGeom>
                  </pic:spPr>
                </pic:pic>
              </a:graphicData>
            </a:graphic>
          </wp:inline>
        </w:drawing>
      </w:r>
    </w:p>
    <w:p w14:paraId="63CE6A45" w14:textId="77777777" w:rsidR="000278EF" w:rsidRPr="000278EF" w:rsidRDefault="000278EF" w:rsidP="000278EF">
      <w:pPr>
        <w:rPr>
          <w:rFonts w:ascii="Arial" w:hAnsi="Arial" w:cs="Arial"/>
          <w:b/>
          <w:bCs/>
          <w:noProof/>
          <w:color w:val="000000"/>
        </w:rPr>
      </w:pPr>
      <w:r w:rsidRPr="001F77B9">
        <w:rPr>
          <w:rFonts w:ascii="Arial" w:hAnsi="Arial" w:cs="Arial"/>
          <w:b/>
          <w:bCs/>
          <w:noProof/>
          <w:color w:val="000000"/>
          <w:lang w:val="en-GB"/>
        </w:rPr>
        <w:t>Supplementary Figure 1: Diagram of the system for multiphoton microscopy.</w:t>
      </w:r>
    </w:p>
    <w:p w14:paraId="00CFB7B4" w14:textId="77777777" w:rsidR="000278EF" w:rsidRPr="000278EF" w:rsidRDefault="000278EF" w:rsidP="000278EF">
      <w:pPr>
        <w:jc w:val="both"/>
        <w:rPr>
          <w:rFonts w:ascii="Arial" w:hAnsi="Arial" w:cs="Arial"/>
          <w:bCs/>
          <w:noProof/>
          <w:color w:val="000000"/>
        </w:rPr>
      </w:pPr>
      <w:r w:rsidRPr="001F77B9">
        <w:rPr>
          <w:rFonts w:ascii="Arial" w:hAnsi="Arial" w:cs="Arial"/>
          <w:bCs/>
          <w:noProof/>
          <w:color w:val="000000"/>
          <w:lang w:val="en-GB"/>
        </w:rPr>
        <w:t xml:space="preserve">(A) Diagram of the whole system, consisting of pump and Stokes pulsed lasers with emission at 780 nm and 1005 nm respectively, delay line to overlap the pulses in the time domain and dichroic mirror (DM) acting as beam combiner. Reflective mirrors (RM) are used for beam steering and two lenses (L) are used to recollimate the beams in order to obtain the correct beam diameter the entrance of the laser scanning module (LSM) of the multiphoton microscope. A shutter enables laser emission only during the measurement to guarantee the operator safety. </w:t>
      </w:r>
    </w:p>
    <w:p w14:paraId="3BC737AD" w14:textId="77777777" w:rsidR="000278EF" w:rsidRPr="000278EF" w:rsidRDefault="000278EF" w:rsidP="000278EF">
      <w:pPr>
        <w:jc w:val="both"/>
        <w:rPr>
          <w:rFonts w:ascii="Arial" w:hAnsi="Arial" w:cs="Arial"/>
          <w:bCs/>
          <w:noProof/>
          <w:color w:val="000000"/>
        </w:rPr>
      </w:pPr>
      <w:r w:rsidRPr="001F77B9">
        <w:rPr>
          <w:rFonts w:ascii="Arial" w:hAnsi="Arial" w:cs="Arial"/>
          <w:bCs/>
          <w:noProof/>
          <w:color w:val="000000"/>
          <w:lang w:val="en-GB"/>
        </w:rPr>
        <w:t xml:space="preserve">(B) Diagram of the multiphon microscope, with the laser scanning system (LSM) for beam rastering and reflecting mirrors (RM) to bring the laser beam to the sample. The TPEF signal is acqured in reflection configuration, being reflected towords the reflection non-descanned detection unit (NDD-R) by a dichroic mirror (DM). CARS and SHG signals are preferentially emitted in forword direction and are therefore acquired in transmission configuration by a two-channel non-descanned detection unit (NDD-T). Short-pass filters (SP) prevent the backscattered and forward transmitted laser radiation from entering the detection units.  </w:t>
      </w:r>
    </w:p>
    <w:p w14:paraId="64AFC608" w14:textId="1E18EADD" w:rsidR="000278EF" w:rsidRPr="000278EF" w:rsidRDefault="000278EF" w:rsidP="000278EF">
      <w:pPr>
        <w:jc w:val="both"/>
        <w:rPr>
          <w:rFonts w:ascii="Arial" w:hAnsi="Arial" w:cs="Arial"/>
          <w:bCs/>
          <w:noProof/>
          <w:color w:val="000000"/>
        </w:rPr>
      </w:pPr>
      <w:r w:rsidRPr="001F77B9">
        <w:rPr>
          <w:rFonts w:ascii="Arial" w:hAnsi="Arial" w:cs="Arial"/>
          <w:bCs/>
          <w:noProof/>
          <w:color w:val="000000"/>
          <w:lang w:val="en-GB"/>
        </w:rPr>
        <w:t xml:space="preserve">(C) Diagram of the two-channel non-descanned detection unit (NDD-T) for CARS and SHG detection, consisting in two filter cubes with a dichroic (DM) or reflecting mirror (RF) and band-pass filters (BP) to split CARS and SHG signals exploiting the different wavelength, and two photomultiplier tubes (PMT) for signal acquisition. </w:t>
      </w:r>
    </w:p>
    <w:p w14:paraId="464D1293" w14:textId="77777777" w:rsidR="000278EF" w:rsidRPr="000278EF" w:rsidRDefault="000278EF" w:rsidP="000278EF">
      <w:pPr>
        <w:rPr>
          <w:rFonts w:ascii="Arial" w:hAnsi="Arial" w:cs="Arial"/>
          <w:b/>
          <w:bCs/>
          <w:noProof/>
          <w:color w:val="000000"/>
        </w:rPr>
      </w:pPr>
      <w:r w:rsidRPr="001F77B9">
        <w:rPr>
          <w:rFonts w:ascii="Arial" w:hAnsi="Arial" w:cs="Arial"/>
          <w:b/>
          <w:bCs/>
          <w:noProof/>
          <w:color w:val="000000"/>
          <w:lang w:val="en-GB"/>
        </w:rPr>
        <w:t xml:space="preserve">  </w:t>
      </w:r>
    </w:p>
    <w:p w14:paraId="4D1A5DC9" w14:textId="77777777" w:rsidR="000278EF" w:rsidRDefault="000278EF">
      <w:pPr>
        <w:rPr>
          <w:rFonts w:ascii="Arial" w:hAnsi="Arial" w:cs="Arial"/>
          <w:b/>
          <w:bCs/>
          <w:noProof/>
          <w:color w:val="000000"/>
        </w:rPr>
      </w:pPr>
    </w:p>
    <w:p w14:paraId="76C45029" w14:textId="7F376DDF" w:rsidR="000278EF" w:rsidRDefault="000278EF">
      <w:pPr>
        <w:rPr>
          <w:rFonts w:ascii="Arial" w:hAnsi="Arial" w:cs="Arial"/>
          <w:b/>
          <w:bCs/>
          <w:noProof/>
          <w:color w:val="000000"/>
        </w:rPr>
      </w:pPr>
      <w:r>
        <w:rPr>
          <w:rFonts w:ascii="Arial" w:hAnsi="Arial" w:cs="Arial"/>
          <w:b/>
          <w:bCs/>
          <w:noProof/>
          <w:color w:val="000000"/>
        </w:rPr>
        <w:br w:type="page"/>
      </w:r>
    </w:p>
    <w:p w14:paraId="0C7EF8C1" w14:textId="77777777" w:rsidR="00D47626" w:rsidRDefault="00D47626" w:rsidP="00DB0074">
      <w:pPr>
        <w:autoSpaceDE w:val="0"/>
        <w:autoSpaceDN w:val="0"/>
        <w:adjustRightInd w:val="0"/>
        <w:spacing w:after="0" w:line="240" w:lineRule="auto"/>
        <w:rPr>
          <w:rFonts w:ascii="Arial" w:hAnsi="Arial" w:cs="Arial"/>
          <w:b/>
          <w:bCs/>
          <w:noProof/>
          <w:color w:val="000000"/>
        </w:rPr>
      </w:pPr>
    </w:p>
    <w:p w14:paraId="3C90A63D" w14:textId="7B80C496" w:rsidR="00BB44F4" w:rsidRDefault="00BB44F4" w:rsidP="00DB0074">
      <w:pPr>
        <w:autoSpaceDE w:val="0"/>
        <w:autoSpaceDN w:val="0"/>
        <w:adjustRightInd w:val="0"/>
        <w:spacing w:after="0" w:line="240" w:lineRule="auto"/>
        <w:rPr>
          <w:rFonts w:ascii="Arial" w:hAnsi="Arial" w:cs="Arial"/>
          <w:b/>
          <w:bCs/>
          <w:noProof/>
          <w:color w:val="000000"/>
        </w:rPr>
      </w:pPr>
      <w:r>
        <w:rPr>
          <w:rFonts w:ascii="Arial" w:hAnsi="Arial" w:cs="Arial"/>
          <w:b/>
          <w:bCs/>
          <w:noProof/>
          <w:color w:val="000000"/>
        </w:rPr>
        <w:drawing>
          <wp:inline distT="0" distB="0" distL="0" distR="0" wp14:anchorId="6B9F91BC" wp14:editId="7D958AC3">
            <wp:extent cx="5913474" cy="440822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5169"/>
                    <a:stretch/>
                  </pic:blipFill>
                  <pic:spPr bwMode="auto">
                    <a:xfrm>
                      <a:off x="0" y="0"/>
                      <a:ext cx="5913514" cy="4408257"/>
                    </a:xfrm>
                    <a:prstGeom prst="rect">
                      <a:avLst/>
                    </a:prstGeom>
                    <a:noFill/>
                    <a:ln>
                      <a:noFill/>
                    </a:ln>
                    <a:extLst>
                      <a:ext uri="{53640926-AAD7-44D8-BBD7-CCE9431645EC}">
                        <a14:shadowObscured xmlns:a14="http://schemas.microsoft.com/office/drawing/2010/main"/>
                      </a:ext>
                    </a:extLst>
                  </pic:spPr>
                </pic:pic>
              </a:graphicData>
            </a:graphic>
          </wp:inline>
        </w:drawing>
      </w:r>
    </w:p>
    <w:p w14:paraId="16029FF0" w14:textId="77777777" w:rsidR="008F543B" w:rsidRPr="00DB0074" w:rsidRDefault="008F543B" w:rsidP="00DB0074">
      <w:pPr>
        <w:autoSpaceDE w:val="0"/>
        <w:autoSpaceDN w:val="0"/>
        <w:adjustRightInd w:val="0"/>
        <w:spacing w:after="0" w:line="240" w:lineRule="auto"/>
        <w:rPr>
          <w:rFonts w:ascii="Arial" w:hAnsi="Arial" w:cs="Arial"/>
          <w:b/>
          <w:bCs/>
          <w:noProof/>
          <w:color w:val="000000"/>
        </w:rPr>
      </w:pPr>
    </w:p>
    <w:p w14:paraId="64442A61" w14:textId="2AF00E86" w:rsidR="00D47626" w:rsidRPr="00DB0074" w:rsidRDefault="00D47626" w:rsidP="00DB0074">
      <w:pPr>
        <w:autoSpaceDE w:val="0"/>
        <w:autoSpaceDN w:val="0"/>
        <w:adjustRightInd w:val="0"/>
        <w:spacing w:after="120" w:line="240" w:lineRule="auto"/>
        <w:jc w:val="both"/>
        <w:rPr>
          <w:rFonts w:ascii="Arial" w:hAnsi="Arial" w:cs="Arial"/>
          <w:b/>
          <w:bCs/>
          <w:noProof/>
          <w:color w:val="000000"/>
        </w:rPr>
      </w:pPr>
      <w:r w:rsidRPr="00DB0074">
        <w:rPr>
          <w:rFonts w:ascii="Arial" w:hAnsi="Arial" w:cs="Arial"/>
          <w:b/>
          <w:bCs/>
          <w:noProof/>
          <w:color w:val="000000"/>
        </w:rPr>
        <w:t xml:space="preserve">Supplementary Figure </w:t>
      </w:r>
      <w:r w:rsidR="005B6CF9">
        <w:rPr>
          <w:rFonts w:ascii="Arial" w:hAnsi="Arial" w:cs="Arial"/>
          <w:b/>
          <w:bCs/>
          <w:noProof/>
          <w:color w:val="000000"/>
        </w:rPr>
        <w:t>2</w:t>
      </w:r>
      <w:r w:rsidR="00C661F5" w:rsidRPr="00DB0074">
        <w:rPr>
          <w:rFonts w:ascii="Arial" w:hAnsi="Arial" w:cs="Arial"/>
          <w:b/>
          <w:bCs/>
          <w:noProof/>
          <w:color w:val="000000"/>
        </w:rPr>
        <w:t xml:space="preserve">. </w:t>
      </w:r>
      <w:r w:rsidR="005C2F29" w:rsidRPr="00DB0074">
        <w:rPr>
          <w:rFonts w:ascii="Arial" w:hAnsi="Arial" w:cs="Arial"/>
          <w:b/>
          <w:bCs/>
          <w:noProof/>
          <w:color w:val="000000"/>
        </w:rPr>
        <w:t>Uninjured arm</w:t>
      </w:r>
    </w:p>
    <w:p w14:paraId="01C44936" w14:textId="70920D63" w:rsidR="005C2F29" w:rsidRPr="00DB0074" w:rsidRDefault="005C2F29" w:rsidP="00B23E93">
      <w:pPr>
        <w:autoSpaceDE w:val="0"/>
        <w:autoSpaceDN w:val="0"/>
        <w:adjustRightInd w:val="0"/>
        <w:spacing w:after="0" w:line="240" w:lineRule="auto"/>
        <w:jc w:val="both"/>
        <w:rPr>
          <w:rFonts w:ascii="Arial" w:hAnsi="Arial" w:cs="Arial"/>
          <w:bCs/>
          <w:noProof/>
          <w:color w:val="000000"/>
        </w:rPr>
      </w:pPr>
      <w:r w:rsidRPr="00DB0074">
        <w:rPr>
          <w:rFonts w:ascii="Arial" w:hAnsi="Arial" w:cs="Arial"/>
          <w:bCs/>
          <w:noProof/>
          <w:color w:val="000000"/>
        </w:rPr>
        <w:t xml:space="preserve">(A) Schematic drawing of </w:t>
      </w:r>
      <w:r w:rsidR="00FA1A17" w:rsidRPr="00FA1A17">
        <w:rPr>
          <w:rFonts w:ascii="Arial" w:hAnsi="Arial" w:cs="Arial"/>
          <w:bCs/>
          <w:i/>
          <w:iCs/>
          <w:noProof/>
          <w:color w:val="000000"/>
        </w:rPr>
        <w:t>O. vulgaris</w:t>
      </w:r>
      <w:r w:rsidR="00FA1A17">
        <w:rPr>
          <w:rFonts w:ascii="Arial" w:hAnsi="Arial" w:cs="Arial"/>
          <w:bCs/>
          <w:noProof/>
          <w:color w:val="000000"/>
        </w:rPr>
        <w:t xml:space="preserve"> </w:t>
      </w:r>
      <w:r w:rsidRPr="00DB0074">
        <w:rPr>
          <w:rFonts w:ascii="Arial" w:hAnsi="Arial" w:cs="Arial"/>
          <w:bCs/>
          <w:noProof/>
          <w:color w:val="000000"/>
        </w:rPr>
        <w:t>arm morphology (top) and SHG imaging (bottom) of transverse section.</w:t>
      </w:r>
    </w:p>
    <w:p w14:paraId="7DF9F920" w14:textId="77777777" w:rsidR="005C2F29" w:rsidRPr="00DB0074" w:rsidRDefault="005C2F29" w:rsidP="00B23E93">
      <w:pPr>
        <w:autoSpaceDE w:val="0"/>
        <w:autoSpaceDN w:val="0"/>
        <w:adjustRightInd w:val="0"/>
        <w:spacing w:after="0" w:line="240" w:lineRule="auto"/>
        <w:jc w:val="both"/>
        <w:rPr>
          <w:rFonts w:ascii="Arial" w:hAnsi="Arial" w:cs="Arial"/>
          <w:bCs/>
          <w:noProof/>
          <w:color w:val="000000"/>
        </w:rPr>
      </w:pPr>
      <w:r w:rsidRPr="00DB0074">
        <w:rPr>
          <w:rFonts w:ascii="Arial" w:hAnsi="Arial" w:cs="Arial"/>
          <w:bCs/>
          <w:noProof/>
          <w:color w:val="000000"/>
        </w:rPr>
        <w:t xml:space="preserve">(B) Multiphoton microscopy image of an arm transverse section showing muscle layers of the intrinsic musculature of the arm (CARS) and the connective tissue sheaths enveloping them (SHG). </w:t>
      </w:r>
    </w:p>
    <w:p w14:paraId="0A8EDB74" w14:textId="41FCB140" w:rsidR="00063765" w:rsidRPr="00DB0074" w:rsidRDefault="005C2F29" w:rsidP="00B23E93">
      <w:pPr>
        <w:autoSpaceDE w:val="0"/>
        <w:autoSpaceDN w:val="0"/>
        <w:adjustRightInd w:val="0"/>
        <w:spacing w:after="0" w:line="240" w:lineRule="auto"/>
        <w:jc w:val="both"/>
        <w:rPr>
          <w:rFonts w:ascii="Arial" w:hAnsi="Arial" w:cs="Arial"/>
          <w:bCs/>
          <w:noProof/>
          <w:color w:val="000000"/>
        </w:rPr>
      </w:pPr>
      <w:r w:rsidRPr="00DB0074">
        <w:rPr>
          <w:rFonts w:ascii="Arial" w:hAnsi="Arial" w:cs="Arial"/>
          <w:bCs/>
          <w:noProof/>
          <w:color w:val="000000"/>
        </w:rPr>
        <w:t xml:space="preserve">(C) Enlargement of the axial nerve cord </w:t>
      </w:r>
      <w:r w:rsidR="00063765" w:rsidRPr="00DB0074">
        <w:rPr>
          <w:rFonts w:ascii="Arial" w:hAnsi="Arial" w:cs="Arial"/>
          <w:bCs/>
          <w:noProof/>
          <w:color w:val="000000"/>
        </w:rPr>
        <w:t>as</w:t>
      </w:r>
      <w:r w:rsidRPr="00DB0074">
        <w:rPr>
          <w:rFonts w:ascii="Arial" w:hAnsi="Arial" w:cs="Arial"/>
          <w:bCs/>
          <w:noProof/>
          <w:color w:val="000000"/>
        </w:rPr>
        <w:t xml:space="preserve"> multimodal </w:t>
      </w:r>
      <w:r w:rsidR="00063765" w:rsidRPr="00DB0074">
        <w:rPr>
          <w:rFonts w:ascii="Arial" w:hAnsi="Arial" w:cs="Arial"/>
          <w:bCs/>
          <w:noProof/>
          <w:color w:val="000000"/>
        </w:rPr>
        <w:t xml:space="preserve">image </w:t>
      </w:r>
      <w:r w:rsidRPr="00DB0074">
        <w:rPr>
          <w:rFonts w:ascii="Arial" w:hAnsi="Arial" w:cs="Arial"/>
          <w:bCs/>
          <w:noProof/>
          <w:color w:val="000000"/>
        </w:rPr>
        <w:t xml:space="preserve">(top) and single channel </w:t>
      </w:r>
      <w:r w:rsidR="00063765" w:rsidRPr="00DB0074">
        <w:rPr>
          <w:rFonts w:ascii="Arial" w:hAnsi="Arial" w:cs="Arial"/>
          <w:bCs/>
          <w:noProof/>
          <w:color w:val="000000"/>
        </w:rPr>
        <w:t xml:space="preserve">(CARS and TPEF) </w:t>
      </w:r>
      <w:r w:rsidRPr="00DB0074">
        <w:rPr>
          <w:rFonts w:ascii="Arial" w:hAnsi="Arial" w:cs="Arial"/>
          <w:bCs/>
          <w:noProof/>
          <w:color w:val="000000"/>
        </w:rPr>
        <w:t>allows identification of axonal tract and brachial ganglion</w:t>
      </w:r>
      <w:r w:rsidR="00063765" w:rsidRPr="00DB0074">
        <w:rPr>
          <w:rFonts w:ascii="Arial" w:hAnsi="Arial" w:cs="Arial"/>
          <w:bCs/>
          <w:noProof/>
          <w:color w:val="000000"/>
        </w:rPr>
        <w:t xml:space="preserve">, the latter composed of an </w:t>
      </w:r>
      <w:r w:rsidRPr="00DB0074">
        <w:rPr>
          <w:rFonts w:ascii="Arial" w:hAnsi="Arial" w:cs="Arial"/>
          <w:bCs/>
          <w:noProof/>
          <w:color w:val="000000"/>
        </w:rPr>
        <w:t xml:space="preserve">outer cellular layer </w:t>
      </w:r>
      <w:r w:rsidR="00063765" w:rsidRPr="00DB0074">
        <w:rPr>
          <w:rFonts w:ascii="Arial" w:hAnsi="Arial" w:cs="Arial"/>
          <w:bCs/>
          <w:noProof/>
          <w:color w:val="000000"/>
        </w:rPr>
        <w:t>and a central neuropil</w:t>
      </w:r>
      <w:r w:rsidRPr="00DB0074">
        <w:rPr>
          <w:rFonts w:ascii="Arial" w:hAnsi="Arial" w:cs="Arial"/>
          <w:bCs/>
          <w:noProof/>
          <w:color w:val="000000"/>
        </w:rPr>
        <w:t xml:space="preserve">. </w:t>
      </w:r>
    </w:p>
    <w:p w14:paraId="7742D070" w14:textId="6A12F0C5" w:rsidR="005C2F29" w:rsidRPr="00DB0074" w:rsidRDefault="00063765" w:rsidP="00B23E93">
      <w:pPr>
        <w:autoSpaceDE w:val="0"/>
        <w:autoSpaceDN w:val="0"/>
        <w:adjustRightInd w:val="0"/>
        <w:spacing w:after="120" w:line="240" w:lineRule="auto"/>
        <w:jc w:val="both"/>
        <w:rPr>
          <w:rFonts w:ascii="Arial" w:hAnsi="Arial" w:cs="Arial"/>
          <w:b/>
          <w:bCs/>
          <w:noProof/>
          <w:color w:val="000000"/>
        </w:rPr>
      </w:pPr>
      <w:r w:rsidRPr="00DB0074">
        <w:rPr>
          <w:rFonts w:ascii="Arial" w:hAnsi="Arial" w:cs="Arial"/>
          <w:bCs/>
          <w:noProof/>
          <w:color w:val="000000"/>
        </w:rPr>
        <w:t xml:space="preserve">(D) The same slice underwent IHC protocol with TubAc antibody and </w:t>
      </w:r>
      <w:r w:rsidR="005C2F29" w:rsidRPr="00DB0074">
        <w:rPr>
          <w:rFonts w:ascii="Arial" w:hAnsi="Arial" w:cs="Arial"/>
          <w:bCs/>
          <w:noProof/>
          <w:color w:val="000000"/>
        </w:rPr>
        <w:t>DAPI counterstain</w:t>
      </w:r>
      <w:r w:rsidRPr="00DB0074">
        <w:rPr>
          <w:rFonts w:ascii="Arial" w:hAnsi="Arial" w:cs="Arial"/>
          <w:bCs/>
          <w:noProof/>
          <w:color w:val="000000"/>
        </w:rPr>
        <w:t>, detecting fibers in the neuropil and neurons in the cellular layer (asterisk).</w:t>
      </w:r>
    </w:p>
    <w:p w14:paraId="112ED134" w14:textId="37C0B73F" w:rsidR="00E60A2C" w:rsidRPr="00DB0074" w:rsidRDefault="00E60A2C" w:rsidP="00B23E93">
      <w:pPr>
        <w:autoSpaceDE w:val="0"/>
        <w:autoSpaceDN w:val="0"/>
        <w:adjustRightInd w:val="0"/>
        <w:spacing w:after="120" w:line="240" w:lineRule="auto"/>
        <w:jc w:val="both"/>
        <w:rPr>
          <w:rFonts w:ascii="Arial" w:hAnsi="Arial" w:cs="Arial"/>
          <w:noProof/>
          <w:color w:val="000000"/>
        </w:rPr>
      </w:pPr>
      <w:r w:rsidRPr="00DB0074">
        <w:rPr>
          <w:rFonts w:ascii="Arial" w:hAnsi="Arial" w:cs="Arial"/>
          <w:b/>
          <w:bCs/>
          <w:noProof/>
          <w:color w:val="000000"/>
        </w:rPr>
        <w:t>Scale bars:</w:t>
      </w:r>
      <w:r w:rsidRPr="00DB0074">
        <w:rPr>
          <w:rFonts w:ascii="Arial" w:hAnsi="Arial" w:cs="Arial"/>
          <w:noProof/>
          <w:color w:val="000000"/>
        </w:rPr>
        <w:t xml:space="preserve"> 500 µm in </w:t>
      </w:r>
      <w:r w:rsidR="00381937" w:rsidRPr="00DB0074">
        <w:rPr>
          <w:rFonts w:ascii="Arial" w:hAnsi="Arial" w:cs="Arial"/>
          <w:noProof/>
          <w:color w:val="000000"/>
        </w:rPr>
        <w:t>A (SHG) and B,</w:t>
      </w:r>
      <w:r w:rsidRPr="00DB0074">
        <w:rPr>
          <w:rFonts w:ascii="Arial" w:hAnsi="Arial" w:cs="Arial"/>
          <w:noProof/>
          <w:color w:val="000000"/>
        </w:rPr>
        <w:t xml:space="preserve"> </w:t>
      </w:r>
      <w:r w:rsidR="00381937" w:rsidRPr="00DB0074">
        <w:rPr>
          <w:rFonts w:ascii="Arial" w:hAnsi="Arial" w:cs="Arial"/>
          <w:noProof/>
          <w:color w:val="000000"/>
        </w:rPr>
        <w:t>2</w:t>
      </w:r>
      <w:r w:rsidRPr="00DB0074">
        <w:rPr>
          <w:rFonts w:ascii="Arial" w:hAnsi="Arial" w:cs="Arial"/>
          <w:noProof/>
          <w:color w:val="000000"/>
        </w:rPr>
        <w:t>00 µm in C</w:t>
      </w:r>
      <w:r w:rsidR="00381937" w:rsidRPr="00DB0074">
        <w:rPr>
          <w:rFonts w:ascii="Arial" w:hAnsi="Arial" w:cs="Arial"/>
          <w:noProof/>
          <w:color w:val="000000"/>
        </w:rPr>
        <w:t>,</w:t>
      </w:r>
      <w:r w:rsidRPr="00DB0074">
        <w:rPr>
          <w:rFonts w:ascii="Arial" w:hAnsi="Arial" w:cs="Arial"/>
          <w:noProof/>
          <w:color w:val="000000"/>
        </w:rPr>
        <w:t xml:space="preserve"> </w:t>
      </w:r>
      <w:r w:rsidR="00381937" w:rsidRPr="00DB0074">
        <w:rPr>
          <w:rFonts w:ascii="Arial" w:hAnsi="Arial" w:cs="Arial"/>
          <w:noProof/>
          <w:color w:val="000000"/>
        </w:rPr>
        <w:t>10</w:t>
      </w:r>
      <w:r w:rsidRPr="00DB0074">
        <w:rPr>
          <w:rFonts w:ascii="Arial" w:hAnsi="Arial" w:cs="Arial"/>
          <w:noProof/>
          <w:color w:val="000000"/>
        </w:rPr>
        <w:t>0 µm in D.</w:t>
      </w:r>
    </w:p>
    <w:p w14:paraId="4C1C62E6" w14:textId="2E9E25A4" w:rsidR="00E60A2C" w:rsidRPr="00DB0074" w:rsidRDefault="00E60A2C" w:rsidP="00B23E93">
      <w:pPr>
        <w:autoSpaceDE w:val="0"/>
        <w:autoSpaceDN w:val="0"/>
        <w:adjustRightInd w:val="0"/>
        <w:spacing w:after="0" w:line="240" w:lineRule="auto"/>
        <w:jc w:val="both"/>
        <w:rPr>
          <w:rFonts w:ascii="Arial" w:hAnsi="Arial" w:cs="Arial"/>
          <w:noProof/>
          <w:color w:val="000000"/>
        </w:rPr>
      </w:pPr>
      <w:r w:rsidRPr="00DB0074">
        <w:rPr>
          <w:rFonts w:ascii="Arial" w:hAnsi="Arial" w:cs="Arial"/>
          <w:b/>
          <w:bCs/>
          <w:noProof/>
          <w:color w:val="000000"/>
        </w:rPr>
        <w:t xml:space="preserve">Abbreviations: </w:t>
      </w:r>
      <w:r w:rsidRPr="00DB0074">
        <w:rPr>
          <w:rFonts w:ascii="Arial" w:hAnsi="Arial" w:cs="Arial"/>
          <w:noProof/>
          <w:color w:val="000000"/>
        </w:rPr>
        <w:t>at, axonal tract; ba, brachial artery; cl, cellular layer; gs, sucker ganglio</w:t>
      </w:r>
      <w:r w:rsidR="00381937" w:rsidRPr="00DB0074">
        <w:rPr>
          <w:rFonts w:ascii="Arial" w:hAnsi="Arial" w:cs="Arial"/>
          <w:noProof/>
          <w:color w:val="000000"/>
        </w:rPr>
        <w:t>n</w:t>
      </w:r>
      <w:r w:rsidRPr="00DB0074">
        <w:rPr>
          <w:rFonts w:ascii="Arial" w:hAnsi="Arial" w:cs="Arial"/>
          <w:noProof/>
          <w:color w:val="000000"/>
        </w:rPr>
        <w:t xml:space="preserve">; inc, intramusclular nerve cord; </w:t>
      </w:r>
      <w:r w:rsidR="00381937" w:rsidRPr="00DB0074">
        <w:rPr>
          <w:rFonts w:ascii="Arial" w:hAnsi="Arial" w:cs="Arial"/>
          <w:noProof/>
          <w:color w:val="000000"/>
        </w:rPr>
        <w:t xml:space="preserve">lm, longitudinal muscles; np, neuropil; om, oblique muscles; ome, external oblique muscle layer; omi, internal oblique muscle layer; omm, median oblique muscle layer; </w:t>
      </w:r>
      <w:r w:rsidRPr="00DB0074">
        <w:rPr>
          <w:rFonts w:ascii="Arial" w:hAnsi="Arial" w:cs="Arial"/>
          <w:noProof/>
          <w:color w:val="000000"/>
        </w:rPr>
        <w:t>s, sucker</w:t>
      </w:r>
      <w:r w:rsidR="00381937" w:rsidRPr="00DB0074">
        <w:rPr>
          <w:rFonts w:ascii="Arial" w:hAnsi="Arial" w:cs="Arial"/>
          <w:noProof/>
          <w:color w:val="000000"/>
        </w:rPr>
        <w:t>; tm, transverse muscles; tr, trabeculae</w:t>
      </w:r>
      <w:r w:rsidRPr="00DB0074">
        <w:rPr>
          <w:rFonts w:ascii="Arial" w:hAnsi="Arial" w:cs="Arial"/>
          <w:noProof/>
          <w:color w:val="000000"/>
        </w:rPr>
        <w:t>.</w:t>
      </w:r>
    </w:p>
    <w:p w14:paraId="2A19B5AE" w14:textId="375B95C6" w:rsidR="003B504D" w:rsidRPr="00DB0074" w:rsidRDefault="003B504D" w:rsidP="00DB0074">
      <w:pPr>
        <w:spacing w:line="240" w:lineRule="auto"/>
        <w:rPr>
          <w:rFonts w:ascii="Arial" w:hAnsi="Arial" w:cs="Arial"/>
          <w:b/>
          <w:bCs/>
          <w:noProof/>
          <w:color w:val="000000"/>
        </w:rPr>
      </w:pPr>
      <w:r w:rsidRPr="00DB0074">
        <w:rPr>
          <w:rFonts w:ascii="Arial" w:hAnsi="Arial" w:cs="Arial"/>
          <w:b/>
          <w:bCs/>
          <w:noProof/>
          <w:color w:val="000000"/>
        </w:rPr>
        <w:br w:type="page"/>
      </w:r>
    </w:p>
    <w:p w14:paraId="261AC440" w14:textId="77777777" w:rsidR="00BD53C1" w:rsidRPr="00DB0074" w:rsidRDefault="00D47626" w:rsidP="00DB0074">
      <w:pPr>
        <w:spacing w:line="240" w:lineRule="auto"/>
        <w:rPr>
          <w:rFonts w:ascii="Arial" w:hAnsi="Arial" w:cs="Arial"/>
        </w:rPr>
      </w:pPr>
      <w:r w:rsidRPr="00DB0074">
        <w:rPr>
          <w:rFonts w:ascii="Arial" w:hAnsi="Arial" w:cs="Arial"/>
          <w:noProof/>
        </w:rPr>
        <w:lastRenderedPageBreak/>
        <w:drawing>
          <wp:inline distT="0" distB="0" distL="0" distR="0" wp14:anchorId="3641D55E" wp14:editId="16A34B85">
            <wp:extent cx="5943600" cy="62455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 2_Tip whole copy-01.tif"/>
                    <pic:cNvPicPr/>
                  </pic:nvPicPr>
                  <pic:blipFill rotWithShape="1">
                    <a:blip r:embed="rId10" cstate="print">
                      <a:extLst>
                        <a:ext uri="{28A0092B-C50C-407E-A947-70E740481C1C}">
                          <a14:useLocalDpi xmlns:a14="http://schemas.microsoft.com/office/drawing/2010/main" val="0"/>
                        </a:ext>
                      </a:extLst>
                    </a:blip>
                    <a:srcRect b="9915"/>
                    <a:stretch/>
                  </pic:blipFill>
                  <pic:spPr bwMode="auto">
                    <a:xfrm>
                      <a:off x="0" y="0"/>
                      <a:ext cx="5943600" cy="6245525"/>
                    </a:xfrm>
                    <a:prstGeom prst="rect">
                      <a:avLst/>
                    </a:prstGeom>
                    <a:ln>
                      <a:noFill/>
                    </a:ln>
                    <a:extLst>
                      <a:ext uri="{53640926-AAD7-44D8-BBD7-CCE9431645EC}">
                        <a14:shadowObscured xmlns:a14="http://schemas.microsoft.com/office/drawing/2010/main"/>
                      </a:ext>
                    </a:extLst>
                  </pic:spPr>
                </pic:pic>
              </a:graphicData>
            </a:graphic>
          </wp:inline>
        </w:drawing>
      </w:r>
    </w:p>
    <w:p w14:paraId="6BE78C23" w14:textId="566A0604" w:rsidR="00D47626" w:rsidRPr="00DB0074" w:rsidRDefault="00D47626" w:rsidP="00DB0074">
      <w:pPr>
        <w:autoSpaceDE w:val="0"/>
        <w:autoSpaceDN w:val="0"/>
        <w:adjustRightInd w:val="0"/>
        <w:spacing w:after="120" w:line="240" w:lineRule="auto"/>
        <w:jc w:val="both"/>
        <w:rPr>
          <w:rFonts w:ascii="Arial" w:hAnsi="Arial" w:cs="Arial"/>
          <w:b/>
        </w:rPr>
      </w:pPr>
      <w:r w:rsidRPr="00DB0074">
        <w:rPr>
          <w:rFonts w:ascii="Arial" w:hAnsi="Arial" w:cs="Arial"/>
          <w:b/>
        </w:rPr>
        <w:t xml:space="preserve">Supplementary Figure </w:t>
      </w:r>
      <w:r w:rsidR="005B6CF9">
        <w:rPr>
          <w:rFonts w:ascii="Arial" w:hAnsi="Arial" w:cs="Arial"/>
          <w:b/>
        </w:rPr>
        <w:t>3</w:t>
      </w:r>
      <w:r w:rsidR="00063765" w:rsidRPr="00DB0074">
        <w:rPr>
          <w:rFonts w:ascii="Arial" w:hAnsi="Arial" w:cs="Arial"/>
          <w:b/>
        </w:rPr>
        <w:t>. Whole mount tip imaging</w:t>
      </w:r>
      <w:r w:rsidR="008074CC" w:rsidRPr="00DB0074">
        <w:rPr>
          <w:rFonts w:ascii="Arial" w:hAnsi="Arial" w:cs="Arial"/>
          <w:b/>
        </w:rPr>
        <w:t>.</w:t>
      </w:r>
    </w:p>
    <w:p w14:paraId="595153D8" w14:textId="77777777" w:rsidR="005D0590" w:rsidRPr="00DB0074" w:rsidRDefault="008074CC" w:rsidP="005D0590">
      <w:pPr>
        <w:autoSpaceDE w:val="0"/>
        <w:autoSpaceDN w:val="0"/>
        <w:adjustRightInd w:val="0"/>
        <w:spacing w:after="120" w:line="240" w:lineRule="auto"/>
        <w:jc w:val="both"/>
        <w:rPr>
          <w:rFonts w:ascii="Arial" w:hAnsi="Arial" w:cs="Arial"/>
          <w:bCs/>
        </w:rPr>
      </w:pPr>
      <w:r w:rsidRPr="00DB0074">
        <w:rPr>
          <w:rFonts w:ascii="Arial" w:hAnsi="Arial" w:cs="Arial"/>
          <w:bCs/>
        </w:rPr>
        <w:t xml:space="preserve">Z-stack </w:t>
      </w:r>
      <w:r w:rsidR="00DB0074" w:rsidRPr="00DB0074">
        <w:rPr>
          <w:rFonts w:ascii="Arial" w:hAnsi="Arial" w:cs="Arial"/>
          <w:bCs/>
        </w:rPr>
        <w:t>imaging of a whole mount tip</w:t>
      </w:r>
      <w:r w:rsidRPr="00DB0074">
        <w:rPr>
          <w:rFonts w:ascii="Arial" w:hAnsi="Arial" w:cs="Arial"/>
          <w:bCs/>
        </w:rPr>
        <w:t xml:space="preserve"> </w:t>
      </w:r>
      <w:r w:rsidR="00DB0074" w:rsidRPr="00DB0074">
        <w:rPr>
          <w:rFonts w:ascii="Arial" w:hAnsi="Arial" w:cs="Arial"/>
          <w:bCs/>
        </w:rPr>
        <w:t>(</w:t>
      </w:r>
      <w:r w:rsidRPr="00DB0074">
        <w:rPr>
          <w:rFonts w:ascii="Arial" w:hAnsi="Arial" w:cs="Arial"/>
          <w:bCs/>
        </w:rPr>
        <w:t>TPEF</w:t>
      </w:r>
      <w:r w:rsidR="00B23E93">
        <w:rPr>
          <w:rFonts w:ascii="Arial" w:hAnsi="Arial" w:cs="Arial"/>
          <w:bCs/>
        </w:rPr>
        <w:t>, green</w:t>
      </w:r>
      <w:r w:rsidR="00DB0074" w:rsidRPr="00DB0074">
        <w:rPr>
          <w:rFonts w:ascii="Arial" w:hAnsi="Arial" w:cs="Arial"/>
          <w:bCs/>
        </w:rPr>
        <w:t>)</w:t>
      </w:r>
      <w:r w:rsidR="00B23E93">
        <w:rPr>
          <w:rFonts w:ascii="Arial" w:hAnsi="Arial" w:cs="Arial"/>
          <w:bCs/>
        </w:rPr>
        <w:t xml:space="preserve"> starting from skin.</w:t>
      </w:r>
      <w:r w:rsidR="005D0590">
        <w:rPr>
          <w:rFonts w:ascii="Arial" w:hAnsi="Arial" w:cs="Arial"/>
          <w:bCs/>
        </w:rPr>
        <w:t xml:space="preserve"> </w:t>
      </w:r>
      <w:r w:rsidR="005D0590">
        <w:rPr>
          <w:rFonts w:ascii="Arial" w:hAnsi="Arial" w:cs="Arial"/>
          <w:szCs w:val="21"/>
          <w:shd w:val="clear" w:color="auto" w:fill="FFFFFF"/>
          <w:lang w:val="en-GB"/>
        </w:rPr>
        <w:t>V</w:t>
      </w:r>
      <w:proofErr w:type="spellStart"/>
      <w:r w:rsidR="005D0590">
        <w:rPr>
          <w:rFonts w:ascii="Arial" w:hAnsi="Arial" w:cs="Arial"/>
          <w:bCs/>
        </w:rPr>
        <w:t>oxel</w:t>
      </w:r>
      <w:proofErr w:type="spellEnd"/>
      <w:r w:rsidR="005D0590">
        <w:rPr>
          <w:rFonts w:ascii="Arial" w:hAnsi="Arial" w:cs="Arial"/>
          <w:bCs/>
        </w:rPr>
        <w:t xml:space="preserve"> size of 0.2 µm x 0.2 µm x 3.0 µm, 16 out of 36 frames shown.</w:t>
      </w:r>
    </w:p>
    <w:p w14:paraId="04DDC3E5" w14:textId="200A593E" w:rsidR="008074CC" w:rsidRPr="00DB0074" w:rsidRDefault="008074CC" w:rsidP="00DB0074">
      <w:pPr>
        <w:autoSpaceDE w:val="0"/>
        <w:autoSpaceDN w:val="0"/>
        <w:adjustRightInd w:val="0"/>
        <w:spacing w:after="120" w:line="240" w:lineRule="auto"/>
        <w:jc w:val="both"/>
        <w:rPr>
          <w:rFonts w:ascii="Arial" w:hAnsi="Arial" w:cs="Arial"/>
          <w:bCs/>
        </w:rPr>
      </w:pPr>
    </w:p>
    <w:p w14:paraId="1215E347" w14:textId="2FFAAE8C" w:rsidR="00DE3BD1" w:rsidRPr="00DB0074" w:rsidRDefault="00DE3BD1" w:rsidP="00DB0074">
      <w:pPr>
        <w:spacing w:line="240" w:lineRule="auto"/>
        <w:rPr>
          <w:rFonts w:ascii="Arial" w:hAnsi="Arial" w:cs="Arial"/>
          <w:b/>
        </w:rPr>
      </w:pPr>
      <w:r w:rsidRPr="00DB0074">
        <w:rPr>
          <w:rFonts w:ascii="Arial" w:hAnsi="Arial" w:cs="Arial"/>
          <w:b/>
          <w:bCs/>
          <w:noProof/>
          <w:color w:val="000000"/>
        </w:rPr>
        <w:t>Scale bar:</w:t>
      </w:r>
      <w:r w:rsidRPr="00DB0074">
        <w:rPr>
          <w:rFonts w:ascii="Arial" w:hAnsi="Arial" w:cs="Arial"/>
          <w:noProof/>
          <w:color w:val="000000"/>
        </w:rPr>
        <w:t xml:space="preserve"> 250 µm</w:t>
      </w:r>
    </w:p>
    <w:p w14:paraId="2CF80018" w14:textId="07E4C982" w:rsidR="003B504D" w:rsidRPr="00DB0074" w:rsidRDefault="003B504D" w:rsidP="00DB0074">
      <w:pPr>
        <w:spacing w:line="240" w:lineRule="auto"/>
        <w:rPr>
          <w:rFonts w:ascii="Arial" w:hAnsi="Arial" w:cs="Arial"/>
          <w:b/>
        </w:rPr>
      </w:pPr>
      <w:r w:rsidRPr="00DB0074">
        <w:rPr>
          <w:rFonts w:ascii="Arial" w:hAnsi="Arial" w:cs="Arial"/>
          <w:b/>
        </w:rPr>
        <w:br w:type="page"/>
      </w:r>
    </w:p>
    <w:p w14:paraId="3C7CBF74" w14:textId="427EF731" w:rsidR="00980C62" w:rsidRDefault="00B23E93" w:rsidP="00DB0074">
      <w:pPr>
        <w:spacing w:line="240" w:lineRule="auto"/>
        <w:rPr>
          <w:rFonts w:ascii="Arial" w:hAnsi="Arial" w:cs="Arial"/>
          <w:b/>
        </w:rPr>
      </w:pPr>
      <w:r>
        <w:rPr>
          <w:rFonts w:ascii="Arial" w:hAnsi="Arial" w:cs="Arial"/>
          <w:noProof/>
        </w:rPr>
        <w:lastRenderedPageBreak/>
        <w:drawing>
          <wp:inline distT="0" distB="0" distL="0" distR="0" wp14:anchorId="1BDDE2C0" wp14:editId="21D4D164">
            <wp:extent cx="5813947" cy="2920298"/>
            <wp:effectExtent l="0" t="0" r="0" b="0"/>
            <wp:docPr id="1" name="Picture 1" descr="C:\Users\OctoLab1\Dropbox (CephRes)\dropbox\Pamela\My Projects\Multiphoton_project\Selected images_MPE2019\Suppl 3_Phh3 TubAc-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ctoLab1\Dropbox (CephRes)\dropbox\Pamela\My Projects\Multiphoton_project\Selected images_MPE2019\Suppl 3_Phh3 TubAc-01.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54" r="10457" b="38049"/>
                    <a:stretch/>
                  </pic:blipFill>
                  <pic:spPr bwMode="auto">
                    <a:xfrm>
                      <a:off x="0" y="0"/>
                      <a:ext cx="5814629" cy="2920640"/>
                    </a:xfrm>
                    <a:prstGeom prst="rect">
                      <a:avLst/>
                    </a:prstGeom>
                    <a:noFill/>
                    <a:ln>
                      <a:noFill/>
                    </a:ln>
                    <a:extLst>
                      <a:ext uri="{53640926-AAD7-44D8-BBD7-CCE9431645EC}">
                        <a14:shadowObscured xmlns:a14="http://schemas.microsoft.com/office/drawing/2010/main"/>
                      </a:ext>
                    </a:extLst>
                  </pic:spPr>
                </pic:pic>
              </a:graphicData>
            </a:graphic>
          </wp:inline>
        </w:drawing>
      </w:r>
    </w:p>
    <w:p w14:paraId="40A3D6DB" w14:textId="3C75B167" w:rsidR="000C7C25" w:rsidRDefault="000C7C25" w:rsidP="00DB0074">
      <w:pPr>
        <w:spacing w:line="240" w:lineRule="auto"/>
        <w:rPr>
          <w:rFonts w:ascii="Arial" w:hAnsi="Arial" w:cs="Arial"/>
          <w:b/>
        </w:rPr>
      </w:pPr>
      <w:r w:rsidRPr="00DB0074">
        <w:rPr>
          <w:rFonts w:ascii="Arial" w:hAnsi="Arial" w:cs="Arial"/>
          <w:b/>
        </w:rPr>
        <w:t xml:space="preserve">Supplementary Figure </w:t>
      </w:r>
      <w:r w:rsidR="005B6CF9">
        <w:rPr>
          <w:rFonts w:ascii="Arial" w:hAnsi="Arial" w:cs="Arial"/>
          <w:b/>
        </w:rPr>
        <w:t>4</w:t>
      </w:r>
      <w:r w:rsidR="00D22DBD">
        <w:rPr>
          <w:rFonts w:ascii="Arial" w:hAnsi="Arial" w:cs="Arial"/>
          <w:b/>
        </w:rPr>
        <w:t>. Invading cells.</w:t>
      </w:r>
    </w:p>
    <w:p w14:paraId="13F8BBB2" w14:textId="30F5289F" w:rsidR="00D54CFF" w:rsidRPr="00DB0074" w:rsidRDefault="00D54CFF" w:rsidP="00D54CFF">
      <w:pPr>
        <w:pStyle w:val="Default"/>
        <w:contextualSpacing/>
        <w:jc w:val="both"/>
        <w:rPr>
          <w:rFonts w:ascii="Arial" w:hAnsi="Arial" w:cs="Arial"/>
          <w:sz w:val="22"/>
          <w:szCs w:val="22"/>
        </w:rPr>
      </w:pPr>
      <w:r>
        <w:rPr>
          <w:rFonts w:ascii="Arial" w:hAnsi="Arial" w:cs="Arial"/>
          <w:sz w:val="22"/>
          <w:szCs w:val="22"/>
        </w:rPr>
        <w:t>(A) Invading cells</w:t>
      </w:r>
      <w:r w:rsidRPr="00DB0074">
        <w:rPr>
          <w:rFonts w:ascii="Arial" w:hAnsi="Arial" w:cs="Arial"/>
          <w:sz w:val="22"/>
          <w:szCs w:val="22"/>
        </w:rPr>
        <w:t xml:space="preserve"> </w:t>
      </w:r>
      <w:r>
        <w:rPr>
          <w:rFonts w:ascii="Arial" w:hAnsi="Arial" w:cs="Arial"/>
          <w:sz w:val="22"/>
          <w:szCs w:val="22"/>
        </w:rPr>
        <w:t>accumulating around the nerve cord of the stump (arrowheads). White dotted line marks the original site of lesion</w:t>
      </w:r>
      <w:r w:rsidR="00B23E93">
        <w:rPr>
          <w:rFonts w:ascii="Arial" w:hAnsi="Arial" w:cs="Arial"/>
          <w:sz w:val="22"/>
          <w:szCs w:val="22"/>
        </w:rPr>
        <w:t>,</w:t>
      </w:r>
      <w:r>
        <w:rPr>
          <w:rFonts w:ascii="Arial" w:hAnsi="Arial" w:cs="Arial"/>
          <w:sz w:val="22"/>
          <w:szCs w:val="22"/>
        </w:rPr>
        <w:t xml:space="preserve"> dividing the stump from the regenerating tip.</w:t>
      </w:r>
    </w:p>
    <w:p w14:paraId="20B0E3C1" w14:textId="2E1D1BC9" w:rsidR="00B01DA4" w:rsidRPr="00DB0074" w:rsidRDefault="00D54CFF" w:rsidP="00B01DA4">
      <w:pPr>
        <w:pStyle w:val="Default"/>
        <w:contextualSpacing/>
        <w:jc w:val="both"/>
        <w:rPr>
          <w:rFonts w:ascii="Arial" w:hAnsi="Arial" w:cs="Arial"/>
          <w:sz w:val="22"/>
          <w:szCs w:val="22"/>
        </w:rPr>
      </w:pPr>
      <w:r>
        <w:rPr>
          <w:rFonts w:ascii="Arial" w:hAnsi="Arial" w:cs="Arial"/>
          <w:sz w:val="22"/>
          <w:szCs w:val="22"/>
        </w:rPr>
        <w:t xml:space="preserve">(B) </w:t>
      </w:r>
      <w:r w:rsidR="00B01DA4" w:rsidRPr="00DB0074">
        <w:rPr>
          <w:rFonts w:ascii="Arial" w:hAnsi="Arial" w:cs="Arial"/>
          <w:sz w:val="22"/>
          <w:szCs w:val="22"/>
        </w:rPr>
        <w:t xml:space="preserve">Areas invaded by </w:t>
      </w:r>
      <w:r>
        <w:rPr>
          <w:rFonts w:ascii="Arial" w:hAnsi="Arial" w:cs="Arial"/>
          <w:sz w:val="22"/>
          <w:szCs w:val="22"/>
        </w:rPr>
        <w:t>granulated cells</w:t>
      </w:r>
      <w:r w:rsidR="00193B78">
        <w:rPr>
          <w:rFonts w:ascii="Arial" w:hAnsi="Arial" w:cs="Arial"/>
          <w:sz w:val="22"/>
          <w:szCs w:val="22"/>
        </w:rPr>
        <w:t xml:space="preserve"> is</w:t>
      </w:r>
      <w:r w:rsidR="00B01DA4" w:rsidRPr="00DB0074">
        <w:rPr>
          <w:rFonts w:ascii="Arial" w:hAnsi="Arial" w:cs="Arial"/>
          <w:sz w:val="22"/>
          <w:szCs w:val="22"/>
        </w:rPr>
        <w:t xml:space="preserve"> </w:t>
      </w:r>
      <w:r w:rsidR="003D432F">
        <w:rPr>
          <w:rFonts w:ascii="Arial" w:hAnsi="Arial" w:cs="Arial"/>
          <w:sz w:val="22"/>
          <w:szCs w:val="22"/>
        </w:rPr>
        <w:t>characterized by nu</w:t>
      </w:r>
      <w:r>
        <w:rPr>
          <w:rFonts w:ascii="Arial" w:hAnsi="Arial" w:cs="Arial"/>
          <w:sz w:val="22"/>
          <w:szCs w:val="22"/>
        </w:rPr>
        <w:t>merous mitotic cells (PHH3)</w:t>
      </w:r>
    </w:p>
    <w:p w14:paraId="3D1E158A" w14:textId="77777777" w:rsidR="00B01DA4" w:rsidRPr="00DB0074" w:rsidRDefault="00B01DA4" w:rsidP="00B01DA4">
      <w:pPr>
        <w:autoSpaceDE w:val="0"/>
        <w:autoSpaceDN w:val="0"/>
        <w:adjustRightInd w:val="0"/>
        <w:spacing w:after="0" w:line="240" w:lineRule="auto"/>
        <w:jc w:val="both"/>
        <w:rPr>
          <w:rFonts w:ascii="Arial" w:hAnsi="Arial" w:cs="Arial"/>
          <w:b/>
          <w:bCs/>
          <w:noProof/>
          <w:color w:val="000000"/>
        </w:rPr>
      </w:pPr>
    </w:p>
    <w:p w14:paraId="1C91CE88" w14:textId="1A4EDBA9" w:rsidR="003D432F" w:rsidRPr="00DB0074" w:rsidRDefault="003D432F" w:rsidP="003D432F">
      <w:pPr>
        <w:autoSpaceDE w:val="0"/>
        <w:autoSpaceDN w:val="0"/>
        <w:adjustRightInd w:val="0"/>
        <w:spacing w:after="120" w:line="240" w:lineRule="auto"/>
        <w:jc w:val="both"/>
        <w:rPr>
          <w:rFonts w:ascii="Arial" w:hAnsi="Arial" w:cs="Arial"/>
          <w:noProof/>
          <w:color w:val="000000"/>
        </w:rPr>
      </w:pPr>
      <w:r w:rsidRPr="00DB0074">
        <w:rPr>
          <w:rFonts w:ascii="Arial" w:hAnsi="Arial" w:cs="Arial"/>
          <w:b/>
          <w:bCs/>
          <w:noProof/>
          <w:color w:val="000000"/>
        </w:rPr>
        <w:t>Scale bars:</w:t>
      </w:r>
      <w:r w:rsidRPr="00DB0074">
        <w:rPr>
          <w:rFonts w:ascii="Arial" w:hAnsi="Arial" w:cs="Arial"/>
          <w:noProof/>
          <w:color w:val="000000"/>
        </w:rPr>
        <w:t xml:space="preserve"> 500 µm in A, </w:t>
      </w:r>
      <w:r>
        <w:rPr>
          <w:rFonts w:ascii="Arial" w:hAnsi="Arial" w:cs="Arial"/>
          <w:noProof/>
          <w:color w:val="000000"/>
        </w:rPr>
        <w:t>15</w:t>
      </w:r>
      <w:r w:rsidRPr="00DB0074">
        <w:rPr>
          <w:rFonts w:ascii="Arial" w:hAnsi="Arial" w:cs="Arial"/>
          <w:noProof/>
          <w:color w:val="000000"/>
        </w:rPr>
        <w:t>0 µm in B</w:t>
      </w:r>
      <w:r>
        <w:rPr>
          <w:rFonts w:ascii="Arial" w:hAnsi="Arial" w:cs="Arial"/>
          <w:noProof/>
          <w:color w:val="000000"/>
        </w:rPr>
        <w:t>.</w:t>
      </w:r>
    </w:p>
    <w:p w14:paraId="20AD0B8E" w14:textId="5E4DB27E" w:rsidR="003D432F" w:rsidRPr="009722FC" w:rsidRDefault="003D432F" w:rsidP="003D432F">
      <w:pPr>
        <w:autoSpaceDE w:val="0"/>
        <w:autoSpaceDN w:val="0"/>
        <w:adjustRightInd w:val="0"/>
        <w:spacing w:after="0" w:line="240" w:lineRule="auto"/>
        <w:jc w:val="both"/>
        <w:rPr>
          <w:rFonts w:ascii="Arial" w:hAnsi="Arial" w:cs="Arial"/>
          <w:b/>
          <w:noProof/>
          <w:color w:val="000000"/>
        </w:rPr>
      </w:pPr>
      <w:r w:rsidRPr="00DB0074">
        <w:rPr>
          <w:rFonts w:ascii="Arial" w:hAnsi="Arial" w:cs="Arial"/>
          <w:b/>
          <w:bCs/>
          <w:noProof/>
          <w:color w:val="000000"/>
        </w:rPr>
        <w:t xml:space="preserve">Abbreviations: </w:t>
      </w:r>
      <w:r w:rsidRPr="00DB0074">
        <w:rPr>
          <w:rFonts w:ascii="Arial" w:hAnsi="Arial" w:cs="Arial"/>
          <w:noProof/>
          <w:color w:val="000000"/>
        </w:rPr>
        <w:t>at, axonal tract; bg, brachial ganglion; mu, muscles; s, sucker.</w:t>
      </w:r>
    </w:p>
    <w:p w14:paraId="63D079FF" w14:textId="77777777" w:rsidR="00B01DA4" w:rsidRDefault="00B01DA4" w:rsidP="00DB0074">
      <w:pPr>
        <w:spacing w:line="240" w:lineRule="auto"/>
        <w:rPr>
          <w:rFonts w:ascii="Arial" w:hAnsi="Arial" w:cs="Arial"/>
          <w:b/>
        </w:rPr>
      </w:pPr>
    </w:p>
    <w:p w14:paraId="21FECA38" w14:textId="77777777" w:rsidR="00980C62" w:rsidRDefault="00980C62" w:rsidP="00DB0074">
      <w:pPr>
        <w:spacing w:line="240" w:lineRule="auto"/>
        <w:rPr>
          <w:rFonts w:ascii="Arial" w:hAnsi="Arial" w:cs="Arial"/>
          <w:b/>
        </w:rPr>
      </w:pPr>
    </w:p>
    <w:p w14:paraId="46A0916C" w14:textId="77777777" w:rsidR="00980C62" w:rsidRPr="00DB0074" w:rsidRDefault="00980C62" w:rsidP="00DB0074">
      <w:pPr>
        <w:spacing w:line="240" w:lineRule="auto"/>
        <w:rPr>
          <w:rFonts w:ascii="Arial" w:hAnsi="Arial" w:cs="Arial"/>
          <w:b/>
        </w:rPr>
      </w:pPr>
    </w:p>
    <w:p w14:paraId="327BF64E" w14:textId="0DF352B0" w:rsidR="000C7C25" w:rsidRPr="00DB0074" w:rsidRDefault="000C7C25" w:rsidP="003D432F">
      <w:pPr>
        <w:spacing w:after="120" w:line="240" w:lineRule="auto"/>
        <w:rPr>
          <w:rFonts w:ascii="Arial" w:hAnsi="Arial" w:cs="Arial"/>
          <w:b/>
        </w:rPr>
      </w:pPr>
      <w:r w:rsidRPr="00DB0074">
        <w:rPr>
          <w:rFonts w:ascii="Arial" w:hAnsi="Arial" w:cs="Arial"/>
          <w:b/>
        </w:rPr>
        <w:t>Supplementary Video 1</w:t>
      </w:r>
      <w:r w:rsidR="003D432F">
        <w:rPr>
          <w:rFonts w:ascii="Arial" w:hAnsi="Arial" w:cs="Arial"/>
          <w:b/>
        </w:rPr>
        <w:t xml:space="preserve">. Hemocytes release </w:t>
      </w:r>
    </w:p>
    <w:p w14:paraId="6876D951" w14:textId="3B1BD05B" w:rsidR="000C7C25" w:rsidRPr="00DB0074" w:rsidRDefault="003D432F" w:rsidP="00DB0074">
      <w:pPr>
        <w:spacing w:line="240" w:lineRule="auto"/>
        <w:rPr>
          <w:rFonts w:ascii="Arial" w:hAnsi="Arial" w:cs="Arial"/>
          <w:b/>
        </w:rPr>
      </w:pPr>
      <w:r>
        <w:rPr>
          <w:rFonts w:ascii="Arial" w:hAnsi="Arial" w:cs="Arial"/>
        </w:rPr>
        <w:t>Hemocytes in blood vessels released into the injury site</w:t>
      </w:r>
    </w:p>
    <w:p w14:paraId="0CDC5AE6" w14:textId="3F779877" w:rsidR="006668EB" w:rsidRPr="00DB0074" w:rsidRDefault="006668EB" w:rsidP="00DB0074">
      <w:pPr>
        <w:spacing w:line="240" w:lineRule="auto"/>
        <w:rPr>
          <w:rFonts w:ascii="Arial" w:hAnsi="Arial" w:cs="Arial"/>
          <w:b/>
        </w:rPr>
      </w:pPr>
    </w:p>
    <w:sectPr w:rsidR="006668EB" w:rsidRPr="00DB0074">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38035" w14:textId="77777777" w:rsidR="00631EA4" w:rsidRDefault="00631EA4" w:rsidP="00980C62">
      <w:pPr>
        <w:spacing w:after="0" w:line="240" w:lineRule="auto"/>
      </w:pPr>
      <w:r>
        <w:separator/>
      </w:r>
    </w:p>
  </w:endnote>
  <w:endnote w:type="continuationSeparator" w:id="0">
    <w:p w14:paraId="405FC459" w14:textId="77777777" w:rsidR="00631EA4" w:rsidRDefault="00631EA4" w:rsidP="00980C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6130231"/>
      <w:docPartObj>
        <w:docPartGallery w:val="Page Numbers (Bottom of Page)"/>
        <w:docPartUnique/>
      </w:docPartObj>
    </w:sdtPr>
    <w:sdtEndPr/>
    <w:sdtContent>
      <w:p w14:paraId="5BD44C29" w14:textId="77777777" w:rsidR="008F543B" w:rsidRDefault="008F543B">
        <w:pPr>
          <w:pStyle w:val="Footer"/>
          <w:jc w:val="right"/>
        </w:pPr>
        <w:r>
          <w:fldChar w:fldCharType="begin"/>
        </w:r>
        <w:r>
          <w:instrText>PAGE   \* MERGEFORMAT</w:instrText>
        </w:r>
        <w:r>
          <w:fldChar w:fldCharType="separate"/>
        </w:r>
        <w:r w:rsidR="005B6CF9" w:rsidRPr="005B6CF9">
          <w:rPr>
            <w:noProof/>
            <w:lang w:val="it-IT"/>
          </w:rPr>
          <w:t>4</w:t>
        </w:r>
        <w:r>
          <w:fldChar w:fldCharType="end"/>
        </w:r>
      </w:p>
    </w:sdtContent>
  </w:sdt>
  <w:p w14:paraId="20620BAE" w14:textId="77777777" w:rsidR="00980C62" w:rsidRDefault="00980C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A0F68" w14:textId="77777777" w:rsidR="00631EA4" w:rsidRDefault="00631EA4" w:rsidP="00980C62">
      <w:pPr>
        <w:spacing w:after="0" w:line="240" w:lineRule="auto"/>
      </w:pPr>
      <w:r>
        <w:separator/>
      </w:r>
    </w:p>
  </w:footnote>
  <w:footnote w:type="continuationSeparator" w:id="0">
    <w:p w14:paraId="0A8692C8" w14:textId="77777777" w:rsidR="00631EA4" w:rsidRDefault="00631EA4" w:rsidP="00980C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A0B02"/>
    <w:multiLevelType w:val="hybridMultilevel"/>
    <w:tmpl w:val="3012ABA6"/>
    <w:lvl w:ilvl="0" w:tplc="A01A7B8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53C1"/>
    <w:rsid w:val="00004BBF"/>
    <w:rsid w:val="000057EF"/>
    <w:rsid w:val="000069D2"/>
    <w:rsid w:val="00014945"/>
    <w:rsid w:val="000278EF"/>
    <w:rsid w:val="00045669"/>
    <w:rsid w:val="00063765"/>
    <w:rsid w:val="00095E43"/>
    <w:rsid w:val="000C7C25"/>
    <w:rsid w:val="000D3484"/>
    <w:rsid w:val="000D4DDE"/>
    <w:rsid w:val="00112D50"/>
    <w:rsid w:val="00175FDF"/>
    <w:rsid w:val="001923A0"/>
    <w:rsid w:val="00193B78"/>
    <w:rsid w:val="001D7DF8"/>
    <w:rsid w:val="001F77B9"/>
    <w:rsid w:val="00216C73"/>
    <w:rsid w:val="0024750A"/>
    <w:rsid w:val="002855CF"/>
    <w:rsid w:val="00292834"/>
    <w:rsid w:val="002B5B7D"/>
    <w:rsid w:val="002F1E28"/>
    <w:rsid w:val="00381937"/>
    <w:rsid w:val="003B504D"/>
    <w:rsid w:val="003C5E67"/>
    <w:rsid w:val="003D432F"/>
    <w:rsid w:val="003F0132"/>
    <w:rsid w:val="003F7549"/>
    <w:rsid w:val="0040334E"/>
    <w:rsid w:val="00406227"/>
    <w:rsid w:val="00462E92"/>
    <w:rsid w:val="00492F26"/>
    <w:rsid w:val="004B3353"/>
    <w:rsid w:val="004B78C6"/>
    <w:rsid w:val="004C20DF"/>
    <w:rsid w:val="004F3E82"/>
    <w:rsid w:val="004F6186"/>
    <w:rsid w:val="00502441"/>
    <w:rsid w:val="005A3C18"/>
    <w:rsid w:val="005A634A"/>
    <w:rsid w:val="005B32C4"/>
    <w:rsid w:val="005B6CF9"/>
    <w:rsid w:val="005C2F29"/>
    <w:rsid w:val="005D0590"/>
    <w:rsid w:val="005E6F03"/>
    <w:rsid w:val="0060154D"/>
    <w:rsid w:val="00631EA4"/>
    <w:rsid w:val="006668EB"/>
    <w:rsid w:val="00682F8D"/>
    <w:rsid w:val="006C4085"/>
    <w:rsid w:val="00705547"/>
    <w:rsid w:val="00735B9A"/>
    <w:rsid w:val="00743912"/>
    <w:rsid w:val="007C1D0D"/>
    <w:rsid w:val="007E359C"/>
    <w:rsid w:val="008074CC"/>
    <w:rsid w:val="00845E0C"/>
    <w:rsid w:val="0089718E"/>
    <w:rsid w:val="008F543B"/>
    <w:rsid w:val="008F5C24"/>
    <w:rsid w:val="00945762"/>
    <w:rsid w:val="009722FC"/>
    <w:rsid w:val="00980C62"/>
    <w:rsid w:val="009C42B3"/>
    <w:rsid w:val="00A27C1B"/>
    <w:rsid w:val="00A93329"/>
    <w:rsid w:val="00B01DA4"/>
    <w:rsid w:val="00B23E93"/>
    <w:rsid w:val="00B25290"/>
    <w:rsid w:val="00B72365"/>
    <w:rsid w:val="00BB44F4"/>
    <w:rsid w:val="00BD53C1"/>
    <w:rsid w:val="00C205E1"/>
    <w:rsid w:val="00C661F5"/>
    <w:rsid w:val="00CB38B3"/>
    <w:rsid w:val="00D22DBD"/>
    <w:rsid w:val="00D47626"/>
    <w:rsid w:val="00D54CFF"/>
    <w:rsid w:val="00DB0074"/>
    <w:rsid w:val="00DC4BB4"/>
    <w:rsid w:val="00DD47BE"/>
    <w:rsid w:val="00DE3BD1"/>
    <w:rsid w:val="00DE4E12"/>
    <w:rsid w:val="00E60A2C"/>
    <w:rsid w:val="00E832F7"/>
    <w:rsid w:val="00F34953"/>
    <w:rsid w:val="00FA1A17"/>
    <w:rsid w:val="00FE69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88BA81"/>
  <w15:docId w15:val="{245493C1-92FA-4D7F-AD6E-1781F3A2E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53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53C1"/>
    <w:rPr>
      <w:rFonts w:ascii="Tahoma" w:hAnsi="Tahoma" w:cs="Tahoma"/>
      <w:sz w:val="16"/>
      <w:szCs w:val="16"/>
    </w:rPr>
  </w:style>
  <w:style w:type="paragraph" w:styleId="ListParagraph">
    <w:name w:val="List Paragraph"/>
    <w:basedOn w:val="Normal"/>
    <w:uiPriority w:val="34"/>
    <w:qFormat/>
    <w:rsid w:val="005C2F29"/>
    <w:pPr>
      <w:ind w:left="720"/>
      <w:contextualSpacing/>
    </w:pPr>
  </w:style>
  <w:style w:type="character" w:styleId="CommentReference">
    <w:name w:val="annotation reference"/>
    <w:basedOn w:val="DefaultParagraphFont"/>
    <w:uiPriority w:val="99"/>
    <w:semiHidden/>
    <w:unhideWhenUsed/>
    <w:rsid w:val="008074CC"/>
    <w:rPr>
      <w:sz w:val="16"/>
      <w:szCs w:val="16"/>
    </w:rPr>
  </w:style>
  <w:style w:type="paragraph" w:styleId="CommentText">
    <w:name w:val="annotation text"/>
    <w:basedOn w:val="Normal"/>
    <w:link w:val="CommentTextChar"/>
    <w:uiPriority w:val="99"/>
    <w:unhideWhenUsed/>
    <w:rsid w:val="008074CC"/>
    <w:pPr>
      <w:spacing w:line="240" w:lineRule="auto"/>
    </w:pPr>
    <w:rPr>
      <w:sz w:val="20"/>
      <w:szCs w:val="20"/>
    </w:rPr>
  </w:style>
  <w:style w:type="character" w:customStyle="1" w:styleId="CommentTextChar">
    <w:name w:val="Comment Text Char"/>
    <w:basedOn w:val="DefaultParagraphFont"/>
    <w:link w:val="CommentText"/>
    <w:uiPriority w:val="99"/>
    <w:rsid w:val="008074CC"/>
    <w:rPr>
      <w:sz w:val="20"/>
      <w:szCs w:val="20"/>
    </w:rPr>
  </w:style>
  <w:style w:type="paragraph" w:customStyle="1" w:styleId="Default">
    <w:name w:val="Default"/>
    <w:rsid w:val="00F34953"/>
    <w:pPr>
      <w:autoSpaceDE w:val="0"/>
      <w:autoSpaceDN w:val="0"/>
      <w:adjustRightInd w:val="0"/>
      <w:spacing w:after="0" w:line="240" w:lineRule="auto"/>
    </w:pPr>
    <w:rPr>
      <w:rFonts w:ascii="Trebuchet MS" w:hAnsi="Trebuchet MS" w:cs="Trebuchet MS"/>
      <w:color w:val="000000"/>
      <w:sz w:val="24"/>
      <w:szCs w:val="24"/>
    </w:rPr>
  </w:style>
  <w:style w:type="paragraph" w:styleId="Header">
    <w:name w:val="header"/>
    <w:basedOn w:val="Normal"/>
    <w:link w:val="HeaderChar"/>
    <w:uiPriority w:val="99"/>
    <w:unhideWhenUsed/>
    <w:rsid w:val="00980C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0C62"/>
  </w:style>
  <w:style w:type="paragraph" w:styleId="Footer">
    <w:name w:val="footer"/>
    <w:basedOn w:val="Normal"/>
    <w:link w:val="FooterChar"/>
    <w:uiPriority w:val="99"/>
    <w:unhideWhenUsed/>
    <w:rsid w:val="00980C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0C62"/>
  </w:style>
  <w:style w:type="paragraph" w:styleId="CommentSubject">
    <w:name w:val="annotation subject"/>
    <w:basedOn w:val="CommentText"/>
    <w:next w:val="CommentText"/>
    <w:link w:val="CommentSubjectChar"/>
    <w:uiPriority w:val="99"/>
    <w:semiHidden/>
    <w:unhideWhenUsed/>
    <w:rsid w:val="00B23E93"/>
    <w:rPr>
      <w:b/>
      <w:bCs/>
    </w:rPr>
  </w:style>
  <w:style w:type="character" w:customStyle="1" w:styleId="CommentSubjectChar">
    <w:name w:val="Comment Subject Char"/>
    <w:basedOn w:val="CommentTextChar"/>
    <w:link w:val="CommentSubject"/>
    <w:uiPriority w:val="99"/>
    <w:semiHidden/>
    <w:rsid w:val="00B23E93"/>
    <w:rPr>
      <w:b/>
      <w:bCs/>
      <w:sz w:val="20"/>
      <w:szCs w:val="20"/>
    </w:rPr>
  </w:style>
  <w:style w:type="paragraph" w:styleId="Revision">
    <w:name w:val="Revision"/>
    <w:hidden/>
    <w:uiPriority w:val="99"/>
    <w:semiHidden/>
    <w:rsid w:val="00D22DB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980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E4076-EB79-4D4F-87B7-89824C1CA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519</Words>
  <Characters>2963</Characters>
  <Application>Microsoft Office Word</Application>
  <DocSecurity>0</DocSecurity>
  <Lines>24</Lines>
  <Paragraphs>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 Company</Company>
  <LinksUpToDate>false</LinksUpToDate>
  <CharactersWithSpaces>3476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Imperadore</dc:creator>
  <cp:lastModifiedBy>Nadia Olesen</cp:lastModifiedBy>
  <cp:revision>28</cp:revision>
  <dcterms:created xsi:type="dcterms:W3CDTF">2021-07-23T10:42:00Z</dcterms:created>
  <dcterms:modified xsi:type="dcterms:W3CDTF">2022-01-04T09:08:00Z</dcterms:modified>
</cp:coreProperties>
</file>