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B598" w14:textId="5A762982" w:rsidR="00D82928" w:rsidRPr="0099235B" w:rsidRDefault="00D82928" w:rsidP="00D82928">
      <w:pPr>
        <w:rPr>
          <w:sz w:val="24"/>
          <w:szCs w:val="24"/>
          <w:lang w:val="en-US"/>
        </w:rPr>
      </w:pPr>
      <w:r w:rsidRPr="0099235B">
        <w:rPr>
          <w:b/>
          <w:sz w:val="24"/>
          <w:szCs w:val="24"/>
          <w:lang w:val="en-US"/>
        </w:rPr>
        <w:t xml:space="preserve">Supplemental table </w:t>
      </w:r>
      <w:r w:rsidR="00F01647" w:rsidRPr="0099235B">
        <w:rPr>
          <w:b/>
          <w:sz w:val="24"/>
          <w:szCs w:val="24"/>
          <w:lang w:val="en-US"/>
        </w:rPr>
        <w:t>1</w:t>
      </w:r>
      <w:r w:rsidRPr="0099235B">
        <w:rPr>
          <w:b/>
          <w:sz w:val="24"/>
          <w:szCs w:val="24"/>
          <w:lang w:val="en-US"/>
        </w:rPr>
        <w:t xml:space="preserve">: </w:t>
      </w:r>
      <w:r w:rsidR="00F01647" w:rsidRPr="0099235B">
        <w:rPr>
          <w:b/>
          <w:i/>
          <w:iCs/>
          <w:sz w:val="24"/>
          <w:szCs w:val="24"/>
          <w:lang w:val="en-US"/>
        </w:rPr>
        <w:t xml:space="preserve">Prospective power analysis. </w:t>
      </w:r>
      <w:r w:rsidR="00C87E85" w:rsidRPr="0099235B">
        <w:rPr>
          <w:iCs/>
          <w:sz w:val="24"/>
          <w:szCs w:val="24"/>
          <w:lang w:val="en-US"/>
        </w:rPr>
        <w:t>Calculation of the prospectively required number of biological replica</w:t>
      </w:r>
      <w:r w:rsidR="00146002" w:rsidRPr="0099235B">
        <w:rPr>
          <w:iCs/>
          <w:sz w:val="24"/>
          <w:szCs w:val="24"/>
          <w:lang w:val="en-US"/>
        </w:rPr>
        <w:t xml:space="preserve"> to reveal statistically significant associations</w:t>
      </w:r>
    </w:p>
    <w:p w14:paraId="038228ED" w14:textId="3368CB57" w:rsidR="00082DF1" w:rsidRPr="0099235B" w:rsidRDefault="00082DF1" w:rsidP="004927EF">
      <w:pPr>
        <w:tabs>
          <w:tab w:val="left" w:pos="709"/>
          <w:tab w:val="left" w:pos="1985"/>
          <w:tab w:val="left" w:pos="3686"/>
          <w:tab w:val="left" w:pos="4536"/>
          <w:tab w:val="left" w:pos="5954"/>
          <w:tab w:val="left" w:pos="7371"/>
          <w:tab w:val="left" w:pos="8789"/>
          <w:tab w:val="left" w:pos="10206"/>
          <w:tab w:val="left" w:pos="11766"/>
          <w:tab w:val="left" w:pos="13183"/>
          <w:tab w:val="left" w:pos="14601"/>
          <w:tab w:val="left" w:pos="16018"/>
          <w:tab w:val="left" w:pos="17577"/>
        </w:tabs>
        <w:rPr>
          <w:sz w:val="18"/>
          <w:szCs w:val="18"/>
          <w:lang w:val="en-GB"/>
        </w:rPr>
      </w:pPr>
    </w:p>
    <w:p w14:paraId="1837623B" w14:textId="7B8E932B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b/>
          <w:bCs/>
          <w:i/>
          <w:iCs/>
          <w:sz w:val="18"/>
          <w:szCs w:val="18"/>
          <w:lang w:val="en-GB"/>
        </w:rPr>
      </w:pPr>
      <w:r w:rsidRPr="0099235B">
        <w:rPr>
          <w:b/>
          <w:bCs/>
          <w:i/>
          <w:iCs/>
          <w:sz w:val="18"/>
          <w:szCs w:val="18"/>
          <w:lang w:val="en-GB"/>
        </w:rPr>
        <w:t>parameter</w:t>
      </w:r>
      <w:r w:rsidRPr="0099235B">
        <w:rPr>
          <w:b/>
          <w:bCs/>
          <w:i/>
          <w:iCs/>
          <w:sz w:val="18"/>
          <w:szCs w:val="18"/>
          <w:lang w:val="en-GB"/>
        </w:rPr>
        <w:tab/>
        <w:t>groups</w:t>
      </w:r>
      <w:r w:rsidRPr="0099235B">
        <w:rPr>
          <w:b/>
          <w:bCs/>
          <w:i/>
          <w:iCs/>
          <w:sz w:val="18"/>
          <w:szCs w:val="18"/>
          <w:lang w:val="en-GB"/>
        </w:rPr>
        <w:tab/>
        <w:t>effect size (ACE-I/D genotype)</w:t>
      </w:r>
      <w:r w:rsidRPr="0099235B">
        <w:rPr>
          <w:b/>
          <w:bCs/>
          <w:i/>
          <w:iCs/>
          <w:sz w:val="18"/>
          <w:szCs w:val="18"/>
          <w:lang w:val="en-GB"/>
        </w:rPr>
        <w:tab/>
      </w:r>
      <w:r w:rsidR="00E930CB" w:rsidRPr="0099235B">
        <w:rPr>
          <w:b/>
          <w:bCs/>
          <w:i/>
          <w:iCs/>
          <w:sz w:val="18"/>
          <w:szCs w:val="18"/>
          <w:lang w:val="en-GB"/>
        </w:rPr>
        <w:t>prospective n</w:t>
      </w:r>
      <w:r w:rsidRPr="0099235B">
        <w:rPr>
          <w:b/>
          <w:bCs/>
          <w:i/>
          <w:iCs/>
          <w:sz w:val="18"/>
          <w:szCs w:val="18"/>
          <w:lang w:val="en-GB"/>
        </w:rPr>
        <w:tab/>
        <w:t>references</w:t>
      </w:r>
      <w:r w:rsidRPr="0099235B">
        <w:rPr>
          <w:b/>
          <w:bCs/>
          <w:i/>
          <w:iCs/>
          <w:sz w:val="18"/>
          <w:szCs w:val="18"/>
          <w:lang w:val="en-GB"/>
        </w:rPr>
        <w:tab/>
      </w:r>
      <w:r w:rsidR="00F01647" w:rsidRPr="0099235B">
        <w:rPr>
          <w:b/>
          <w:bCs/>
          <w:i/>
          <w:iCs/>
          <w:sz w:val="18"/>
          <w:szCs w:val="18"/>
          <w:lang w:val="en-GB"/>
        </w:rPr>
        <w:t>URL</w:t>
      </w:r>
    </w:p>
    <w:p w14:paraId="1FC0285C" w14:textId="75FE9ED2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  <w:lang w:val="en-GB"/>
        </w:rPr>
      </w:pPr>
      <w:r w:rsidRPr="0099235B">
        <w:rPr>
          <w:sz w:val="18"/>
          <w:szCs w:val="18"/>
          <w:lang w:val="en-GB"/>
        </w:rPr>
        <w:t>mitochondrial volume density</w:t>
      </w:r>
      <w:r w:rsidRPr="0099235B">
        <w:rPr>
          <w:sz w:val="18"/>
          <w:szCs w:val="18"/>
          <w:lang w:val="en-GB"/>
        </w:rPr>
        <w:tab/>
      </w:r>
      <w:r w:rsidR="00F26D86" w:rsidRPr="0099235B">
        <w:rPr>
          <w:sz w:val="18"/>
          <w:szCs w:val="18"/>
          <w:lang w:val="en-GB"/>
        </w:rPr>
        <w:t>unfit vs fit</w:t>
      </w:r>
      <w:r w:rsidRPr="0099235B">
        <w:rPr>
          <w:sz w:val="18"/>
          <w:szCs w:val="18"/>
          <w:lang w:val="en-GB"/>
        </w:rPr>
        <w:tab/>
        <w:t>0.849</w:t>
      </w:r>
      <w:r w:rsidRPr="0099235B">
        <w:rPr>
          <w:sz w:val="18"/>
          <w:szCs w:val="18"/>
          <w:lang w:val="en-GB"/>
        </w:rPr>
        <w:tab/>
        <w:t>15</w:t>
      </w:r>
      <w:r w:rsidRPr="0099235B">
        <w:rPr>
          <w:sz w:val="18"/>
          <w:szCs w:val="18"/>
          <w:lang w:val="en-GB"/>
        </w:rPr>
        <w:tab/>
      </w:r>
      <w:proofErr w:type="spellStart"/>
      <w:r w:rsidRPr="0099235B">
        <w:rPr>
          <w:sz w:val="18"/>
          <w:szCs w:val="18"/>
          <w:lang w:val="en-GB"/>
        </w:rPr>
        <w:t>Flück</w:t>
      </w:r>
      <w:proofErr w:type="spellEnd"/>
      <w:r w:rsidRPr="0099235B">
        <w:rPr>
          <w:sz w:val="18"/>
          <w:szCs w:val="18"/>
          <w:lang w:val="en-GB"/>
        </w:rPr>
        <w:t xml:space="preserve"> et al, 2019</w:t>
      </w:r>
      <w:r w:rsidR="00582992" w:rsidRPr="0099235B">
        <w:rPr>
          <w:sz w:val="18"/>
          <w:szCs w:val="18"/>
          <w:lang w:val="en-GB"/>
        </w:rPr>
        <w:tab/>
      </w:r>
      <w:r w:rsidR="008E4D37" w:rsidRPr="0099235B">
        <w:rPr>
          <w:sz w:val="18"/>
          <w:szCs w:val="18"/>
          <w:lang w:val="en-GB"/>
        </w:rPr>
        <w:t xml:space="preserve"> </w:t>
      </w:r>
      <w:r w:rsidRPr="0099235B">
        <w:rPr>
          <w:sz w:val="18"/>
          <w:szCs w:val="18"/>
          <w:lang w:val="en-GB"/>
        </w:rPr>
        <w:t>https://www.ncbi.nlm.nih.gov/pmc/articles/PMC6518954/</w:t>
      </w:r>
    </w:p>
    <w:p w14:paraId="29D90A5E" w14:textId="45F8867A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  <w:lang w:val="en-GB"/>
        </w:rPr>
      </w:pPr>
      <w:r w:rsidRPr="0099235B">
        <w:rPr>
          <w:sz w:val="18"/>
          <w:szCs w:val="18"/>
          <w:lang w:val="en-GB"/>
        </w:rPr>
        <w:t>mitochondrial volume density</w:t>
      </w:r>
      <w:r w:rsidRPr="0099235B">
        <w:rPr>
          <w:sz w:val="18"/>
          <w:szCs w:val="18"/>
          <w:lang w:val="en-GB"/>
        </w:rPr>
        <w:tab/>
      </w:r>
      <w:r w:rsidR="003B5DB2" w:rsidRPr="0099235B">
        <w:rPr>
          <w:sz w:val="18"/>
          <w:szCs w:val="18"/>
          <w:lang w:val="en-GB"/>
        </w:rPr>
        <w:t xml:space="preserve">unfit vs fit ACE-II </w:t>
      </w:r>
      <w:r w:rsidR="003B5DB2" w:rsidRPr="0099235B">
        <w:rPr>
          <w:sz w:val="18"/>
          <w:szCs w:val="18"/>
          <w:lang w:val="en-GB"/>
        </w:rPr>
        <w:tab/>
      </w:r>
      <w:r w:rsidRPr="0099235B">
        <w:rPr>
          <w:sz w:val="18"/>
          <w:szCs w:val="18"/>
          <w:lang w:val="en-GB"/>
        </w:rPr>
        <w:t>1.494</w:t>
      </w:r>
      <w:r w:rsidRPr="0099235B">
        <w:rPr>
          <w:sz w:val="18"/>
          <w:szCs w:val="18"/>
          <w:lang w:val="en-GB"/>
        </w:rPr>
        <w:tab/>
        <w:t>6</w:t>
      </w:r>
      <w:r w:rsidRPr="0099235B">
        <w:rPr>
          <w:sz w:val="18"/>
          <w:szCs w:val="18"/>
          <w:lang w:val="en-GB"/>
        </w:rPr>
        <w:tab/>
      </w:r>
      <w:proofErr w:type="spellStart"/>
      <w:r w:rsidRPr="0099235B">
        <w:rPr>
          <w:sz w:val="18"/>
          <w:szCs w:val="18"/>
          <w:lang w:val="en-GB"/>
        </w:rPr>
        <w:t>Flück</w:t>
      </w:r>
      <w:proofErr w:type="spellEnd"/>
      <w:r w:rsidRPr="0099235B">
        <w:rPr>
          <w:sz w:val="18"/>
          <w:szCs w:val="18"/>
          <w:lang w:val="en-GB"/>
        </w:rPr>
        <w:t xml:space="preserve"> et al, 2019</w:t>
      </w:r>
      <w:r w:rsidRPr="0099235B">
        <w:rPr>
          <w:sz w:val="18"/>
          <w:szCs w:val="18"/>
          <w:lang w:val="en-GB"/>
        </w:rPr>
        <w:tab/>
        <w:t>https://www.ncbi.nlm.nih.gov/pmc/articles/PMC6518954/</w:t>
      </w:r>
    </w:p>
    <w:p w14:paraId="066F93CA" w14:textId="75246C40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  <w:lang w:val="en-GB"/>
        </w:rPr>
      </w:pPr>
      <w:r w:rsidRPr="0099235B">
        <w:rPr>
          <w:sz w:val="18"/>
          <w:szCs w:val="18"/>
          <w:lang w:val="en-GB"/>
        </w:rPr>
        <w:t>mitochondrial volume density</w:t>
      </w:r>
      <w:r w:rsidRPr="0099235B">
        <w:rPr>
          <w:sz w:val="18"/>
          <w:szCs w:val="18"/>
          <w:lang w:val="en-GB"/>
        </w:rPr>
        <w:tab/>
      </w:r>
      <w:r w:rsidR="003B5DB2" w:rsidRPr="0099235B">
        <w:rPr>
          <w:sz w:val="18"/>
          <w:szCs w:val="18"/>
          <w:lang w:val="en-GB"/>
        </w:rPr>
        <w:t>unfit vs fit ACE-ID</w:t>
      </w:r>
      <w:r w:rsidR="003B5DB2" w:rsidRPr="0099235B">
        <w:rPr>
          <w:sz w:val="18"/>
          <w:szCs w:val="18"/>
          <w:lang w:val="en-GB"/>
        </w:rPr>
        <w:tab/>
      </w:r>
      <w:r w:rsidRPr="0099235B">
        <w:rPr>
          <w:sz w:val="18"/>
          <w:szCs w:val="18"/>
          <w:lang w:val="en-GB"/>
        </w:rPr>
        <w:t>1.36</w:t>
      </w:r>
      <w:r w:rsidRPr="0099235B">
        <w:rPr>
          <w:sz w:val="18"/>
          <w:szCs w:val="18"/>
          <w:lang w:val="en-GB"/>
        </w:rPr>
        <w:tab/>
        <w:t>8</w:t>
      </w:r>
      <w:r w:rsidRPr="0099235B">
        <w:rPr>
          <w:sz w:val="18"/>
          <w:szCs w:val="18"/>
          <w:lang w:val="en-GB"/>
        </w:rPr>
        <w:tab/>
      </w:r>
      <w:proofErr w:type="spellStart"/>
      <w:r w:rsidRPr="0099235B">
        <w:rPr>
          <w:sz w:val="18"/>
          <w:szCs w:val="18"/>
          <w:lang w:val="en-GB"/>
        </w:rPr>
        <w:t>Flück</w:t>
      </w:r>
      <w:proofErr w:type="spellEnd"/>
      <w:r w:rsidRPr="0099235B">
        <w:rPr>
          <w:sz w:val="18"/>
          <w:szCs w:val="18"/>
          <w:lang w:val="en-GB"/>
        </w:rPr>
        <w:t xml:space="preserve"> et al, 2019</w:t>
      </w:r>
      <w:r w:rsidRPr="0099235B">
        <w:rPr>
          <w:sz w:val="18"/>
          <w:szCs w:val="18"/>
          <w:lang w:val="en-GB"/>
        </w:rPr>
        <w:tab/>
        <w:t>https://www.ncbi.nlm.nih.gov/pmc/articles/PMC6518954/</w:t>
      </w:r>
    </w:p>
    <w:p w14:paraId="0185657B" w14:textId="3D3627B8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  <w:lang w:val="en-GB"/>
        </w:rPr>
      </w:pPr>
      <w:r w:rsidRPr="0099235B">
        <w:rPr>
          <w:sz w:val="18"/>
          <w:szCs w:val="18"/>
          <w:lang w:val="en-GB"/>
        </w:rPr>
        <w:t>mitochondrial volume density</w:t>
      </w:r>
      <w:r w:rsidRPr="0099235B">
        <w:rPr>
          <w:sz w:val="18"/>
          <w:szCs w:val="18"/>
          <w:lang w:val="en-GB"/>
        </w:rPr>
        <w:tab/>
      </w:r>
      <w:r w:rsidR="00407B1E" w:rsidRPr="0099235B">
        <w:rPr>
          <w:sz w:val="18"/>
          <w:szCs w:val="18"/>
          <w:lang w:val="en-GB"/>
        </w:rPr>
        <w:t xml:space="preserve">unfit vs fit ACE-DD </w:t>
      </w:r>
      <w:r w:rsidRPr="0099235B">
        <w:rPr>
          <w:sz w:val="18"/>
          <w:szCs w:val="18"/>
          <w:lang w:val="en-GB"/>
        </w:rPr>
        <w:tab/>
      </w:r>
      <w:r w:rsidR="00407B1E" w:rsidRPr="0099235B">
        <w:rPr>
          <w:sz w:val="18"/>
          <w:szCs w:val="18"/>
          <w:lang w:val="en-GB"/>
        </w:rPr>
        <w:t>1.00</w:t>
      </w:r>
      <w:r w:rsidR="00407B1E" w:rsidRPr="0099235B">
        <w:rPr>
          <w:sz w:val="18"/>
          <w:szCs w:val="18"/>
          <w:lang w:val="en-GB"/>
        </w:rPr>
        <w:tab/>
      </w:r>
      <w:r w:rsidRPr="0099235B">
        <w:rPr>
          <w:sz w:val="18"/>
          <w:szCs w:val="18"/>
          <w:lang w:val="en-GB"/>
        </w:rPr>
        <w:t>10</w:t>
      </w:r>
      <w:r w:rsidRPr="0099235B">
        <w:rPr>
          <w:sz w:val="18"/>
          <w:szCs w:val="18"/>
          <w:lang w:val="en-GB"/>
        </w:rPr>
        <w:tab/>
      </w:r>
      <w:proofErr w:type="spellStart"/>
      <w:r w:rsidRPr="0099235B">
        <w:rPr>
          <w:sz w:val="18"/>
          <w:szCs w:val="18"/>
          <w:lang w:val="en-GB"/>
        </w:rPr>
        <w:t>Flück</w:t>
      </w:r>
      <w:proofErr w:type="spellEnd"/>
      <w:r w:rsidRPr="0099235B">
        <w:rPr>
          <w:sz w:val="18"/>
          <w:szCs w:val="18"/>
          <w:lang w:val="en-GB"/>
        </w:rPr>
        <w:t xml:space="preserve"> et al, 2019</w:t>
      </w:r>
      <w:r w:rsidRPr="0099235B">
        <w:rPr>
          <w:sz w:val="18"/>
          <w:szCs w:val="18"/>
          <w:lang w:val="en-GB"/>
        </w:rPr>
        <w:tab/>
        <w:t>https://www.ncbi.nlm.nih.gov/pmc/articles/PMC6518954/</w:t>
      </w:r>
    </w:p>
    <w:p w14:paraId="7CBE89A3" w14:textId="77777777" w:rsidR="00F01647" w:rsidRPr="0099235B" w:rsidRDefault="00F01647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  <w:lang w:val="en-GB"/>
        </w:rPr>
      </w:pPr>
    </w:p>
    <w:p w14:paraId="1F174269" w14:textId="47B72E4F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  <w:lang w:val="en-GB"/>
        </w:rPr>
      </w:pPr>
      <w:r w:rsidRPr="0099235B">
        <w:rPr>
          <w:sz w:val="18"/>
          <w:szCs w:val="18"/>
          <w:lang w:val="en-GB"/>
        </w:rPr>
        <w:t>total mitochondrial volume density</w:t>
      </w:r>
      <w:r w:rsidRPr="0099235B">
        <w:rPr>
          <w:sz w:val="18"/>
          <w:szCs w:val="18"/>
          <w:lang w:val="en-GB"/>
        </w:rPr>
        <w:tab/>
      </w:r>
      <w:r w:rsidR="00407B1E" w:rsidRPr="0099235B">
        <w:rPr>
          <w:sz w:val="18"/>
          <w:szCs w:val="18"/>
          <w:lang w:val="en-GB"/>
        </w:rPr>
        <w:t>un</w:t>
      </w:r>
      <w:r w:rsidR="003B5DB2" w:rsidRPr="0099235B">
        <w:rPr>
          <w:sz w:val="18"/>
          <w:szCs w:val="18"/>
          <w:lang w:val="en-GB"/>
        </w:rPr>
        <w:t>fit</w:t>
      </w:r>
      <w:r w:rsidRPr="0099235B">
        <w:rPr>
          <w:sz w:val="18"/>
          <w:szCs w:val="18"/>
          <w:lang w:val="en-GB"/>
        </w:rPr>
        <w:t xml:space="preserve"> vs</w:t>
      </w:r>
      <w:r w:rsidR="003B5DB2" w:rsidRPr="0099235B">
        <w:rPr>
          <w:sz w:val="18"/>
          <w:szCs w:val="18"/>
          <w:lang w:val="en-GB"/>
        </w:rPr>
        <w:t xml:space="preserve"> fit ACE-I allele</w:t>
      </w:r>
      <w:r w:rsidRPr="0099235B">
        <w:rPr>
          <w:sz w:val="18"/>
          <w:szCs w:val="18"/>
          <w:lang w:val="en-GB"/>
        </w:rPr>
        <w:tab/>
        <w:t>0.073</w:t>
      </w:r>
      <w:r w:rsidRPr="0099235B">
        <w:rPr>
          <w:sz w:val="18"/>
          <w:szCs w:val="18"/>
          <w:lang w:val="en-GB"/>
        </w:rPr>
        <w:tab/>
        <w:t>1240</w:t>
      </w:r>
      <w:r w:rsidRPr="0099235B">
        <w:rPr>
          <w:sz w:val="18"/>
          <w:szCs w:val="18"/>
          <w:lang w:val="en-GB"/>
        </w:rPr>
        <w:tab/>
        <w:t>Vaughan et al. 2013</w:t>
      </w:r>
      <w:r w:rsidRPr="0099235B">
        <w:rPr>
          <w:sz w:val="18"/>
          <w:szCs w:val="18"/>
          <w:lang w:val="en-GB"/>
        </w:rPr>
        <w:tab/>
        <w:t>https://www.ncbi.nlm.nih.gov/pmc/articles/PMC3677975/</w:t>
      </w:r>
    </w:p>
    <w:p w14:paraId="686E89B0" w14:textId="619E968F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  <w:lang w:val="en-GB"/>
        </w:rPr>
      </w:pPr>
      <w:r w:rsidRPr="0099235B">
        <w:rPr>
          <w:sz w:val="18"/>
          <w:szCs w:val="18"/>
          <w:lang w:val="en-GB"/>
        </w:rPr>
        <w:t>subsarcolemmal mitochondrial volume density</w:t>
      </w:r>
      <w:r w:rsidRPr="0099235B">
        <w:rPr>
          <w:sz w:val="18"/>
          <w:szCs w:val="18"/>
          <w:lang w:val="en-GB"/>
        </w:rPr>
        <w:tab/>
      </w:r>
      <w:r w:rsidR="003B5DB2" w:rsidRPr="0099235B">
        <w:rPr>
          <w:sz w:val="18"/>
          <w:szCs w:val="18"/>
          <w:lang w:val="en-GB"/>
        </w:rPr>
        <w:t>unfit vs fit ACE-I allele</w:t>
      </w:r>
      <w:r w:rsidRPr="0099235B">
        <w:rPr>
          <w:sz w:val="18"/>
          <w:szCs w:val="18"/>
          <w:lang w:val="en-GB"/>
        </w:rPr>
        <w:tab/>
        <w:t>0.152</w:t>
      </w:r>
      <w:r w:rsidRPr="0099235B">
        <w:rPr>
          <w:sz w:val="18"/>
          <w:szCs w:val="18"/>
          <w:lang w:val="en-GB"/>
        </w:rPr>
        <w:tab/>
        <w:t>292</w:t>
      </w:r>
      <w:r w:rsidRPr="0099235B">
        <w:rPr>
          <w:sz w:val="18"/>
          <w:szCs w:val="18"/>
          <w:lang w:val="en-GB"/>
        </w:rPr>
        <w:tab/>
        <w:t>Vaughan et al. 2013</w:t>
      </w:r>
      <w:r w:rsidRPr="0099235B">
        <w:rPr>
          <w:sz w:val="18"/>
          <w:szCs w:val="18"/>
          <w:lang w:val="en-GB"/>
        </w:rPr>
        <w:tab/>
        <w:t>https://www.ncbi.nlm.nih.gov/pmc/articles/PMC3677975/</w:t>
      </w:r>
    </w:p>
    <w:p w14:paraId="64800FE3" w14:textId="1C02C830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  <w:lang w:val="en-GB"/>
        </w:rPr>
      </w:pPr>
      <w:r w:rsidRPr="0099235B">
        <w:rPr>
          <w:sz w:val="18"/>
          <w:szCs w:val="18"/>
          <w:lang w:val="en-GB"/>
        </w:rPr>
        <w:t>subsarcolemmal mitochondrial volume density</w:t>
      </w:r>
      <w:r w:rsidRPr="0099235B">
        <w:rPr>
          <w:sz w:val="18"/>
          <w:szCs w:val="18"/>
          <w:lang w:val="en-GB"/>
        </w:rPr>
        <w:tab/>
      </w:r>
      <w:r w:rsidR="003B5DB2" w:rsidRPr="0099235B">
        <w:rPr>
          <w:sz w:val="18"/>
          <w:szCs w:val="18"/>
          <w:lang w:val="en-GB"/>
        </w:rPr>
        <w:t xml:space="preserve">unfit vs fit </w:t>
      </w:r>
      <w:r w:rsidRPr="0099235B">
        <w:rPr>
          <w:sz w:val="18"/>
          <w:szCs w:val="18"/>
          <w:lang w:val="en-GB"/>
        </w:rPr>
        <w:t>ACE-I allele</w:t>
      </w:r>
      <w:r w:rsidRPr="0099235B">
        <w:rPr>
          <w:sz w:val="18"/>
          <w:szCs w:val="18"/>
          <w:lang w:val="en-GB"/>
        </w:rPr>
        <w:tab/>
        <w:t>0.314</w:t>
      </w:r>
      <w:r w:rsidRPr="0099235B">
        <w:rPr>
          <w:sz w:val="18"/>
          <w:szCs w:val="18"/>
          <w:lang w:val="en-GB"/>
        </w:rPr>
        <w:tab/>
        <w:t>70</w:t>
      </w:r>
      <w:r w:rsidRPr="0099235B">
        <w:rPr>
          <w:sz w:val="18"/>
          <w:szCs w:val="18"/>
          <w:lang w:val="en-GB"/>
        </w:rPr>
        <w:tab/>
        <w:t>Vaughan et al. 2013</w:t>
      </w:r>
      <w:r w:rsidRPr="0099235B">
        <w:rPr>
          <w:sz w:val="18"/>
          <w:szCs w:val="18"/>
          <w:lang w:val="en-GB"/>
        </w:rPr>
        <w:tab/>
        <w:t>https://www.ncbi.nlm.nih.gov/pmc/articles/PMC3677975/</w:t>
      </w:r>
    </w:p>
    <w:p w14:paraId="15EB40EA" w14:textId="5E299431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</w:rPr>
      </w:pPr>
      <w:r w:rsidRPr="0099235B">
        <w:rPr>
          <w:sz w:val="18"/>
          <w:szCs w:val="18"/>
        </w:rPr>
        <w:t>VO2max</w:t>
      </w:r>
      <w:r w:rsidRPr="0099235B">
        <w:rPr>
          <w:sz w:val="18"/>
          <w:szCs w:val="18"/>
        </w:rPr>
        <w:tab/>
      </w:r>
      <w:r w:rsidR="00991A25" w:rsidRPr="0099235B">
        <w:rPr>
          <w:sz w:val="18"/>
          <w:szCs w:val="18"/>
        </w:rPr>
        <w:tab/>
      </w:r>
      <w:proofErr w:type="spellStart"/>
      <w:r w:rsidR="00E930CB" w:rsidRPr="0099235B">
        <w:rPr>
          <w:sz w:val="18"/>
          <w:szCs w:val="18"/>
        </w:rPr>
        <w:t>unfit</w:t>
      </w:r>
      <w:proofErr w:type="spellEnd"/>
      <w:r w:rsidR="00E930CB" w:rsidRPr="0099235B">
        <w:rPr>
          <w:sz w:val="18"/>
          <w:szCs w:val="18"/>
        </w:rPr>
        <w:t xml:space="preserve"> vs fit</w:t>
      </w:r>
      <w:r w:rsidRPr="0099235B">
        <w:rPr>
          <w:sz w:val="18"/>
          <w:szCs w:val="18"/>
        </w:rPr>
        <w:tab/>
        <w:t>0.652</w:t>
      </w:r>
      <w:r w:rsidRPr="0099235B">
        <w:rPr>
          <w:sz w:val="18"/>
          <w:szCs w:val="18"/>
        </w:rPr>
        <w:tab/>
        <w:t>24</w:t>
      </w:r>
      <w:r w:rsidRPr="0099235B">
        <w:rPr>
          <w:sz w:val="18"/>
          <w:szCs w:val="18"/>
        </w:rPr>
        <w:tab/>
        <w:t>Vaughan et al. 2016</w:t>
      </w:r>
      <w:r w:rsidRPr="0099235B">
        <w:rPr>
          <w:sz w:val="18"/>
          <w:szCs w:val="18"/>
        </w:rPr>
        <w:tab/>
        <w:t>https://www.ncbi.nlm.nih.gov/pmc/articles/PMC4794249/</w:t>
      </w:r>
    </w:p>
    <w:p w14:paraId="27CA9397" w14:textId="28EA3D15" w:rsidR="00082DF1" w:rsidRPr="0099235B" w:rsidRDefault="00082DF1" w:rsidP="00146002">
      <w:pPr>
        <w:tabs>
          <w:tab w:val="left" w:pos="709"/>
          <w:tab w:val="left" w:pos="3828"/>
          <w:tab w:val="left" w:pos="5812"/>
          <w:tab w:val="left" w:pos="8647"/>
          <w:tab w:val="left" w:pos="10348"/>
          <w:tab w:val="left" w:pos="12333"/>
          <w:tab w:val="left" w:pos="13325"/>
          <w:tab w:val="left" w:pos="14742"/>
          <w:tab w:val="left" w:pos="16018"/>
          <w:tab w:val="left" w:pos="18286"/>
          <w:tab w:val="left" w:pos="18853"/>
        </w:tabs>
        <w:rPr>
          <w:sz w:val="18"/>
          <w:szCs w:val="18"/>
        </w:rPr>
      </w:pPr>
      <w:r w:rsidRPr="0099235B">
        <w:rPr>
          <w:sz w:val="18"/>
          <w:szCs w:val="18"/>
        </w:rPr>
        <w:t>VO2max kg-1</w:t>
      </w:r>
      <w:r w:rsidRPr="0099235B">
        <w:rPr>
          <w:sz w:val="18"/>
          <w:szCs w:val="18"/>
        </w:rPr>
        <w:tab/>
      </w:r>
      <w:proofErr w:type="spellStart"/>
      <w:r w:rsidR="00E930CB" w:rsidRPr="0099235B">
        <w:rPr>
          <w:sz w:val="18"/>
          <w:szCs w:val="18"/>
        </w:rPr>
        <w:t>unfit</w:t>
      </w:r>
      <w:proofErr w:type="spellEnd"/>
      <w:r w:rsidR="00E930CB" w:rsidRPr="0099235B">
        <w:rPr>
          <w:sz w:val="18"/>
          <w:szCs w:val="18"/>
        </w:rPr>
        <w:t xml:space="preserve"> vs fit</w:t>
      </w:r>
      <w:r w:rsidRPr="0099235B">
        <w:rPr>
          <w:sz w:val="18"/>
          <w:szCs w:val="18"/>
        </w:rPr>
        <w:tab/>
        <w:t>1.201</w:t>
      </w:r>
      <w:r w:rsidRPr="0099235B">
        <w:rPr>
          <w:sz w:val="18"/>
          <w:szCs w:val="18"/>
        </w:rPr>
        <w:tab/>
        <w:t>12</w:t>
      </w:r>
      <w:r w:rsidRPr="0099235B">
        <w:rPr>
          <w:sz w:val="18"/>
          <w:szCs w:val="18"/>
        </w:rPr>
        <w:tab/>
        <w:t>Vaughan et al. 2016</w:t>
      </w:r>
      <w:r w:rsidRPr="0099235B">
        <w:rPr>
          <w:sz w:val="18"/>
          <w:szCs w:val="18"/>
        </w:rPr>
        <w:tab/>
        <w:t>https://www.ncbi.nlm.nih.gov/pmc/articles/PMC4794249/</w:t>
      </w:r>
    </w:p>
    <w:sectPr w:rsidR="00082DF1" w:rsidRPr="0099235B" w:rsidSect="00407B1E">
      <w:pgSz w:w="23814" w:h="11907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28"/>
    <w:rsid w:val="00082DF1"/>
    <w:rsid w:val="000E19F0"/>
    <w:rsid w:val="00146002"/>
    <w:rsid w:val="00301B97"/>
    <w:rsid w:val="003B5DB2"/>
    <w:rsid w:val="00407B1E"/>
    <w:rsid w:val="0044486D"/>
    <w:rsid w:val="00461384"/>
    <w:rsid w:val="004927EF"/>
    <w:rsid w:val="004D2E43"/>
    <w:rsid w:val="00514B24"/>
    <w:rsid w:val="005375A5"/>
    <w:rsid w:val="00570135"/>
    <w:rsid w:val="00582992"/>
    <w:rsid w:val="00592F33"/>
    <w:rsid w:val="005941E4"/>
    <w:rsid w:val="00682CB3"/>
    <w:rsid w:val="0072219C"/>
    <w:rsid w:val="0075590D"/>
    <w:rsid w:val="00764E12"/>
    <w:rsid w:val="0086484A"/>
    <w:rsid w:val="008E4D37"/>
    <w:rsid w:val="009332B7"/>
    <w:rsid w:val="0096199A"/>
    <w:rsid w:val="00991A25"/>
    <w:rsid w:val="0099235B"/>
    <w:rsid w:val="00AE5138"/>
    <w:rsid w:val="00B52108"/>
    <w:rsid w:val="00C87E85"/>
    <w:rsid w:val="00CE15CC"/>
    <w:rsid w:val="00D82928"/>
    <w:rsid w:val="00DB0E62"/>
    <w:rsid w:val="00E930CB"/>
    <w:rsid w:val="00EB3445"/>
    <w:rsid w:val="00F01647"/>
    <w:rsid w:val="00F26D86"/>
    <w:rsid w:val="00F42E02"/>
    <w:rsid w:val="00F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CDCC"/>
  <w15:chartTrackingRefBased/>
  <w15:docId w15:val="{5E30C71E-DA47-4F57-8474-7D8AEC17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FLUECK Martin</dc:creator>
  <cp:keywords/>
  <dc:description/>
  <cp:lastModifiedBy>Frontiers</cp:lastModifiedBy>
  <cp:revision>15</cp:revision>
  <dcterms:created xsi:type="dcterms:W3CDTF">2022-01-01T01:07:00Z</dcterms:created>
  <dcterms:modified xsi:type="dcterms:W3CDTF">2022-01-25T09:52:00Z</dcterms:modified>
</cp:coreProperties>
</file>