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BC43" w14:textId="2F4332AD" w:rsidR="00C2474C" w:rsidRPr="00A21DA6" w:rsidRDefault="00235CBB">
      <w:pPr>
        <w:rPr>
          <w:rFonts w:ascii="Times New Roman" w:eastAsiaTheme="majorEastAsia" w:hAnsi="Times New Roman" w:cs="Times New Roman"/>
          <w:b/>
          <w:kern w:val="0"/>
          <w:sz w:val="24"/>
        </w:rPr>
      </w:pPr>
      <w:r w:rsidRPr="00A21DA6">
        <w:rPr>
          <w:rFonts w:ascii="Times New Roman" w:eastAsiaTheme="majorEastAsia" w:hAnsi="Times New Roman" w:cs="Times New Roman"/>
          <w:b/>
          <w:kern w:val="0"/>
          <w:sz w:val="24"/>
        </w:rPr>
        <w:t>Supplementary materia</w:t>
      </w:r>
      <w:r w:rsidR="00A21DA6" w:rsidRPr="00A21DA6">
        <w:rPr>
          <w:rFonts w:ascii="Times New Roman" w:eastAsiaTheme="majorEastAsia" w:hAnsi="Times New Roman" w:cs="Times New Roman"/>
          <w:b/>
          <w:kern w:val="0"/>
          <w:sz w:val="24"/>
        </w:rPr>
        <w:t>l</w:t>
      </w:r>
      <w:r w:rsidRPr="00A21DA6">
        <w:rPr>
          <w:rFonts w:ascii="Times New Roman" w:eastAsiaTheme="majorEastAsia" w:hAnsi="Times New Roman" w:cs="Times New Roman"/>
          <w:b/>
          <w:kern w:val="0"/>
          <w:sz w:val="24"/>
        </w:rPr>
        <w:t>s:</w:t>
      </w:r>
    </w:p>
    <w:p w14:paraId="666A2576" w14:textId="77777777" w:rsidR="00C2474C" w:rsidRPr="00A21DA6" w:rsidRDefault="00C2474C">
      <w:pPr>
        <w:rPr>
          <w:rFonts w:ascii="Times New Roman" w:eastAsiaTheme="majorEastAsia" w:hAnsi="Times New Roman" w:cs="Times New Roman"/>
          <w:b/>
          <w:kern w:val="0"/>
          <w:sz w:val="24"/>
        </w:rPr>
      </w:pPr>
    </w:p>
    <w:p w14:paraId="112C18E1" w14:textId="77777777" w:rsidR="00C2474C" w:rsidRPr="00A21DA6" w:rsidRDefault="00C2474C">
      <w:pPr>
        <w:rPr>
          <w:rFonts w:ascii="Times New Roman" w:eastAsiaTheme="majorEastAsia" w:hAnsi="Times New Roman" w:cs="Times New Roman"/>
          <w:b/>
          <w:kern w:val="0"/>
          <w:sz w:val="24"/>
        </w:rPr>
      </w:pPr>
    </w:p>
    <w:p w14:paraId="63C330A0" w14:textId="77777777" w:rsidR="00C2474C" w:rsidRPr="00A21DA6" w:rsidRDefault="00235CBB">
      <w:pPr>
        <w:rPr>
          <w:rFonts w:ascii="Times New Roman" w:eastAsiaTheme="majorEastAsia" w:hAnsi="Times New Roman" w:cs="Times New Roman"/>
          <w:b/>
          <w:sz w:val="24"/>
        </w:rPr>
      </w:pPr>
      <w:r w:rsidRPr="00A21DA6">
        <w:rPr>
          <w:rFonts w:ascii="Times New Roman" w:eastAsiaTheme="majorEastAsia" w:hAnsi="Times New Roman" w:cs="Times New Roman"/>
          <w:b/>
          <w:kern w:val="0"/>
          <w:sz w:val="24"/>
        </w:rPr>
        <w:t>Contents of Supplementary data</w:t>
      </w: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3578"/>
      </w:tblGrid>
      <w:tr w:rsidR="00C2474C" w:rsidRPr="00A21DA6" w14:paraId="2530F7F9" w14:textId="77777777">
        <w:trPr>
          <w:trHeight w:val="500"/>
        </w:trPr>
        <w:tc>
          <w:tcPr>
            <w:tcW w:w="3756" w:type="dxa"/>
            <w:shd w:val="clear" w:color="auto" w:fill="auto"/>
            <w:vAlign w:val="center"/>
          </w:tcPr>
          <w:p w14:paraId="522D4F81" w14:textId="77777777" w:rsidR="00C2474C" w:rsidRPr="00A21DA6" w:rsidRDefault="00235CBB">
            <w:pPr>
              <w:jc w:val="center"/>
              <w:rPr>
                <w:rFonts w:ascii="Times New Roman" w:eastAsiaTheme="majorEastAsia" w:hAnsi="Times New Roman" w:cs="Times New Roman"/>
                <w:b/>
                <w:sz w:val="24"/>
              </w:rPr>
            </w:pPr>
            <w:r w:rsidRPr="00A21DA6">
              <w:rPr>
                <w:rFonts w:ascii="Times New Roman" w:eastAsiaTheme="majorEastAsia" w:hAnsi="Times New Roman" w:cs="Times New Roman"/>
                <w:b/>
                <w:sz w:val="24"/>
              </w:rPr>
              <w:t>contents</w:t>
            </w:r>
          </w:p>
        </w:tc>
        <w:tc>
          <w:tcPr>
            <w:tcW w:w="3578" w:type="dxa"/>
            <w:shd w:val="clear" w:color="auto" w:fill="auto"/>
            <w:vAlign w:val="center"/>
          </w:tcPr>
          <w:p w14:paraId="2F4FD87D" w14:textId="77777777" w:rsidR="00C2474C" w:rsidRPr="00A21DA6" w:rsidRDefault="00235CBB">
            <w:pPr>
              <w:jc w:val="center"/>
              <w:rPr>
                <w:rFonts w:ascii="Times New Roman" w:eastAsiaTheme="majorEastAsia" w:hAnsi="Times New Roman" w:cs="Times New Roman"/>
                <w:b/>
                <w:sz w:val="24"/>
              </w:rPr>
            </w:pPr>
            <w:r w:rsidRPr="00A21DA6">
              <w:rPr>
                <w:rFonts w:ascii="Times New Roman" w:eastAsiaTheme="majorEastAsia" w:hAnsi="Times New Roman" w:cs="Times New Roman"/>
                <w:b/>
                <w:sz w:val="24"/>
              </w:rPr>
              <w:t>number</w:t>
            </w:r>
          </w:p>
        </w:tc>
      </w:tr>
      <w:tr w:rsidR="00C2474C" w:rsidRPr="00A21DA6" w14:paraId="25938444" w14:textId="77777777">
        <w:trPr>
          <w:trHeight w:val="90"/>
        </w:trPr>
        <w:tc>
          <w:tcPr>
            <w:tcW w:w="3756" w:type="dxa"/>
            <w:shd w:val="clear" w:color="auto" w:fill="auto"/>
            <w:vAlign w:val="center"/>
          </w:tcPr>
          <w:p w14:paraId="62A5C6A6" w14:textId="77777777" w:rsidR="00C2474C" w:rsidRPr="00A21DA6" w:rsidRDefault="00235CBB">
            <w:pPr>
              <w:autoSpaceDE w:val="0"/>
              <w:autoSpaceDN w:val="0"/>
              <w:adjustRightInd w:val="0"/>
              <w:jc w:val="center"/>
              <w:rPr>
                <w:rFonts w:ascii="Times New Roman" w:eastAsiaTheme="majorEastAsia" w:hAnsi="Times New Roman" w:cs="Times New Roman"/>
                <w:b/>
                <w:sz w:val="24"/>
              </w:rPr>
            </w:pPr>
            <w:r w:rsidRPr="00A21DA6">
              <w:rPr>
                <w:rFonts w:ascii="Times New Roman" w:eastAsiaTheme="majorEastAsia" w:hAnsi="Times New Roman" w:cs="Times New Roman"/>
                <w:b/>
                <w:sz w:val="24"/>
              </w:rPr>
              <w:t>Supplementary methods</w:t>
            </w:r>
          </w:p>
        </w:tc>
        <w:tc>
          <w:tcPr>
            <w:tcW w:w="3578" w:type="dxa"/>
            <w:shd w:val="clear" w:color="auto" w:fill="auto"/>
            <w:vAlign w:val="center"/>
          </w:tcPr>
          <w:p w14:paraId="0CC2BB2E" w14:textId="77777777" w:rsidR="00C2474C" w:rsidRPr="00A21DA6" w:rsidRDefault="00235CBB">
            <w:pPr>
              <w:jc w:val="center"/>
              <w:rPr>
                <w:rFonts w:ascii="Times New Roman" w:eastAsiaTheme="majorEastAsia" w:hAnsi="Times New Roman" w:cs="Times New Roman"/>
                <w:b/>
                <w:sz w:val="24"/>
              </w:rPr>
            </w:pPr>
            <w:r w:rsidRPr="00A21DA6">
              <w:rPr>
                <w:rFonts w:ascii="Times New Roman" w:eastAsiaTheme="majorEastAsia" w:hAnsi="Times New Roman" w:cs="Times New Roman"/>
                <w:b/>
                <w:sz w:val="24"/>
              </w:rPr>
              <w:t>3</w:t>
            </w:r>
          </w:p>
        </w:tc>
      </w:tr>
      <w:tr w:rsidR="00C2474C" w:rsidRPr="00A21DA6" w14:paraId="7F9C27A0" w14:textId="77777777">
        <w:trPr>
          <w:trHeight w:val="453"/>
        </w:trPr>
        <w:tc>
          <w:tcPr>
            <w:tcW w:w="3756" w:type="dxa"/>
            <w:shd w:val="clear" w:color="auto" w:fill="auto"/>
            <w:vAlign w:val="center"/>
          </w:tcPr>
          <w:p w14:paraId="2745F328" w14:textId="77777777" w:rsidR="00C2474C" w:rsidRPr="00A21DA6" w:rsidRDefault="00235CBB">
            <w:pPr>
              <w:jc w:val="center"/>
              <w:rPr>
                <w:rFonts w:ascii="Times New Roman" w:eastAsiaTheme="majorEastAsia" w:hAnsi="Times New Roman" w:cs="Times New Roman"/>
                <w:b/>
                <w:sz w:val="24"/>
              </w:rPr>
            </w:pPr>
            <w:r w:rsidRPr="00A21DA6">
              <w:rPr>
                <w:rFonts w:ascii="Times New Roman" w:eastAsiaTheme="majorEastAsia" w:hAnsi="Times New Roman" w:cs="Times New Roman"/>
                <w:b/>
                <w:sz w:val="24"/>
              </w:rPr>
              <w:t>Supplementary Tables</w:t>
            </w:r>
          </w:p>
        </w:tc>
        <w:tc>
          <w:tcPr>
            <w:tcW w:w="3578" w:type="dxa"/>
            <w:shd w:val="clear" w:color="auto" w:fill="auto"/>
            <w:vAlign w:val="center"/>
          </w:tcPr>
          <w:p w14:paraId="418DFFD3" w14:textId="77777777" w:rsidR="00C2474C" w:rsidRPr="00A21DA6" w:rsidRDefault="00235CBB">
            <w:pPr>
              <w:jc w:val="center"/>
              <w:rPr>
                <w:rFonts w:ascii="Times New Roman" w:eastAsiaTheme="majorEastAsia" w:hAnsi="Times New Roman" w:cs="Times New Roman"/>
                <w:b/>
                <w:sz w:val="24"/>
              </w:rPr>
            </w:pPr>
            <w:r w:rsidRPr="00A21DA6">
              <w:rPr>
                <w:rFonts w:ascii="Times New Roman" w:eastAsiaTheme="majorEastAsia" w:hAnsi="Times New Roman" w:cs="Times New Roman"/>
                <w:b/>
                <w:sz w:val="24"/>
              </w:rPr>
              <w:t>5</w:t>
            </w:r>
          </w:p>
        </w:tc>
      </w:tr>
      <w:tr w:rsidR="00C2474C" w:rsidRPr="00A21DA6" w14:paraId="70D8F5E8" w14:textId="77777777">
        <w:trPr>
          <w:trHeight w:val="453"/>
        </w:trPr>
        <w:tc>
          <w:tcPr>
            <w:tcW w:w="3756" w:type="dxa"/>
            <w:shd w:val="clear" w:color="auto" w:fill="auto"/>
            <w:vAlign w:val="center"/>
          </w:tcPr>
          <w:p w14:paraId="24A92D7F" w14:textId="77777777" w:rsidR="00C2474C" w:rsidRPr="00A21DA6" w:rsidRDefault="00235CBB">
            <w:pPr>
              <w:jc w:val="center"/>
              <w:rPr>
                <w:rFonts w:ascii="Times New Roman" w:eastAsiaTheme="majorEastAsia" w:hAnsi="Times New Roman" w:cs="Times New Roman"/>
                <w:b/>
                <w:sz w:val="24"/>
              </w:rPr>
            </w:pPr>
            <w:r w:rsidRPr="00A21DA6">
              <w:rPr>
                <w:rFonts w:ascii="Times New Roman" w:eastAsiaTheme="majorEastAsia" w:hAnsi="Times New Roman" w:cs="Times New Roman"/>
                <w:b/>
                <w:sz w:val="24"/>
              </w:rPr>
              <w:t>Supplementary Figure</w:t>
            </w:r>
          </w:p>
        </w:tc>
        <w:tc>
          <w:tcPr>
            <w:tcW w:w="3578" w:type="dxa"/>
            <w:shd w:val="clear" w:color="auto" w:fill="auto"/>
            <w:vAlign w:val="center"/>
          </w:tcPr>
          <w:p w14:paraId="09432B18" w14:textId="77777777" w:rsidR="00C2474C" w:rsidRPr="00A21DA6" w:rsidRDefault="00235CBB">
            <w:pPr>
              <w:jc w:val="center"/>
              <w:rPr>
                <w:rFonts w:ascii="Times New Roman" w:eastAsiaTheme="majorEastAsia" w:hAnsi="Times New Roman" w:cs="Times New Roman"/>
                <w:b/>
                <w:sz w:val="24"/>
              </w:rPr>
            </w:pPr>
            <w:r w:rsidRPr="00A21DA6">
              <w:rPr>
                <w:rFonts w:ascii="Times New Roman" w:eastAsiaTheme="majorEastAsia" w:hAnsi="Times New Roman" w:cs="Times New Roman" w:hint="eastAsia"/>
                <w:b/>
                <w:sz w:val="24"/>
              </w:rPr>
              <w:t>2</w:t>
            </w:r>
          </w:p>
        </w:tc>
      </w:tr>
    </w:tbl>
    <w:p w14:paraId="4E5EBC57" w14:textId="77777777" w:rsidR="00C2474C" w:rsidRPr="00A21DA6" w:rsidRDefault="00C2474C">
      <w:pPr>
        <w:outlineLvl w:val="0"/>
        <w:rPr>
          <w:rFonts w:ascii="Times New Roman" w:eastAsiaTheme="majorEastAsia" w:hAnsi="Times New Roman" w:cs="Times New Roman"/>
          <w:b/>
          <w:sz w:val="24"/>
        </w:rPr>
      </w:pPr>
    </w:p>
    <w:p w14:paraId="236C4793" w14:textId="77777777" w:rsidR="00C2474C" w:rsidRPr="00A21DA6" w:rsidRDefault="00235CBB">
      <w:pPr>
        <w:outlineLvl w:val="0"/>
        <w:rPr>
          <w:rFonts w:ascii="Times New Roman" w:eastAsiaTheme="majorEastAsia" w:hAnsi="Times New Roman" w:cs="Times New Roman"/>
          <w:sz w:val="24"/>
          <w:vertAlign w:val="superscript"/>
        </w:rPr>
      </w:pPr>
      <w:r w:rsidRPr="00A21DA6">
        <w:rPr>
          <w:rFonts w:ascii="Times New Roman" w:eastAsiaTheme="majorEastAsia" w:hAnsi="Times New Roman" w:cs="Times New Roman"/>
          <w:b/>
          <w:sz w:val="24"/>
        </w:rPr>
        <w:t>Methods S1:</w:t>
      </w:r>
    </w:p>
    <w:p w14:paraId="0C029072" w14:textId="77777777" w:rsidR="00C2474C" w:rsidRPr="00A21DA6" w:rsidRDefault="00235CBB">
      <w:pPr>
        <w:outlineLvl w:val="0"/>
        <w:rPr>
          <w:rFonts w:ascii="Times New Roman" w:eastAsiaTheme="majorEastAsia" w:hAnsi="Times New Roman" w:cs="Times New Roman"/>
          <w:b/>
          <w:bCs/>
          <w:color w:val="000000" w:themeColor="text1"/>
          <w:sz w:val="24"/>
        </w:rPr>
      </w:pPr>
      <w:r w:rsidRPr="00A21DA6">
        <w:rPr>
          <w:rFonts w:ascii="Times New Roman" w:eastAsiaTheme="majorEastAsia" w:hAnsi="Times New Roman" w:cs="Times New Roman"/>
          <w:b/>
          <w:bCs/>
          <w:sz w:val="24"/>
        </w:rPr>
        <w:t xml:space="preserve">Inclusion criteria </w:t>
      </w:r>
      <w:r w:rsidRPr="00A21DA6">
        <w:rPr>
          <w:rFonts w:ascii="Times New Roman" w:eastAsiaTheme="majorEastAsia" w:hAnsi="Times New Roman" w:cs="Times New Roman"/>
          <w:b/>
          <w:bCs/>
          <w:color w:val="000000" w:themeColor="text1"/>
          <w:sz w:val="24"/>
        </w:rPr>
        <w:t>(only patients who meet the following 3 items can be admitted):</w:t>
      </w:r>
    </w:p>
    <w:p w14:paraId="596C282D" w14:textId="77777777" w:rsidR="00C2474C" w:rsidRPr="00A21DA6" w:rsidRDefault="00235CBB">
      <w:pPr>
        <w:numPr>
          <w:ilvl w:val="0"/>
          <w:numId w:val="1"/>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Hospitalized patient ( &gt; 1 day</w:t>
      </w:r>
      <w:r w:rsidRPr="00A21DA6">
        <w:rPr>
          <w:rFonts w:ascii="Times New Roman" w:eastAsiaTheme="majorEastAsia" w:hAnsi="Times New Roman" w:cs="Times New Roman"/>
          <w:sz w:val="24"/>
        </w:rPr>
        <w:t>，</w:t>
      </w:r>
      <w:r w:rsidRPr="00A21DA6">
        <w:rPr>
          <w:rFonts w:ascii="Times New Roman" w:eastAsiaTheme="majorEastAsia" w:hAnsi="Times New Roman" w:cs="Times New Roman"/>
          <w:sz w:val="24"/>
        </w:rPr>
        <w:t>including patients hospitalized at ER for observation).</w:t>
      </w:r>
    </w:p>
    <w:p w14:paraId="254E1A1F" w14:textId="77777777" w:rsidR="00C2474C" w:rsidRPr="00A21DA6" w:rsidRDefault="00235CBB">
      <w:pPr>
        <w:numPr>
          <w:ilvl w:val="0"/>
          <w:numId w:val="1"/>
        </w:numPr>
        <w:rPr>
          <w:rFonts w:ascii="Times New Roman" w:eastAsiaTheme="majorEastAsia" w:hAnsi="Times New Roman" w:cs="Times New Roman"/>
          <w:sz w:val="24"/>
        </w:rPr>
      </w:pPr>
      <w:r w:rsidRPr="00A21DA6">
        <w:rPr>
          <w:rFonts w:ascii="Times New Roman" w:hAnsi="Times New Roman" w:cs="Times New Roman"/>
          <w:sz w:val="24"/>
        </w:rPr>
        <w:t>APASL criteria for ACLF:</w:t>
      </w:r>
      <w:r w:rsidRPr="00A21DA6">
        <w:rPr>
          <w:rFonts w:ascii="Times New Roman" w:hAnsi="Times New Roman" w:cs="Times New Roman"/>
          <w:b/>
          <w:bCs/>
          <w:sz w:val="24"/>
        </w:rPr>
        <w:t xml:space="preserve"> </w:t>
      </w:r>
      <w:r w:rsidRPr="00A21DA6">
        <w:rPr>
          <w:rFonts w:ascii="Times New Roman" w:eastAsiaTheme="majorEastAsia" w:hAnsi="Times New Roman" w:cs="Times New Roman"/>
          <w:sz w:val="24"/>
        </w:rPr>
        <w:t>Patients with an acute hepatic insult manifesting as jaundice (serum bilirubin ≥ 5 mg/dL (85 micro mol/L) and coagulopathy (INR ≥ 1.5 or prothrombin activity &lt; 40%) complicated within 4 weeks by clinical ascites and/or encephalopathy in a patient with previously existed diagnosed or undiagnosed chronic liver disease. Patients with known previous decompensation cirrhosis was included as well. (</w:t>
      </w:r>
      <w:r w:rsidRPr="00A21DA6">
        <w:rPr>
          <w:rFonts w:ascii="Times New Roman" w:eastAsiaTheme="majorEastAsia" w:hAnsi="Times New Roman" w:cs="Times New Roman" w:hint="eastAsia"/>
          <w:sz w:val="24"/>
        </w:rPr>
        <w:t>1</w:t>
      </w:r>
      <w:r w:rsidRPr="00A21DA6">
        <w:rPr>
          <w:rFonts w:ascii="Times New Roman" w:eastAsiaTheme="majorEastAsia" w:hAnsi="Times New Roman" w:cs="Times New Roman"/>
          <w:sz w:val="24"/>
        </w:rPr>
        <w:t>)</w:t>
      </w:r>
    </w:p>
    <w:p w14:paraId="404CCD96" w14:textId="77777777" w:rsidR="00C2474C" w:rsidRPr="00A21DA6" w:rsidRDefault="00235CBB">
      <w:pPr>
        <w:numPr>
          <w:ilvl w:val="0"/>
          <w:numId w:val="1"/>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The underlying liver disease was </w:t>
      </w:r>
      <w:r w:rsidRPr="00A21DA6">
        <w:rPr>
          <w:rFonts w:ascii="Times New Roman" w:hAnsi="Times New Roman" w:cs="Times New Roman"/>
          <w:sz w:val="24"/>
        </w:rPr>
        <w:t xml:space="preserve">chronic </w:t>
      </w:r>
      <w:r w:rsidRPr="00A21DA6">
        <w:rPr>
          <w:rFonts w:ascii="Times New Roman" w:eastAsiaTheme="majorEastAsia" w:hAnsi="Times New Roman" w:cs="Times New Roman"/>
          <w:sz w:val="24"/>
        </w:rPr>
        <w:t>hepatitis B (including chronic hepatitis B without cirrhosis, chronic hepatitis B-related compensated cirrhosis and chronic hepatitis B-related decompensated cirrhosis).</w:t>
      </w:r>
    </w:p>
    <w:p w14:paraId="5D77C16B" w14:textId="77777777" w:rsidR="00C2474C" w:rsidRPr="00A21DA6" w:rsidRDefault="00C2474C">
      <w:pPr>
        <w:outlineLvl w:val="0"/>
        <w:rPr>
          <w:rFonts w:ascii="Times New Roman" w:eastAsiaTheme="majorEastAsia" w:hAnsi="Times New Roman" w:cs="Times New Roman"/>
          <w:sz w:val="24"/>
        </w:rPr>
      </w:pPr>
    </w:p>
    <w:p w14:paraId="5643FC1D" w14:textId="77777777" w:rsidR="00C2474C" w:rsidRPr="00A21DA6" w:rsidRDefault="00235CBB">
      <w:pPr>
        <w:outlineLvl w:val="0"/>
        <w:rPr>
          <w:rFonts w:ascii="Times New Roman" w:eastAsiaTheme="majorEastAsia" w:hAnsi="Times New Roman" w:cs="Times New Roman"/>
          <w:color w:val="000000" w:themeColor="text1"/>
          <w:sz w:val="24"/>
        </w:rPr>
      </w:pPr>
      <w:r w:rsidRPr="00A21DA6">
        <w:rPr>
          <w:rFonts w:ascii="Times New Roman" w:eastAsiaTheme="majorEastAsia" w:hAnsi="Times New Roman" w:cs="Times New Roman"/>
          <w:b/>
          <w:bCs/>
          <w:color w:val="000000" w:themeColor="text1"/>
          <w:sz w:val="24"/>
        </w:rPr>
        <w:t>Exclusion criteria: (patients who meet any one of the following 8 items should be excluded):</w:t>
      </w:r>
      <w:r w:rsidRPr="00A21DA6">
        <w:rPr>
          <w:rFonts w:ascii="Times New Roman" w:eastAsiaTheme="majorEastAsia" w:hAnsi="Times New Roman" w:cs="Times New Roman" w:hint="eastAsia"/>
          <w:color w:val="000000" w:themeColor="text1"/>
          <w:sz w:val="24"/>
        </w:rPr>
        <w:t xml:space="preserve"> </w:t>
      </w:r>
      <w:r w:rsidRPr="00A21DA6">
        <w:rPr>
          <w:rFonts w:ascii="Times New Roman" w:eastAsiaTheme="majorEastAsia" w:hAnsi="Times New Roman" w:cs="Times New Roman"/>
          <w:color w:val="000000" w:themeColor="text1"/>
          <w:sz w:val="24"/>
        </w:rPr>
        <w:t>(2)</w:t>
      </w:r>
    </w:p>
    <w:p w14:paraId="092BC100" w14:textId="77777777" w:rsidR="00C2474C" w:rsidRPr="00A21DA6" w:rsidRDefault="00235CBB">
      <w:pPr>
        <w:numPr>
          <w:ilvl w:val="0"/>
          <w:numId w:val="2"/>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Patients aged &lt;18 or &gt;80 years</w:t>
      </w:r>
    </w:p>
    <w:p w14:paraId="6E97D605" w14:textId="77777777" w:rsidR="00C2474C" w:rsidRPr="00A21DA6" w:rsidRDefault="00235CBB">
      <w:pPr>
        <w:numPr>
          <w:ilvl w:val="0"/>
          <w:numId w:val="2"/>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Patients who have had hepatocellular carcinoma or other liver malignancies</w:t>
      </w:r>
    </w:p>
    <w:p w14:paraId="51FA606C" w14:textId="77777777" w:rsidR="00C2474C" w:rsidRPr="00A21DA6" w:rsidRDefault="00235CBB">
      <w:pPr>
        <w:numPr>
          <w:ilvl w:val="0"/>
          <w:numId w:val="2"/>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Patients who have had any other tumors</w:t>
      </w:r>
    </w:p>
    <w:p w14:paraId="0D51EA93" w14:textId="77777777" w:rsidR="00C2474C" w:rsidRPr="00A21DA6" w:rsidRDefault="00235CBB">
      <w:pPr>
        <w:numPr>
          <w:ilvl w:val="0"/>
          <w:numId w:val="2"/>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Patients who have had severe extrahepatic disease: (a) COPD combined with respiratory failure; (b) Coronary heart disease with 3-level cardiac function; (c) Myocardial infarction in the 3 months before hospitalization; (d) failure of renal function due to a chronic renal disease. (e) serious complications of diabetes (causing damage to heart, brain, kidney, feet, etc.)</w:t>
      </w:r>
    </w:p>
    <w:p w14:paraId="1AA0CCFE" w14:textId="77777777" w:rsidR="00C2474C" w:rsidRPr="00A21DA6" w:rsidRDefault="00235CBB">
      <w:pPr>
        <w:numPr>
          <w:ilvl w:val="0"/>
          <w:numId w:val="2"/>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Patients receiving immunosuppressive drugs for reasons other than chronic liver diseases (with a year): (a) Chemotherapy against tumor; (b) Therapy against connective disease in the active phase; (c) Nephrotic syndrome.</w:t>
      </w:r>
    </w:p>
    <w:p w14:paraId="25E4D99B" w14:textId="77777777" w:rsidR="00C2474C" w:rsidRPr="00A21DA6" w:rsidRDefault="00235CBB">
      <w:pPr>
        <w:numPr>
          <w:ilvl w:val="0"/>
          <w:numId w:val="2"/>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Patients who complicated with chronic liver disease of other etiology: Alcoholic hepatitis; chronic hepatitis C; non-alcoholic fatty liver disease; autoimmune hepatitis; schistosomiasis; Wilson’s; drug induced liver disease.</w:t>
      </w:r>
    </w:p>
    <w:p w14:paraId="577CE507" w14:textId="77777777" w:rsidR="00C2474C" w:rsidRPr="00A21DA6" w:rsidRDefault="00235CBB">
      <w:pPr>
        <w:numPr>
          <w:ilvl w:val="0"/>
          <w:numId w:val="2"/>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Patients who are pregnant.</w:t>
      </w:r>
    </w:p>
    <w:p w14:paraId="6D6B0F96" w14:textId="77777777" w:rsidR="00C2474C" w:rsidRPr="00A21DA6" w:rsidRDefault="00235CBB">
      <w:pPr>
        <w:numPr>
          <w:ilvl w:val="0"/>
          <w:numId w:val="2"/>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Patients taking anticoagulants or platelet aggregation inhibitors.</w:t>
      </w:r>
    </w:p>
    <w:p w14:paraId="3F41E9B9" w14:textId="77777777" w:rsidR="00C2474C" w:rsidRPr="00A21DA6" w:rsidRDefault="00235CBB">
      <w:pPr>
        <w:numPr>
          <w:ilvl w:val="0"/>
          <w:numId w:val="2"/>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Patients received liver </w:t>
      </w:r>
      <w:proofErr w:type="spellStart"/>
      <w:r w:rsidRPr="00A21DA6">
        <w:rPr>
          <w:rFonts w:ascii="Times New Roman" w:eastAsiaTheme="majorEastAsia" w:hAnsi="Times New Roman" w:cs="Times New Roman"/>
          <w:sz w:val="24"/>
        </w:rPr>
        <w:t>transplatation</w:t>
      </w:r>
      <w:proofErr w:type="spellEnd"/>
      <w:r w:rsidRPr="00A21DA6">
        <w:rPr>
          <w:rFonts w:ascii="Times New Roman" w:eastAsiaTheme="majorEastAsia" w:hAnsi="Times New Roman" w:cs="Times New Roman"/>
          <w:sz w:val="24"/>
        </w:rPr>
        <w:t xml:space="preserve"> within 28 days; </w:t>
      </w:r>
    </w:p>
    <w:p w14:paraId="5EB03E57" w14:textId="77777777" w:rsidR="00C2474C" w:rsidRPr="00A21DA6" w:rsidRDefault="00235CBB">
      <w:pPr>
        <w:numPr>
          <w:ilvl w:val="0"/>
          <w:numId w:val="2"/>
        </w:numPr>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Patients lost to follow-up within 28 days.</w:t>
      </w:r>
    </w:p>
    <w:p w14:paraId="2A546B2B" w14:textId="77777777" w:rsidR="00C2474C" w:rsidRPr="00A21DA6" w:rsidRDefault="00235CBB">
      <w:pPr>
        <w:outlineLvl w:val="0"/>
        <w:rPr>
          <w:rFonts w:ascii="Times New Roman" w:eastAsiaTheme="majorEastAsia" w:hAnsi="Times New Roman" w:cs="Times New Roman"/>
          <w:b/>
          <w:bCs/>
          <w:sz w:val="24"/>
        </w:rPr>
      </w:pPr>
      <w:r w:rsidRPr="00A21DA6">
        <w:rPr>
          <w:rFonts w:ascii="Times New Roman" w:eastAsiaTheme="majorEastAsia" w:hAnsi="Times New Roman" w:cs="Times New Roman"/>
          <w:b/>
          <w:bCs/>
          <w:sz w:val="24"/>
        </w:rPr>
        <w:lastRenderedPageBreak/>
        <w:t>Methods S2:</w:t>
      </w:r>
    </w:p>
    <w:p w14:paraId="03A0291E" w14:textId="77777777" w:rsidR="00C2474C" w:rsidRPr="00A21DA6" w:rsidRDefault="00235CBB">
      <w:pPr>
        <w:outlineLvl w:val="0"/>
        <w:rPr>
          <w:rFonts w:ascii="Times New Roman" w:eastAsiaTheme="majorEastAsia" w:hAnsi="Times New Roman" w:cs="Times New Roman"/>
          <w:b/>
          <w:bCs/>
          <w:sz w:val="24"/>
        </w:rPr>
      </w:pPr>
      <w:r w:rsidRPr="00A21DA6">
        <w:rPr>
          <w:rFonts w:ascii="Times New Roman" w:eastAsiaTheme="majorEastAsia" w:hAnsi="Times New Roman" w:cs="Times New Roman"/>
          <w:b/>
          <w:bCs/>
          <w:sz w:val="24"/>
        </w:rPr>
        <w:t>Definition for DIC score, organ failure, infection, cirrhosis, ACLF grade, clinical course, chronic hepatitis B, HBV reactivation, various prognosis models:</w:t>
      </w:r>
    </w:p>
    <w:p w14:paraId="325604DE" w14:textId="77777777" w:rsidR="00C2474C" w:rsidRPr="00A21DA6" w:rsidRDefault="00235CBB">
      <w:pPr>
        <w:widowControl/>
        <w:jc w:val="left"/>
        <w:outlineLvl w:val="0"/>
        <w:rPr>
          <w:rFonts w:ascii="Times New Roman" w:eastAsiaTheme="majorEastAsia" w:hAnsi="Times New Roman" w:cs="Times New Roman"/>
          <w:sz w:val="24"/>
        </w:rPr>
      </w:pPr>
      <w:r w:rsidRPr="00A21DA6">
        <w:rPr>
          <w:rFonts w:ascii="Times New Roman" w:eastAsiaTheme="majorEastAsia" w:hAnsi="Times New Roman" w:cs="Times New Roman"/>
          <w:b/>
          <w:bCs/>
          <w:sz w:val="24"/>
        </w:rPr>
        <w:t xml:space="preserve">DIC score: </w:t>
      </w:r>
      <w:r w:rsidRPr="00A21DA6">
        <w:rPr>
          <w:rFonts w:ascii="Times New Roman" w:eastAsiaTheme="majorEastAsia" w:hAnsi="Times New Roman" w:cs="Times New Roman"/>
          <w:sz w:val="24"/>
        </w:rPr>
        <w:t xml:space="preserve">The DIC score is a diagnostic scoring system for DIC proposed by the International Society for Thrombosis and </w:t>
      </w:r>
      <w:proofErr w:type="spellStart"/>
      <w:r w:rsidRPr="00A21DA6">
        <w:rPr>
          <w:rFonts w:ascii="Times New Roman" w:eastAsiaTheme="majorEastAsia" w:hAnsi="Times New Roman" w:cs="Times New Roman"/>
          <w:sz w:val="24"/>
        </w:rPr>
        <w:t>Haemostasis</w:t>
      </w:r>
      <w:proofErr w:type="spellEnd"/>
      <w:r w:rsidRPr="00A21DA6">
        <w:rPr>
          <w:rFonts w:ascii="Times New Roman" w:eastAsiaTheme="majorEastAsia" w:hAnsi="Times New Roman" w:cs="Times New Roman"/>
          <w:sz w:val="24"/>
        </w:rPr>
        <w:t xml:space="preserve"> (ISTH). It includes platelet count (&gt; 100 × 109/L = 0; &lt; 100 × 109/L = 1; &lt; 50 × 109/L = 2), a fibrin-related marker (D-dimer &lt; 0.5 mg/L = 0; &gt; 0.5 but &lt; 4 mg/L = 2; &gt; 4 mg/L = 3), fibrinogen (&gt; 1.0 g/L = 0; &lt; 1.0 g/L = 1), and PT (prolongation of PT &lt; 3 s = 0; &gt; 3 s but &lt; 6 s = 1; &gt; 6 s = 2)</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3</w:t>
      </w:r>
      <w:r w:rsidRPr="00A21DA6">
        <w:rPr>
          <w:rFonts w:ascii="Times New Roman" w:eastAsiaTheme="majorEastAsia" w:hAnsi="Times New Roman" w:cs="Times New Roman"/>
          <w:sz w:val="24"/>
        </w:rPr>
        <w:t>)</w:t>
      </w:r>
    </w:p>
    <w:p w14:paraId="29058F7E" w14:textId="77777777" w:rsidR="00C2474C" w:rsidRPr="00A21DA6" w:rsidRDefault="00235CBB">
      <w:pPr>
        <w:outlineLvl w:val="0"/>
        <w:rPr>
          <w:rFonts w:ascii="Times New Roman" w:eastAsiaTheme="majorEastAsia" w:hAnsi="Times New Roman" w:cs="Times New Roman"/>
          <w:sz w:val="24"/>
        </w:rPr>
      </w:pPr>
      <w:r w:rsidRPr="00A21DA6">
        <w:rPr>
          <w:rFonts w:ascii="Times New Roman" w:eastAsiaTheme="majorEastAsia" w:hAnsi="Times New Roman" w:cs="Times New Roman"/>
          <w:b/>
          <w:bCs/>
          <w:sz w:val="24"/>
        </w:rPr>
        <w:t xml:space="preserve">Organ failure: </w:t>
      </w:r>
      <w:r w:rsidRPr="00A21DA6">
        <w:rPr>
          <w:rFonts w:ascii="Times New Roman" w:eastAsiaTheme="majorEastAsia" w:hAnsi="Times New Roman" w:cs="Times New Roman"/>
          <w:sz w:val="24"/>
        </w:rPr>
        <w:t xml:space="preserve">liver failure was defined by a </w:t>
      </w:r>
      <w:proofErr w:type="spellStart"/>
      <w:r w:rsidRPr="00A21DA6">
        <w:rPr>
          <w:rFonts w:ascii="Times New Roman" w:eastAsiaTheme="majorEastAsia" w:hAnsi="Times New Roman" w:cs="Times New Roman"/>
          <w:sz w:val="24"/>
        </w:rPr>
        <w:t>TBil</w:t>
      </w:r>
      <w:proofErr w:type="spellEnd"/>
      <w:r w:rsidRPr="00A21DA6">
        <w:rPr>
          <w:rFonts w:ascii="Times New Roman" w:eastAsiaTheme="majorEastAsia" w:hAnsi="Times New Roman" w:cs="Times New Roman"/>
          <w:sz w:val="24"/>
        </w:rPr>
        <w:t xml:space="preserve"> level of ≥12.0 mg/dL; kidney failure was defined by a serum creatinine (Cr) level of ≥ 2.0 mg/dL or the use of renal replacement therapy; cerebral failure was defined as the presence of grade III or IV HE; coagulation failure was defined by an INR &gt;2.5; circulatory failure was defined by the use of vasoconstrictors; respiratory failure was defined by a ratio of PaO2/FiO2 ≤ 200 or SpO2 to FiO2 ≤ 214.4.</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4</w:t>
      </w:r>
      <w:r w:rsidRPr="00A21DA6">
        <w:rPr>
          <w:rFonts w:ascii="Times New Roman" w:eastAsiaTheme="majorEastAsia" w:hAnsi="Times New Roman" w:cs="Times New Roman"/>
          <w:sz w:val="24"/>
        </w:rPr>
        <w:t>)</w:t>
      </w:r>
    </w:p>
    <w:p w14:paraId="555E9C41" w14:textId="77777777" w:rsidR="00C2474C" w:rsidRPr="00A21DA6" w:rsidRDefault="00235CBB">
      <w:pPr>
        <w:rPr>
          <w:rFonts w:ascii="Times New Roman" w:eastAsiaTheme="majorEastAsia" w:hAnsi="Times New Roman" w:cs="Times New Roman"/>
          <w:b/>
          <w:bCs/>
          <w:sz w:val="24"/>
        </w:rPr>
      </w:pPr>
      <w:r w:rsidRPr="00A21DA6">
        <w:rPr>
          <w:rFonts w:ascii="Times New Roman" w:eastAsiaTheme="majorEastAsia" w:hAnsi="Times New Roman" w:cs="Times New Roman"/>
          <w:b/>
          <w:bCs/>
          <w:sz w:val="24"/>
        </w:rPr>
        <w:t xml:space="preserve">Infection: </w:t>
      </w:r>
      <w:r w:rsidRPr="00A21DA6">
        <w:rPr>
          <w:rFonts w:ascii="Times New Roman" w:eastAsiaTheme="majorEastAsia" w:hAnsi="Times New Roman" w:cs="Times New Roman"/>
          <w:sz w:val="24"/>
        </w:rPr>
        <w:t xml:space="preserve">Infection was diagnosed as follows (5): (a) </w:t>
      </w:r>
      <w:r w:rsidRPr="00A21DA6">
        <w:rPr>
          <w:rFonts w:ascii="Times New Roman" w:eastAsiaTheme="majorEastAsia" w:hAnsi="Times New Roman" w:cs="Times New Roman"/>
          <w:sz w:val="24"/>
          <w:lang w:val="en-GB"/>
        </w:rPr>
        <w:t xml:space="preserve">spontaneous bacterial peritonitis, polymorphonuclear cell count in ascitic fluid &gt; 250/mL; </w:t>
      </w:r>
      <w:r w:rsidRPr="00A21DA6">
        <w:rPr>
          <w:rFonts w:ascii="Times New Roman" w:eastAsiaTheme="majorEastAsia" w:hAnsi="Times New Roman" w:cs="Times New Roman"/>
          <w:sz w:val="24"/>
        </w:rPr>
        <w:t xml:space="preserve">(b) </w:t>
      </w:r>
      <w:r w:rsidRPr="00A21DA6">
        <w:rPr>
          <w:rFonts w:ascii="Times New Roman" w:eastAsiaTheme="majorEastAsia" w:hAnsi="Times New Roman" w:cs="Times New Roman"/>
          <w:sz w:val="24"/>
          <w:lang w:val="en-GB"/>
        </w:rPr>
        <w:t>pneumonia, new pulmonary infiltrate in radiologic imaging plus the presence of any respiratory symptoms (cough, sputum, dyspnoea, or pleuritic pain), any findings on auscultation (rales or crepitation), core body temperature &gt; 38°C or  &lt; 36°C, and WBC count &gt; 10,000/mm</w:t>
      </w:r>
      <w:r w:rsidRPr="00A21DA6">
        <w:rPr>
          <w:rFonts w:ascii="Times New Roman" w:eastAsiaTheme="majorEastAsia" w:hAnsi="Times New Roman" w:cs="Times New Roman"/>
          <w:sz w:val="24"/>
          <w:vertAlign w:val="superscript"/>
          <w:lang w:val="en-GB"/>
        </w:rPr>
        <w:t>3</w:t>
      </w:r>
      <w:r w:rsidRPr="00A21DA6">
        <w:rPr>
          <w:rFonts w:ascii="Times New Roman" w:eastAsiaTheme="majorEastAsia" w:hAnsi="Times New Roman" w:cs="Times New Roman"/>
          <w:sz w:val="24"/>
          <w:lang w:val="en-GB"/>
        </w:rPr>
        <w:t> or  &lt; 4,000/mm</w:t>
      </w:r>
      <w:r w:rsidRPr="00A21DA6">
        <w:rPr>
          <w:rFonts w:ascii="Times New Roman" w:eastAsiaTheme="majorEastAsia" w:hAnsi="Times New Roman" w:cs="Times New Roman"/>
          <w:sz w:val="24"/>
          <w:vertAlign w:val="superscript"/>
          <w:lang w:val="en-GB"/>
        </w:rPr>
        <w:t>3</w:t>
      </w:r>
      <w:r w:rsidRPr="00A21DA6">
        <w:rPr>
          <w:rFonts w:ascii="Times New Roman" w:eastAsiaTheme="majorEastAsia" w:hAnsi="Times New Roman" w:cs="Times New Roman"/>
          <w:sz w:val="24"/>
          <w:lang w:val="en-GB"/>
        </w:rPr>
        <w:t>;</w:t>
      </w:r>
      <w:r w:rsidRPr="00A21DA6">
        <w:rPr>
          <w:rFonts w:ascii="Times New Roman" w:eastAsiaTheme="majorEastAsia" w:hAnsi="Times New Roman" w:cs="Times New Roman"/>
          <w:sz w:val="24"/>
        </w:rPr>
        <w:t xml:space="preserve"> (c) </w:t>
      </w:r>
      <w:r w:rsidRPr="00A21DA6">
        <w:rPr>
          <w:rFonts w:ascii="Times New Roman" w:eastAsiaTheme="majorEastAsia" w:hAnsi="Times New Roman" w:cs="Times New Roman"/>
          <w:sz w:val="24"/>
          <w:lang w:val="en-GB"/>
        </w:rPr>
        <w:t>urinary tract infection, WBC count in urine &gt; 10/high power field with positive urine culture and urinary irritation symptoms;</w:t>
      </w:r>
      <w:r w:rsidRPr="00A21DA6">
        <w:rPr>
          <w:rFonts w:ascii="Times New Roman" w:eastAsiaTheme="majorEastAsia" w:hAnsi="Times New Roman" w:cs="Times New Roman"/>
          <w:sz w:val="24"/>
        </w:rPr>
        <w:t xml:space="preserve"> and (d) </w:t>
      </w:r>
      <w:r w:rsidRPr="00A21DA6">
        <w:rPr>
          <w:rFonts w:ascii="Times New Roman" w:eastAsiaTheme="majorEastAsia" w:hAnsi="Times New Roman" w:cs="Times New Roman"/>
          <w:sz w:val="24"/>
          <w:lang w:val="en-GB"/>
        </w:rPr>
        <w:t>other bacterial infections, including catheter-related infection, osteoarticular infection, skin infection, and bacteraemia of unknown cause.</w:t>
      </w:r>
    </w:p>
    <w:p w14:paraId="299D4E65" w14:textId="77777777" w:rsidR="00C2474C" w:rsidRPr="00A21DA6" w:rsidRDefault="00235CBB">
      <w:pPr>
        <w:widowControl/>
        <w:jc w:val="left"/>
        <w:rPr>
          <w:rFonts w:ascii="Times New Roman" w:eastAsiaTheme="majorEastAsia" w:hAnsi="Times New Roman" w:cs="Times New Roman"/>
          <w:b/>
          <w:bCs/>
          <w:sz w:val="24"/>
        </w:rPr>
      </w:pPr>
      <w:r w:rsidRPr="00A21DA6">
        <w:rPr>
          <w:rFonts w:ascii="Times New Roman" w:eastAsiaTheme="majorEastAsia" w:hAnsi="Times New Roman" w:cs="Times New Roman"/>
          <w:b/>
          <w:bCs/>
          <w:sz w:val="24"/>
        </w:rPr>
        <w:t xml:space="preserve">Cirrhosis:  </w:t>
      </w:r>
      <w:r w:rsidRPr="00A21DA6">
        <w:rPr>
          <w:rFonts w:ascii="Times New Roman" w:eastAsiaTheme="majorEastAsia" w:hAnsi="Times New Roman" w:cs="Times New Roman"/>
          <w:sz w:val="24"/>
        </w:rPr>
        <w:t>Cirrhosis was diagnosis b</w:t>
      </w:r>
      <w:r w:rsidRPr="00A21DA6">
        <w:rPr>
          <w:rFonts w:ascii="Times New Roman" w:eastAsiaTheme="majorEastAsia" w:hAnsi="Times New Roman" w:cs="Times New Roman"/>
          <w:color w:val="231F20"/>
          <w:kern w:val="0"/>
          <w:sz w:val="24"/>
          <w:lang w:bidi="ar"/>
        </w:rPr>
        <w:t>ased on previous liver biopsy results, clinical evidence of previous decompensation and laboratory tests, endoscopy (esophageal and gastric varices) and radiological imaging of portal hypertension and/or liver nodularity.</w:t>
      </w:r>
      <w:r w:rsidRPr="00A21DA6">
        <w:rPr>
          <w:rFonts w:ascii="Times New Roman" w:eastAsiaTheme="majorEastAsia" w:hAnsi="Times New Roman" w:cs="Times New Roman" w:hint="eastAsia"/>
          <w:color w:val="231F20"/>
          <w:kern w:val="0"/>
          <w:sz w:val="24"/>
          <w:lang w:bidi="ar"/>
        </w:rPr>
        <w:t xml:space="preserve"> </w:t>
      </w:r>
      <w:r w:rsidRPr="00A21DA6">
        <w:rPr>
          <w:rFonts w:ascii="Times New Roman" w:eastAsiaTheme="majorEastAsia" w:hAnsi="Times New Roman" w:cs="Times New Roman"/>
          <w:color w:val="231F20"/>
          <w:kern w:val="0"/>
          <w:sz w:val="24"/>
          <w:lang w:bidi="ar"/>
        </w:rPr>
        <w:t>(</w:t>
      </w:r>
      <w:r w:rsidRPr="00A21DA6">
        <w:rPr>
          <w:rFonts w:ascii="Times New Roman" w:eastAsiaTheme="majorEastAsia" w:hAnsi="Times New Roman" w:cs="Times New Roman" w:hint="eastAsia"/>
          <w:color w:val="231F20"/>
          <w:kern w:val="0"/>
          <w:sz w:val="24"/>
          <w:lang w:bidi="ar"/>
        </w:rPr>
        <w:t>2,6</w:t>
      </w:r>
      <w:r w:rsidRPr="00A21DA6">
        <w:rPr>
          <w:rFonts w:ascii="Times New Roman" w:eastAsiaTheme="majorEastAsia" w:hAnsi="Times New Roman" w:cs="Times New Roman"/>
          <w:color w:val="231F20"/>
          <w:kern w:val="0"/>
          <w:sz w:val="24"/>
          <w:lang w:bidi="ar"/>
        </w:rPr>
        <w:t>)</w:t>
      </w:r>
    </w:p>
    <w:p w14:paraId="12D537EF" w14:textId="77777777" w:rsidR="00C2474C" w:rsidRPr="00A21DA6" w:rsidRDefault="00235CBB">
      <w:pPr>
        <w:widowControl/>
        <w:jc w:val="left"/>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Pathology: (a) Presence of parenchymal nodules; (b) Differences in liver cell size and appearance; (c) Fragmentation of the biopsy specimen; (d) Fibrous septa; (e) Altered architecture and vascular relationships. Depending on the size of the nodules, there are three macroscopic types: micronodular, macronodular, and mixed cirrhosis. </w:t>
      </w:r>
    </w:p>
    <w:p w14:paraId="18CF8AFE" w14:textId="77777777" w:rsidR="00C2474C" w:rsidRPr="00A21DA6" w:rsidRDefault="00235CBB">
      <w:pPr>
        <w:widowControl/>
        <w:jc w:val="left"/>
        <w:rPr>
          <w:rFonts w:ascii="Times New Roman" w:eastAsiaTheme="majorEastAsia" w:hAnsi="Times New Roman" w:cs="Times New Roman"/>
          <w:sz w:val="24"/>
        </w:rPr>
      </w:pPr>
      <w:r w:rsidRPr="00A21DA6">
        <w:rPr>
          <w:rFonts w:ascii="Times New Roman" w:eastAsiaTheme="majorEastAsia" w:hAnsi="Times New Roman" w:cs="Times New Roman"/>
          <w:sz w:val="24"/>
        </w:rPr>
        <w:t>Endoscopy</w:t>
      </w:r>
      <w:r w:rsidRPr="00A21DA6">
        <w:rPr>
          <w:rFonts w:ascii="Times New Roman" w:eastAsiaTheme="majorEastAsia" w:hAnsi="Times New Roman" w:cs="Times New Roman" w:hint="eastAsia"/>
          <w:sz w:val="24"/>
        </w:rPr>
        <w:t>:</w:t>
      </w:r>
      <w:r w:rsidRPr="00A21DA6">
        <w:rPr>
          <w:rFonts w:ascii="Times New Roman" w:eastAsiaTheme="majorEastAsia" w:hAnsi="Times New Roman" w:cs="Times New Roman"/>
          <w:sz w:val="24"/>
        </w:rPr>
        <w:t xml:space="preserve"> Esophageal and gastric varices.</w:t>
      </w:r>
    </w:p>
    <w:p w14:paraId="6D13EA78" w14:textId="77777777" w:rsidR="00C2474C" w:rsidRPr="00A21DA6" w:rsidRDefault="00235CBB">
      <w:pPr>
        <w:widowControl/>
        <w:jc w:val="left"/>
        <w:rPr>
          <w:rFonts w:ascii="Times New Roman" w:eastAsiaTheme="majorEastAsia" w:hAnsi="Times New Roman" w:cs="Times New Roman"/>
          <w:sz w:val="24"/>
        </w:rPr>
      </w:pPr>
      <w:r w:rsidRPr="00A21DA6">
        <w:rPr>
          <w:rFonts w:ascii="Times New Roman" w:eastAsiaTheme="majorEastAsia" w:hAnsi="Times New Roman" w:cs="Times New Roman"/>
          <w:sz w:val="24"/>
        </w:rPr>
        <w:t>Radiology</w:t>
      </w:r>
      <w:r w:rsidRPr="00A21DA6">
        <w:rPr>
          <w:rFonts w:ascii="Times New Roman" w:eastAsiaTheme="majorEastAsia" w:hAnsi="Times New Roman" w:cs="Times New Roman" w:hint="eastAsia"/>
          <w:sz w:val="24"/>
        </w:rPr>
        <w:t>:</w:t>
      </w:r>
      <w:r w:rsidRPr="00A21DA6">
        <w:rPr>
          <w:rFonts w:ascii="Times New Roman" w:eastAsiaTheme="majorEastAsia" w:hAnsi="Times New Roman" w:cs="Times New Roman"/>
          <w:sz w:val="24"/>
        </w:rPr>
        <w:t xml:space="preserve"> Ultrasound: The liver may appear small and nodular, with increased echogenicity and irregular-looking areas; an enlarged caudate lobe, widening of the liver fissures and enlargement of the spleen. Other radiologic tests include elastography techniques, abdominal CT and liver/bile duct MRI (MRCP).</w:t>
      </w:r>
    </w:p>
    <w:p w14:paraId="3016E047" w14:textId="77777777" w:rsidR="00C2474C" w:rsidRPr="00A21DA6" w:rsidRDefault="00235CBB">
      <w:pPr>
        <w:widowControl/>
        <w:jc w:val="left"/>
        <w:rPr>
          <w:rFonts w:ascii="Times New Roman" w:eastAsiaTheme="majorEastAsia" w:hAnsi="Times New Roman" w:cs="Times New Roman"/>
          <w:sz w:val="24"/>
        </w:rPr>
      </w:pPr>
      <w:r w:rsidRPr="00A21DA6">
        <w:rPr>
          <w:rFonts w:ascii="Times New Roman" w:eastAsiaTheme="majorEastAsia" w:hAnsi="Times New Roman" w:cs="Times New Roman"/>
          <w:sz w:val="24"/>
        </w:rPr>
        <w:t>Cirrhosis includes compensated cirrhosis and decompensated cirrhosis, the former of which is an asymptomatic compensated phase while the latter of which is a more severe pathological state marked by the development of overt clinical signs, the most frequent of which are ascites, bleeding, encephalopathy, and jaundice.</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7</w:t>
      </w:r>
      <w:r w:rsidRPr="00A21DA6">
        <w:rPr>
          <w:rFonts w:ascii="Times New Roman" w:eastAsiaTheme="majorEastAsia" w:hAnsi="Times New Roman" w:cs="Times New Roman"/>
          <w:sz w:val="24"/>
        </w:rPr>
        <w:t>)</w:t>
      </w:r>
    </w:p>
    <w:p w14:paraId="78A6BFCF" w14:textId="679BFFE8" w:rsidR="00C2474C" w:rsidRPr="00A21DA6" w:rsidRDefault="00235CBB">
      <w:pPr>
        <w:widowControl/>
        <w:jc w:val="left"/>
        <w:rPr>
          <w:rFonts w:ascii="Times New Roman" w:eastAsiaTheme="majorEastAsia" w:hAnsi="Times New Roman" w:cs="Times New Roman"/>
          <w:b/>
          <w:bCs/>
          <w:sz w:val="24"/>
        </w:rPr>
      </w:pPr>
      <w:r w:rsidRPr="00A21DA6">
        <w:rPr>
          <w:rFonts w:ascii="Times New Roman" w:eastAsiaTheme="majorEastAsia" w:hAnsi="Times New Roman" w:cs="Times New Roman"/>
          <w:b/>
          <w:bCs/>
          <w:sz w:val="24"/>
        </w:rPr>
        <w:t xml:space="preserve">ACLF grades: </w:t>
      </w:r>
      <w:r w:rsidRPr="00A21DA6">
        <w:rPr>
          <w:rFonts w:ascii="Times New Roman" w:eastAsiaTheme="majorEastAsia" w:hAnsi="Times New Roman" w:cs="Times New Roman"/>
          <w:sz w:val="24"/>
        </w:rPr>
        <w:t xml:space="preserve">The COSSH-ACLF grades were defined according to the following criteria. ACLF grade 1 was diagnosed in: 1. patients with kidney failure only; 2. those with single liver failure with an INR ≥ 1.5 and/or kidney dysfunction (serum </w:t>
      </w:r>
      <w:r w:rsidRPr="00A21DA6">
        <w:rPr>
          <w:rFonts w:ascii="Times New Roman" w:eastAsiaTheme="majorEastAsia" w:hAnsi="Times New Roman" w:cs="Times New Roman"/>
          <w:sz w:val="24"/>
        </w:rPr>
        <w:lastRenderedPageBreak/>
        <w:t>creatinine level ranging from 1.5 to 1.9 mg/dL) and/or HE grade I or II; 3. those with a single type of organ failure (coagulation, circulatory, or respiratory system failure) and/or kidney dysfunction and/or HE grade I or II; or 4. patients with cerebral failure only plus kidney dysfunction. ACLF grade 2 was diagnosed in patients with failure of two organ systems, while grade 3 was diagnosed in patients with failure of three or more organ systems.</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2</w:t>
      </w:r>
      <w:r w:rsidRPr="00A21DA6">
        <w:rPr>
          <w:rFonts w:ascii="Times New Roman" w:eastAsiaTheme="majorEastAsia" w:hAnsi="Times New Roman" w:cs="Times New Roman"/>
          <w:sz w:val="24"/>
        </w:rPr>
        <w:t>) ACLF grade-0 was defined as patients who met the inclusion criteria but have not reached the standard of ACLF grade 1. The EASL-ACLF grades were defined according to the following criteria</w:t>
      </w:r>
      <w:r w:rsidR="0071767F" w:rsidRPr="00A21DA6">
        <w:rPr>
          <w:rFonts w:ascii="Times New Roman" w:eastAsiaTheme="majorEastAsia" w:hAnsi="Times New Roman" w:cs="Times New Roman"/>
          <w:sz w:val="24"/>
        </w:rPr>
        <w:t xml:space="preserve"> (4)</w:t>
      </w:r>
      <w:r w:rsidRPr="00A21DA6">
        <w:rPr>
          <w:rFonts w:ascii="Times New Roman" w:eastAsiaTheme="majorEastAsia" w:hAnsi="Times New Roman" w:cs="Times New Roman"/>
          <w:sz w:val="24"/>
        </w:rPr>
        <w:t xml:space="preserve">. ACLF grade 1 was diagnosed in: 1. patients with kidney failure only; 2. patients with single failure of the liver, coagulation, circulation, or respiration who had a serum creatinine level ranging from 1.5 to 1.9 mg/dL and/or mild to moderate hepatic encephalopathy; 3. patients with single cerebral failure who had a serum creatinine level ranging from 1.5 to 1.9 mg/dL. EASL-ACLF grade 2 </w:t>
      </w:r>
      <w:r w:rsidRPr="00A21DA6">
        <w:rPr>
          <w:rFonts w:ascii="Times New Roman" w:eastAsiaTheme="majorEastAsia" w:hAnsi="Times New Roman" w:cs="Times New Roman" w:hint="eastAsia"/>
          <w:sz w:val="24"/>
        </w:rPr>
        <w:t>and</w:t>
      </w:r>
      <w:r w:rsidRPr="00A21DA6">
        <w:rPr>
          <w:rFonts w:ascii="Times New Roman" w:eastAsiaTheme="majorEastAsia" w:hAnsi="Times New Roman" w:cs="Times New Roman"/>
          <w:sz w:val="24"/>
        </w:rPr>
        <w:t xml:space="preserve"> grade 3 were diagnosed the same as those in COSSH-ACLF. EASL-ACLF grade 0 was defined as patients who met the inclusion criteria but have not reached the standard of EASL-ACLF grade 1.</w:t>
      </w:r>
    </w:p>
    <w:p w14:paraId="301954FF" w14:textId="77777777" w:rsidR="00C2474C" w:rsidRPr="00A21DA6" w:rsidRDefault="00235CBB">
      <w:pPr>
        <w:widowControl/>
        <w:jc w:val="left"/>
        <w:rPr>
          <w:rFonts w:ascii="Times New Roman" w:eastAsiaTheme="majorEastAsia" w:hAnsi="Times New Roman" w:cs="Times New Roman"/>
          <w:sz w:val="24"/>
        </w:rPr>
      </w:pPr>
      <w:r w:rsidRPr="00A21DA6">
        <w:rPr>
          <w:rFonts w:ascii="Times New Roman" w:eastAsiaTheme="majorEastAsia" w:hAnsi="Times New Roman" w:cs="Times New Roman"/>
          <w:b/>
          <w:bCs/>
          <w:sz w:val="24"/>
        </w:rPr>
        <w:t xml:space="preserve">Clinical course: </w:t>
      </w:r>
      <w:r w:rsidRPr="00A21DA6">
        <w:rPr>
          <w:rFonts w:ascii="Times New Roman" w:eastAsiaTheme="majorEastAsia" w:hAnsi="Times New Roman" w:cs="Times New Roman"/>
          <w:sz w:val="24"/>
        </w:rPr>
        <w:t>To assess the clinical course of each patient, we evaluated the initial and final COSSH-ACLF grades. The initial ACLF grade was calculated at diagnosis, which occurred at admission or during hospitalization. The final grade was defined as the last available measure of ACLF grade within 28 days of diagnosis, or that before death or discharge from the hospital. Furthermore, we defined improved course as changes from ACLF-3 to ACLF-2 or -1 or -0, or from ACLF-2 to ACLF-1 or -0, or from ACLF-1 to ACLF-0 or a fixed grade of ACLF-0; steady course as no grade change; worsening course as advancing of ACLF grade, or increased number of organ failures in ACLF-3 patients.</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8</w:t>
      </w:r>
      <w:r w:rsidRPr="00A21DA6">
        <w:rPr>
          <w:rFonts w:ascii="Times New Roman" w:eastAsiaTheme="majorEastAsia" w:hAnsi="Times New Roman" w:cs="Times New Roman"/>
          <w:sz w:val="24"/>
        </w:rPr>
        <w:t>)</w:t>
      </w:r>
    </w:p>
    <w:p w14:paraId="56DE8A96" w14:textId="77777777" w:rsidR="00C2474C" w:rsidRPr="00A21DA6" w:rsidRDefault="00235CBB">
      <w:pPr>
        <w:widowControl/>
        <w:jc w:val="left"/>
        <w:rPr>
          <w:rFonts w:ascii="Times New Roman" w:eastAsiaTheme="majorEastAsia" w:hAnsi="Times New Roman" w:cs="Times New Roman"/>
          <w:sz w:val="24"/>
        </w:rPr>
      </w:pPr>
      <w:r w:rsidRPr="00A21DA6">
        <w:rPr>
          <w:rFonts w:ascii="Times New Roman" w:eastAsiaTheme="majorEastAsia" w:hAnsi="Times New Roman" w:cs="Times New Roman"/>
          <w:b/>
          <w:bCs/>
          <w:sz w:val="24"/>
        </w:rPr>
        <w:t>Chronic hepatitis B:</w:t>
      </w:r>
      <w:r w:rsidRPr="00A21DA6">
        <w:rPr>
          <w:rFonts w:ascii="Times New Roman" w:eastAsiaTheme="majorEastAsia" w:hAnsi="Times New Roman" w:cs="Times New Roman"/>
          <w:sz w:val="24"/>
        </w:rPr>
        <w:t xml:space="preserve">  Chronic hepatitis B is defined as hepatitis B surface antigen seropositive status beyond 6 months, with or without cirrhosis.</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9</w:t>
      </w:r>
      <w:r w:rsidRPr="00A21DA6">
        <w:rPr>
          <w:rFonts w:ascii="Times New Roman" w:eastAsiaTheme="majorEastAsia" w:hAnsi="Times New Roman" w:cs="Times New Roman"/>
          <w:sz w:val="24"/>
        </w:rPr>
        <w:t>)</w:t>
      </w:r>
    </w:p>
    <w:p w14:paraId="32776F10" w14:textId="77777777" w:rsidR="00C2474C" w:rsidRPr="00A21DA6" w:rsidRDefault="00235CBB">
      <w:pPr>
        <w:widowControl/>
        <w:jc w:val="left"/>
        <w:rPr>
          <w:rFonts w:ascii="Times New Roman" w:eastAsiaTheme="majorEastAsia" w:hAnsi="Times New Roman" w:cs="Times New Roman"/>
          <w:sz w:val="24"/>
        </w:rPr>
      </w:pPr>
      <w:r w:rsidRPr="00A21DA6">
        <w:rPr>
          <w:rFonts w:ascii="Times New Roman" w:eastAsiaTheme="majorEastAsia" w:hAnsi="Times New Roman" w:cs="Times New Roman"/>
          <w:b/>
          <w:bCs/>
          <w:sz w:val="24"/>
        </w:rPr>
        <w:t xml:space="preserve">Prognostic scoring models: </w:t>
      </w:r>
      <w:r w:rsidRPr="00A21DA6">
        <w:rPr>
          <w:rFonts w:ascii="Times New Roman" w:eastAsiaTheme="majorEastAsia" w:hAnsi="Times New Roman" w:cs="Times New Roman"/>
          <w:sz w:val="24"/>
        </w:rPr>
        <w:t>The MELD score was calculated by the following formula: MELD = 3.78 × ln[</w:t>
      </w:r>
      <w:proofErr w:type="spellStart"/>
      <w:r w:rsidRPr="00A21DA6">
        <w:rPr>
          <w:rFonts w:ascii="Times New Roman" w:eastAsiaTheme="majorEastAsia" w:hAnsi="Times New Roman" w:cs="Times New Roman"/>
          <w:sz w:val="24"/>
        </w:rPr>
        <w:t>Tbil</w:t>
      </w:r>
      <w:proofErr w:type="spellEnd"/>
      <w:r w:rsidRPr="00A21DA6">
        <w:rPr>
          <w:rFonts w:ascii="Times New Roman" w:eastAsiaTheme="majorEastAsia" w:hAnsi="Times New Roman" w:cs="Times New Roman"/>
          <w:sz w:val="24"/>
        </w:rPr>
        <w:t>(mg/dL)] + 11.2 × ln(INR) + 9.57 × ln[serum creatinine (mg/dL)] + 6.43; (10) The CLIF-SOFA score sums the severity grades of six organ failures, including liver, cerebra, coagulation, circulation, respiration and kidney; (4)</w:t>
      </w:r>
      <w:r w:rsidRPr="00A21DA6">
        <w:rPr>
          <w:rFonts w:ascii="Times New Roman" w:eastAsiaTheme="majorEastAsia" w:hAnsi="Times New Roman" w:cs="Times New Roman"/>
          <w:sz w:val="24"/>
          <w:vertAlign w:val="superscript"/>
        </w:rPr>
        <w:t xml:space="preserve"> </w:t>
      </w:r>
      <w:r w:rsidRPr="00A21DA6">
        <w:rPr>
          <w:rFonts w:ascii="Times New Roman" w:eastAsiaTheme="majorEastAsia" w:hAnsi="Times New Roman" w:cs="Times New Roman"/>
          <w:sz w:val="24"/>
        </w:rPr>
        <w:t xml:space="preserve">The CLIF-C-OF score is a simplified organ function scoring system and the CLIF-C-ACLFs is a modification and optimization of CLIF-C-OFs, which is calculated as 10 × [0.33 × CLIF-OF + 0.04 × age + 0.63 × ln (white blood cell [WBC])-2]; (11) The COSSH-ACLF score is a prognostic scoring system specially designed for HBV-ACLF: COSSH-ACLF = 0.741 × INR + 0.523 × HBV-SOFA + 0.026 × age + 0.003 × </w:t>
      </w:r>
      <w:proofErr w:type="spellStart"/>
      <w:r w:rsidRPr="00A21DA6">
        <w:rPr>
          <w:rFonts w:ascii="Times New Roman" w:eastAsiaTheme="majorEastAsia" w:hAnsi="Times New Roman" w:cs="Times New Roman"/>
          <w:sz w:val="24"/>
        </w:rPr>
        <w:t>Tbil</w:t>
      </w:r>
      <w:proofErr w:type="spellEnd"/>
      <w:r w:rsidRPr="00A21DA6">
        <w:rPr>
          <w:rFonts w:ascii="Times New Roman" w:eastAsiaTheme="majorEastAsia" w:hAnsi="Times New Roman" w:cs="Times New Roman"/>
          <w:sz w:val="24"/>
        </w:rPr>
        <w:t>. (2)</w:t>
      </w:r>
      <w:r w:rsidRPr="00A21DA6">
        <w:rPr>
          <w:rFonts w:ascii="Times New Roman" w:eastAsiaTheme="majorEastAsia" w:hAnsi="Times New Roman" w:cs="Times New Roman"/>
          <w:sz w:val="24"/>
          <w:vertAlign w:val="superscript"/>
        </w:rPr>
        <w:t xml:space="preserve"> </w:t>
      </w:r>
      <w:r w:rsidRPr="00A21DA6">
        <w:rPr>
          <w:rFonts w:ascii="Times New Roman" w:eastAsiaTheme="majorEastAsia" w:hAnsi="Times New Roman" w:cs="Times New Roman"/>
          <w:sz w:val="24"/>
        </w:rPr>
        <w:t>COSSH-ACLF IIs is another prognostic score model for HBV-ACLF proposed by Chinese Group on the Study of Severe Hepatitis B: COSSH-ACLF IIs = 1.649 × ln (INR) + 0.457 × HE score (HE grade: 0/1, 1-2/2 and 3-4/3) + 0.425 × ln (neutrophil) (10</w:t>
      </w:r>
      <w:r w:rsidRPr="00A21DA6">
        <w:rPr>
          <w:rFonts w:ascii="Times New Roman" w:eastAsiaTheme="majorEastAsia" w:hAnsi="Times New Roman" w:cs="Times New Roman"/>
          <w:sz w:val="24"/>
          <w:vertAlign w:val="superscript"/>
        </w:rPr>
        <w:t>9</w:t>
      </w:r>
      <w:r w:rsidRPr="00A21DA6">
        <w:rPr>
          <w:rFonts w:ascii="Times New Roman" w:eastAsiaTheme="majorEastAsia" w:hAnsi="Times New Roman" w:cs="Times New Roman"/>
          <w:sz w:val="24"/>
        </w:rPr>
        <w:t xml:space="preserve"> /L) + 0.396 × ln (TB) (</w:t>
      </w:r>
      <w:proofErr w:type="spellStart"/>
      <w:r w:rsidRPr="00A21DA6">
        <w:rPr>
          <w:rFonts w:ascii="Times New Roman" w:eastAsiaTheme="majorEastAsia" w:hAnsi="Times New Roman" w:cs="Times New Roman"/>
          <w:sz w:val="24"/>
        </w:rPr>
        <w:t>umol</w:t>
      </w:r>
      <w:proofErr w:type="spellEnd"/>
      <w:r w:rsidRPr="00A21DA6">
        <w:rPr>
          <w:rFonts w:ascii="Times New Roman" w:eastAsiaTheme="majorEastAsia" w:hAnsi="Times New Roman" w:cs="Times New Roman"/>
          <w:sz w:val="24"/>
        </w:rPr>
        <w:t>/L) + 0.576 × ln (serum urea) (mmol/L) + 0.033 × age.</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12</w:t>
      </w:r>
      <w:r w:rsidRPr="00A21DA6">
        <w:rPr>
          <w:rFonts w:ascii="Times New Roman" w:eastAsiaTheme="majorEastAsia" w:hAnsi="Times New Roman" w:cs="Times New Roman"/>
          <w:sz w:val="24"/>
        </w:rPr>
        <w:t>)</w:t>
      </w:r>
    </w:p>
    <w:p w14:paraId="2AEC9919" w14:textId="77777777" w:rsidR="00C2474C" w:rsidRPr="00A21DA6" w:rsidRDefault="00235CBB">
      <w:pPr>
        <w:widowControl/>
        <w:jc w:val="left"/>
        <w:rPr>
          <w:rFonts w:ascii="Times New Roman" w:eastAsiaTheme="majorEastAsia" w:hAnsi="Times New Roman" w:cs="Times New Roman"/>
          <w:sz w:val="24"/>
        </w:rPr>
      </w:pPr>
      <w:proofErr w:type="spellStart"/>
      <w:r w:rsidRPr="00A21DA6">
        <w:rPr>
          <w:rFonts w:ascii="Times New Roman" w:eastAsiaTheme="majorEastAsia" w:hAnsi="Times New Roman" w:cs="Times New Roman"/>
          <w:b/>
          <w:bCs/>
          <w:sz w:val="24"/>
        </w:rPr>
        <w:t>Acites</w:t>
      </w:r>
      <w:proofErr w:type="spellEnd"/>
      <w:r w:rsidRPr="00A21DA6">
        <w:rPr>
          <w:rFonts w:ascii="Times New Roman" w:eastAsiaTheme="majorEastAsia" w:hAnsi="Times New Roman" w:cs="Times New Roman"/>
          <w:b/>
          <w:bCs/>
          <w:sz w:val="24"/>
        </w:rPr>
        <w:t xml:space="preserve"> grade: </w:t>
      </w:r>
      <w:r w:rsidRPr="00A21DA6">
        <w:rPr>
          <w:rFonts w:ascii="Times New Roman" w:eastAsiaTheme="majorEastAsia" w:hAnsi="Times New Roman" w:cs="Times New Roman"/>
          <w:sz w:val="24"/>
        </w:rPr>
        <w:t>Grade1 ascites is mild ascites only detectable by ultrasound examination. Grade 2 ascites or moderate ascites is manifest by moderate symmetrical distension of abdomen. Grade 3 ascites is large or gross ascites with marked abdominal distension.</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13</w:t>
      </w:r>
      <w:r w:rsidRPr="00A21DA6">
        <w:rPr>
          <w:rFonts w:ascii="Times New Roman" w:eastAsiaTheme="majorEastAsia" w:hAnsi="Times New Roman" w:cs="Times New Roman"/>
          <w:sz w:val="24"/>
        </w:rPr>
        <w:t>)</w:t>
      </w:r>
    </w:p>
    <w:p w14:paraId="51BA1738" w14:textId="77777777" w:rsidR="00C2474C" w:rsidRPr="00A21DA6" w:rsidRDefault="00235CBB">
      <w:pPr>
        <w:outlineLvl w:val="0"/>
        <w:rPr>
          <w:rFonts w:ascii="Times New Roman" w:eastAsiaTheme="majorEastAsia" w:hAnsi="Times New Roman" w:cs="Times New Roman"/>
          <w:sz w:val="24"/>
        </w:rPr>
      </w:pPr>
      <w:r w:rsidRPr="00A21DA6">
        <w:rPr>
          <w:rFonts w:ascii="Times New Roman" w:eastAsiaTheme="majorEastAsia" w:hAnsi="Times New Roman" w:cs="Times New Roman"/>
          <w:b/>
          <w:bCs/>
          <w:sz w:val="24"/>
        </w:rPr>
        <w:lastRenderedPageBreak/>
        <w:t>Methods S3: The detailed protocol of treatment for HBV-ACLF</w:t>
      </w:r>
    </w:p>
    <w:p w14:paraId="6B198F97" w14:textId="77777777" w:rsidR="00C2474C" w:rsidRPr="00A21DA6" w:rsidRDefault="00235CBB">
      <w:pPr>
        <w:widowControl/>
        <w:ind w:firstLineChars="200" w:firstLine="480"/>
        <w:outlineLvl w:val="0"/>
        <w:rPr>
          <w:rFonts w:ascii="Times New Roman" w:hAnsi="Times New Roman" w:cs="Times New Roman"/>
          <w:sz w:val="24"/>
        </w:rPr>
      </w:pPr>
      <w:r w:rsidRPr="00A21DA6">
        <w:rPr>
          <w:rFonts w:ascii="Times New Roman" w:eastAsiaTheme="majorEastAsia" w:hAnsi="Times New Roman" w:cs="Times New Roman"/>
          <w:sz w:val="24"/>
        </w:rPr>
        <w:t>All patients received standard medical treatment</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1,14,15</w:t>
      </w:r>
      <w:r w:rsidRPr="00A21DA6">
        <w:rPr>
          <w:rFonts w:ascii="Times New Roman" w:eastAsiaTheme="majorEastAsia" w:hAnsi="Times New Roman" w:cs="Times New Roman"/>
          <w:sz w:val="24"/>
        </w:rPr>
        <w:t xml:space="preserve">), including nutrition support (glucose, vitamins, electrolytes, </w:t>
      </w:r>
      <w:proofErr w:type="spellStart"/>
      <w:r w:rsidRPr="00A21DA6">
        <w:rPr>
          <w:rFonts w:ascii="Times New Roman" w:eastAsiaTheme="majorEastAsia" w:hAnsi="Times New Roman" w:cs="Times New Roman"/>
          <w:sz w:val="24"/>
        </w:rPr>
        <w:t>glutathione,etc</w:t>
      </w:r>
      <w:proofErr w:type="spellEnd"/>
      <w:r w:rsidRPr="00A21DA6">
        <w:rPr>
          <w:rFonts w:ascii="Times New Roman" w:eastAsiaTheme="majorEastAsia" w:hAnsi="Times New Roman" w:cs="Times New Roman"/>
          <w:sz w:val="24"/>
        </w:rPr>
        <w:t xml:space="preserve">), absolute bed rest, nucleoside analogues antiviral therapy for HBV DNA-positive patients, sodium restriction, diuretics, paracentesis combined with albumin infusion for ascites, evaluating the potential inducement and treatment with lactulose and L-ornithine aspartate for hepatic encephalopathy (HE), renal replacement for hepatorenal syndrome and uremic symptoms, prophylactic antibiotics for bacterial infection and subsequently adjusted based on the results of culture and antibiotic sensitivity tests. Patients with variceal bleeding were immediately treated with somatostatin, proton pump inhibitors, and antibiotic prophylaxis. Patients with a mean arterial pressure &lt; 70 mmHg received fluid replacement, as well as vasoactive agents when necessary. Patients with decreased PaO2 or SpO2 received oxygen therapy, or mechanical ventilation, as necessary. </w:t>
      </w:r>
      <w:bookmarkStart w:id="0" w:name="OLE_LINK3"/>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13,16,17</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Artificial liver</w:t>
      </w:r>
      <w:bookmarkEnd w:id="0"/>
      <w:r w:rsidRPr="00A21DA6">
        <w:rPr>
          <w:rFonts w:ascii="Times New Roman" w:eastAsiaTheme="majorEastAsia" w:hAnsi="Times New Roman" w:cs="Times New Roman"/>
          <w:sz w:val="24"/>
        </w:rPr>
        <w:t xml:space="preserve"> support (ALS) systems (KM8900; Kuraray, Japan), being considered as a bridge to LT or liver recovery, were frequently utilized according to the patients’ clinical state</w:t>
      </w:r>
      <w:r w:rsidRPr="00A21DA6">
        <w:rPr>
          <w:rFonts w:ascii="Times New Roman" w:eastAsiaTheme="majorEastAsia" w:hAnsi="Times New Roman" w:cs="Times New Roman" w:hint="eastAsia"/>
          <w:sz w:val="24"/>
        </w:rPr>
        <w:t xml:space="preserve"> </w:t>
      </w:r>
      <w:r w:rsidRPr="00A21DA6">
        <w:rPr>
          <w:rFonts w:ascii="Times New Roman" w:eastAsiaTheme="majorEastAsia" w:hAnsi="Times New Roman" w:cs="Times New Roman"/>
          <w:sz w:val="24"/>
        </w:rPr>
        <w:t>(</w:t>
      </w:r>
      <w:r w:rsidRPr="00A21DA6">
        <w:rPr>
          <w:rFonts w:ascii="Times New Roman" w:eastAsiaTheme="majorEastAsia" w:hAnsi="Times New Roman" w:cs="Times New Roman" w:hint="eastAsia"/>
          <w:sz w:val="24"/>
        </w:rPr>
        <w:t>1</w:t>
      </w:r>
      <w:r w:rsidRPr="00A21DA6">
        <w:rPr>
          <w:rFonts w:ascii="Times New Roman" w:eastAsiaTheme="majorEastAsia" w:hAnsi="Times New Roman" w:cs="Times New Roman"/>
          <w:sz w:val="24"/>
        </w:rPr>
        <w:t>).</w:t>
      </w:r>
    </w:p>
    <w:p w14:paraId="4EA6824D" w14:textId="77777777" w:rsidR="00C2474C" w:rsidRPr="00A21DA6" w:rsidRDefault="00235CBB">
      <w:pPr>
        <w:rPr>
          <w:rFonts w:ascii="Times New Roman" w:hAnsi="Times New Roman" w:cs="Times New Roman"/>
          <w:sz w:val="24"/>
        </w:rPr>
      </w:pPr>
      <w:r w:rsidRPr="00A21DA6">
        <w:rPr>
          <w:rFonts w:ascii="Times New Roman" w:eastAsiaTheme="majorEastAsia" w:hAnsi="Times New Roman" w:cs="Times New Roman"/>
          <w:b/>
          <w:bCs/>
          <w:sz w:val="24"/>
        </w:rPr>
        <w:br w:type="page"/>
      </w:r>
    </w:p>
    <w:p w14:paraId="64E193EB" w14:textId="77777777" w:rsidR="00C2474C" w:rsidRPr="00A21DA6" w:rsidRDefault="00235CBB">
      <w:pPr>
        <w:jc w:val="left"/>
        <w:rPr>
          <w:rFonts w:ascii="Times New Roman" w:hAnsi="Times New Roman" w:cs="Times New Roman"/>
          <w:b/>
          <w:bCs/>
          <w:sz w:val="24"/>
        </w:rPr>
      </w:pPr>
      <w:bookmarkStart w:id="1" w:name="OLE_LINK1"/>
      <w:r w:rsidRPr="00A21DA6">
        <w:rPr>
          <w:rFonts w:ascii="Times New Roman" w:hAnsi="Times New Roman" w:cs="Times New Roman"/>
          <w:b/>
          <w:bCs/>
          <w:sz w:val="24"/>
        </w:rPr>
        <w:lastRenderedPageBreak/>
        <w:t>Fig. S</w:t>
      </w:r>
      <w:r w:rsidRPr="00A21DA6">
        <w:rPr>
          <w:rFonts w:ascii="Times New Roman" w:hAnsi="Times New Roman" w:cs="Times New Roman" w:hint="eastAsia"/>
          <w:b/>
          <w:bCs/>
          <w:sz w:val="24"/>
        </w:rPr>
        <w:t xml:space="preserve">1 </w:t>
      </w:r>
      <w:r w:rsidRPr="00A21DA6">
        <w:rPr>
          <w:rFonts w:ascii="Times New Roman" w:hAnsi="Times New Roman" w:cs="Times New Roman"/>
          <w:b/>
          <w:bCs/>
          <w:sz w:val="24"/>
        </w:rPr>
        <w:t>The different distribution of ACLF grades according to EASL-</w:t>
      </w:r>
      <w:r w:rsidRPr="00A21DA6">
        <w:rPr>
          <w:rFonts w:ascii="Times New Roman" w:hAnsi="Times New Roman" w:cs="Times New Roman" w:hint="eastAsia"/>
          <w:b/>
          <w:bCs/>
          <w:sz w:val="24"/>
        </w:rPr>
        <w:t>ACLF</w:t>
      </w:r>
      <w:r w:rsidRPr="00A21DA6">
        <w:rPr>
          <w:rFonts w:ascii="Times New Roman" w:hAnsi="Times New Roman" w:cs="Times New Roman"/>
          <w:b/>
          <w:bCs/>
          <w:sz w:val="24"/>
        </w:rPr>
        <w:t xml:space="preserve"> or COSSH-ACLF criteria in derivation cohort</w:t>
      </w:r>
      <w:r w:rsidRPr="00A21DA6">
        <w:rPr>
          <w:rFonts w:ascii="Times New Roman" w:hAnsi="Times New Roman" w:cs="Times New Roman" w:hint="eastAsia"/>
          <w:b/>
          <w:bCs/>
          <w:sz w:val="24"/>
        </w:rPr>
        <w:t xml:space="preserve"> </w:t>
      </w:r>
    </w:p>
    <w:p w14:paraId="3CF4974E" w14:textId="77777777" w:rsidR="00C2474C" w:rsidRPr="00A21DA6" w:rsidRDefault="00235CBB">
      <w:pPr>
        <w:jc w:val="left"/>
      </w:pPr>
      <w:r w:rsidRPr="00A21DA6">
        <w:rPr>
          <w:noProof/>
        </w:rPr>
        <w:drawing>
          <wp:inline distT="0" distB="0" distL="114300" distR="114300" wp14:anchorId="35A3FDB1" wp14:editId="6F484278">
            <wp:extent cx="3202305" cy="1802130"/>
            <wp:effectExtent l="0" t="0" r="1714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202305" cy="1802130"/>
                    </a:xfrm>
                    <a:prstGeom prst="rect">
                      <a:avLst/>
                    </a:prstGeom>
                    <a:noFill/>
                    <a:ln>
                      <a:noFill/>
                    </a:ln>
                  </pic:spPr>
                </pic:pic>
              </a:graphicData>
            </a:graphic>
          </wp:inline>
        </w:drawing>
      </w:r>
    </w:p>
    <w:p w14:paraId="0E5D6B9F" w14:textId="77777777" w:rsidR="00C2474C" w:rsidRPr="00A21DA6" w:rsidRDefault="00235CBB">
      <w:pPr>
        <w:spacing w:after="160"/>
        <w:ind w:firstLineChars="100" w:firstLine="240"/>
        <w:rPr>
          <w:rFonts w:ascii="Times New Roman" w:eastAsia="SimSun" w:hAnsi="Times New Roman" w:cs="Times New Roman"/>
          <w:sz w:val="24"/>
        </w:rPr>
      </w:pPr>
      <w:r w:rsidRPr="00A21DA6">
        <w:rPr>
          <w:rFonts w:ascii="Times New Roman" w:eastAsia="SimSun" w:hAnsi="Times New Roman" w:cs="Times New Roman"/>
          <w:sz w:val="24"/>
        </w:rPr>
        <w:t>Abbreviations: ACLF: acute-on-chronic liver failure; EASL: European Association for the Study of the Liver-chronic liver failure in Cirrhosis; COSSH-ACLF: Chinese Group on the Study of Severe Hepatitis B-acute-on-chronic liver failure</w:t>
      </w:r>
      <w:r w:rsidRPr="00A21DA6">
        <w:rPr>
          <w:rFonts w:ascii="Times New Roman" w:hAnsi="Times New Roman" w:cs="Times New Roman"/>
          <w:sz w:val="24"/>
        </w:rPr>
        <w:t>.</w:t>
      </w:r>
    </w:p>
    <w:p w14:paraId="30F675E6" w14:textId="77777777" w:rsidR="00C2474C" w:rsidRPr="00A21DA6" w:rsidRDefault="00C2474C">
      <w:pPr>
        <w:spacing w:after="160"/>
        <w:rPr>
          <w:rFonts w:ascii="Times New Roman" w:eastAsia="SimSun" w:hAnsi="Times New Roman" w:cs="Times New Roman"/>
          <w:b/>
          <w:bCs/>
          <w:sz w:val="24"/>
        </w:rPr>
      </w:pPr>
    </w:p>
    <w:p w14:paraId="7A15C8CD" w14:textId="77777777" w:rsidR="00C2474C" w:rsidRPr="00A21DA6" w:rsidRDefault="00C2474C">
      <w:pPr>
        <w:rPr>
          <w:rFonts w:ascii="Times New Roman" w:hAnsi="Times New Roman" w:cs="Times New Roman"/>
          <w:b/>
          <w:bCs/>
          <w:sz w:val="24"/>
        </w:rPr>
      </w:pPr>
    </w:p>
    <w:p w14:paraId="30C54EEB" w14:textId="77777777" w:rsidR="00C2474C" w:rsidRPr="00A21DA6" w:rsidRDefault="00235CBB">
      <w:pPr>
        <w:jc w:val="left"/>
        <w:rPr>
          <w:rFonts w:ascii="Times New Roman" w:hAnsi="Times New Roman" w:cs="Times New Roman"/>
          <w:b/>
          <w:bCs/>
          <w:sz w:val="24"/>
        </w:rPr>
      </w:pPr>
      <w:r w:rsidRPr="00A21DA6">
        <w:rPr>
          <w:rFonts w:ascii="Times New Roman" w:hAnsi="Times New Roman" w:cs="Times New Roman" w:hint="eastAsia"/>
          <w:b/>
          <w:bCs/>
          <w:sz w:val="24"/>
        </w:rPr>
        <w:t>Fig. S2 The relationship between infection and DIC score system</w:t>
      </w:r>
    </w:p>
    <w:p w14:paraId="1C715D52" w14:textId="77777777" w:rsidR="00C2474C" w:rsidRPr="00A21DA6" w:rsidRDefault="00235CBB">
      <w:pPr>
        <w:jc w:val="left"/>
        <w:rPr>
          <w:rFonts w:ascii="Times New Roman" w:eastAsiaTheme="majorEastAsia" w:hAnsi="Times New Roman" w:cs="Times New Roman"/>
          <w:sz w:val="24"/>
        </w:rPr>
      </w:pPr>
      <w:r w:rsidRPr="00A21DA6">
        <w:rPr>
          <w:rFonts w:ascii="Times New Roman" w:hAnsi="Times New Roman" w:cs="Times New Roman"/>
          <w:b/>
          <w:bCs/>
          <w:noProof/>
          <w:sz w:val="24"/>
        </w:rPr>
        <w:drawing>
          <wp:inline distT="0" distB="0" distL="114300" distR="114300" wp14:anchorId="422AE743" wp14:editId="02F6BDF3">
            <wp:extent cx="5273675" cy="2540000"/>
            <wp:effectExtent l="0" t="0" r="3175" b="12700"/>
            <wp:docPr id="5" name="图片 5" desc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1"/>
                    <pic:cNvPicPr>
                      <a:picLocks noChangeAspect="1"/>
                    </pic:cNvPicPr>
                  </pic:nvPicPr>
                  <pic:blipFill>
                    <a:blip r:embed="rId10"/>
                    <a:stretch>
                      <a:fillRect/>
                    </a:stretch>
                  </pic:blipFill>
                  <pic:spPr>
                    <a:xfrm>
                      <a:off x="0" y="0"/>
                      <a:ext cx="5273675" cy="2540000"/>
                    </a:xfrm>
                    <a:prstGeom prst="rect">
                      <a:avLst/>
                    </a:prstGeom>
                  </pic:spPr>
                </pic:pic>
              </a:graphicData>
            </a:graphic>
          </wp:inline>
        </w:drawing>
      </w:r>
      <w:bookmarkEnd w:id="1"/>
    </w:p>
    <w:p w14:paraId="4415E55C" w14:textId="77777777" w:rsidR="00C2474C" w:rsidRPr="00A21DA6" w:rsidRDefault="00235CBB">
      <w:pPr>
        <w:widowControl/>
        <w:ind w:firstLineChars="200" w:firstLine="480"/>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Association between infection and DIC score indicators (PT, Platelet count, Fibrinogen, DDI, FDPs and DIC score). Without Bi: patients who never had infection during the whole course within 90 days; Baseline Bi: patients who had infection at baseline; Bi after admission: patients without infection at baseline and developed bacterial infection within 90 days. </w:t>
      </w:r>
    </w:p>
    <w:p w14:paraId="170CDAB5" w14:textId="77777777" w:rsidR="00C2474C" w:rsidRPr="00A21DA6" w:rsidRDefault="00235CBB">
      <w:pPr>
        <w:widowControl/>
        <w:ind w:firstLineChars="200" w:firstLine="480"/>
        <w:outlineLvl w:val="0"/>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Platelet count was missing in one patient, and five patients lacked D-dimer and FDPs information. Some patients had been treated in other hospitals before being admitted to </w:t>
      </w:r>
      <w:proofErr w:type="spellStart"/>
      <w:r w:rsidRPr="00A21DA6">
        <w:rPr>
          <w:rFonts w:ascii="Times New Roman" w:eastAsiaTheme="majorEastAsia" w:hAnsi="Times New Roman" w:cs="Times New Roman"/>
          <w:sz w:val="24"/>
        </w:rPr>
        <w:t>Huashan</w:t>
      </w:r>
      <w:proofErr w:type="spellEnd"/>
      <w:r w:rsidRPr="00A21DA6">
        <w:rPr>
          <w:rFonts w:ascii="Times New Roman" w:eastAsiaTheme="majorEastAsia" w:hAnsi="Times New Roman" w:cs="Times New Roman"/>
          <w:sz w:val="24"/>
        </w:rPr>
        <w:t xml:space="preserve"> Hospital, so some had complications with Bi upon admission.</w:t>
      </w:r>
    </w:p>
    <w:p w14:paraId="632F14E3" w14:textId="77777777" w:rsidR="00C2474C" w:rsidRPr="00A21DA6" w:rsidRDefault="00235CBB">
      <w:pPr>
        <w:widowControl/>
        <w:ind w:firstLineChars="200" w:firstLine="480"/>
        <w:outlineLvl w:val="0"/>
        <w:rPr>
          <w:rFonts w:ascii="Times New Roman" w:eastAsiaTheme="majorEastAsia" w:hAnsi="Times New Roman" w:cs="Times New Roman"/>
          <w:sz w:val="24"/>
        </w:rPr>
      </w:pPr>
      <w:bookmarkStart w:id="2" w:name="_Hlk91795924"/>
      <w:r w:rsidRPr="00A21DA6">
        <w:rPr>
          <w:rFonts w:ascii="Times New Roman" w:eastAsiaTheme="majorEastAsia" w:hAnsi="Times New Roman" w:cs="Times New Roman"/>
          <w:sz w:val="24"/>
        </w:rPr>
        <w:t>Abbreviations: DIC: disseminated intravascular coagulation; PT: prothrombin time; DDI: D-dimer; FDPs: fibrinogen degradation products; HBV-ACLF: hepatitis B virus-related acute-on-chronic liver failure; Bi: bacterial infection.</w:t>
      </w:r>
    </w:p>
    <w:bookmarkEnd w:id="2"/>
    <w:p w14:paraId="20413F14" w14:textId="77777777" w:rsidR="00C2474C" w:rsidRPr="00A21DA6" w:rsidRDefault="00C2474C">
      <w:pPr>
        <w:rPr>
          <w:rFonts w:ascii="Times New Roman" w:eastAsiaTheme="majorEastAsia" w:hAnsi="Times New Roman" w:cs="Times New Roman"/>
          <w:sz w:val="24"/>
        </w:rPr>
      </w:pPr>
    </w:p>
    <w:p w14:paraId="021DAA5A" w14:textId="77777777" w:rsidR="00C2474C" w:rsidRPr="00A21DA6" w:rsidRDefault="00235CBB">
      <w:pPr>
        <w:spacing w:after="160"/>
        <w:rPr>
          <w:rFonts w:ascii="Times New Roman" w:eastAsia="SimSun" w:hAnsi="Times New Roman" w:cs="Times New Roman"/>
          <w:color w:val="000000"/>
          <w:sz w:val="24"/>
        </w:rPr>
      </w:pPr>
      <w:r w:rsidRPr="00A21DA6">
        <w:rPr>
          <w:rFonts w:ascii="Times New Roman" w:eastAsia="SimSun" w:hAnsi="Times New Roman" w:cs="Times New Roman"/>
          <w:b/>
          <w:bCs/>
          <w:sz w:val="24"/>
        </w:rPr>
        <w:lastRenderedPageBreak/>
        <w:t>Table S1</w:t>
      </w:r>
      <w:r w:rsidRPr="00A21DA6">
        <w:rPr>
          <w:rFonts w:ascii="Times New Roman" w:eastAsia="SimSun" w:hAnsi="Times New Roman" w:cs="Times New Roman" w:hint="eastAsia"/>
          <w:b/>
          <w:bCs/>
          <w:sz w:val="24"/>
        </w:rPr>
        <w:t xml:space="preserve"> </w:t>
      </w:r>
      <w:r w:rsidRPr="00A21DA6">
        <w:rPr>
          <w:rFonts w:ascii="Times New Roman" w:eastAsia="SimSun" w:hAnsi="Times New Roman" w:cs="Times New Roman" w:hint="eastAsia"/>
          <w:color w:val="000000"/>
          <w:sz w:val="24"/>
        </w:rPr>
        <w:t>Coagulation</w:t>
      </w:r>
      <w:r w:rsidRPr="00A21DA6">
        <w:rPr>
          <w:rFonts w:ascii="Times New Roman" w:eastAsia="SimSun" w:hAnsi="Times New Roman" w:cs="Times New Roman"/>
          <w:color w:val="000000"/>
          <w:sz w:val="24"/>
        </w:rPr>
        <w:t xml:space="preserve"> </w:t>
      </w:r>
      <w:r w:rsidRPr="00A21DA6">
        <w:rPr>
          <w:rFonts w:ascii="Times New Roman" w:eastAsia="SimSun" w:hAnsi="Times New Roman" w:cs="Times New Roman" w:hint="eastAsia"/>
          <w:color w:val="000000"/>
          <w:sz w:val="24"/>
        </w:rPr>
        <w:t>f</w:t>
      </w:r>
      <w:r w:rsidRPr="00A21DA6">
        <w:rPr>
          <w:rFonts w:ascii="Times New Roman" w:eastAsia="SimSun" w:hAnsi="Times New Roman" w:cs="Times New Roman"/>
          <w:color w:val="000000"/>
          <w:sz w:val="24"/>
        </w:rPr>
        <w:t xml:space="preserve">actors associated with transplant-free </w:t>
      </w:r>
      <w:r w:rsidRPr="00A21DA6">
        <w:rPr>
          <w:rFonts w:ascii="Times New Roman" w:eastAsia="SimSun" w:hAnsi="Times New Roman" w:cs="Times New Roman" w:hint="eastAsia"/>
          <w:color w:val="000000"/>
          <w:sz w:val="24"/>
        </w:rPr>
        <w:t>90</w:t>
      </w:r>
      <w:r w:rsidRPr="00A21DA6">
        <w:rPr>
          <w:rFonts w:ascii="Times New Roman" w:eastAsia="SimSun" w:hAnsi="Times New Roman" w:cs="Times New Roman"/>
          <w:color w:val="000000"/>
          <w:sz w:val="24"/>
        </w:rPr>
        <w:t>-day mortality in patients with HBV-ACLF</w:t>
      </w:r>
      <w:r w:rsidRPr="00A21DA6">
        <w:rPr>
          <w:rFonts w:ascii="Times New Roman" w:eastAsia="SimSun" w:hAnsi="Times New Roman" w:cs="Times New Roman" w:hint="eastAsia"/>
          <w:color w:val="000000"/>
          <w:sz w:val="24"/>
        </w:rPr>
        <w:t xml:space="preserve"> </w:t>
      </w:r>
      <w:r w:rsidRPr="00A21DA6">
        <w:rPr>
          <w:rFonts w:ascii="Times New Roman" w:eastAsia="SimSun" w:hAnsi="Times New Roman" w:cs="Times New Roman"/>
          <w:color w:val="000000"/>
          <w:sz w:val="24"/>
        </w:rPr>
        <w:t>a</w:t>
      </w:r>
      <w:r w:rsidRPr="00A21DA6">
        <w:rPr>
          <w:rFonts w:ascii="Times New Roman" w:eastAsia="SimSun" w:hAnsi="Times New Roman" w:cs="Times New Roman" w:hint="eastAsia"/>
          <w:color w:val="000000"/>
          <w:sz w:val="24"/>
        </w:rPr>
        <w:t xml:space="preserve">ccording to a </w:t>
      </w:r>
      <w:r w:rsidRPr="00A21DA6">
        <w:rPr>
          <w:rFonts w:ascii="Times New Roman" w:eastAsia="SimSun" w:hAnsi="Times New Roman" w:cs="Times New Roman"/>
          <w:color w:val="000000"/>
          <w:sz w:val="24"/>
        </w:rPr>
        <w:t>m</w:t>
      </w:r>
      <w:r w:rsidRPr="00A21DA6">
        <w:rPr>
          <w:rFonts w:ascii="Times New Roman" w:eastAsia="SimSun" w:hAnsi="Times New Roman" w:cs="Times New Roman" w:hint="eastAsia"/>
          <w:color w:val="000000"/>
          <w:sz w:val="24"/>
        </w:rPr>
        <w:t xml:space="preserve">ultivariate Cox PH </w:t>
      </w:r>
      <w:r w:rsidRPr="00A21DA6">
        <w:rPr>
          <w:rFonts w:ascii="Times New Roman" w:eastAsia="SimSun" w:hAnsi="Times New Roman" w:cs="Times New Roman"/>
          <w:color w:val="000000"/>
          <w:sz w:val="24"/>
        </w:rPr>
        <w:t>m</w:t>
      </w:r>
      <w:r w:rsidRPr="00A21DA6">
        <w:rPr>
          <w:rFonts w:ascii="Times New Roman" w:eastAsia="SimSun" w:hAnsi="Times New Roman" w:cs="Times New Roman" w:hint="eastAsia"/>
          <w:color w:val="000000"/>
          <w:sz w:val="24"/>
        </w:rPr>
        <w:t>odel.</w:t>
      </w:r>
    </w:p>
    <w:tbl>
      <w:tblPr>
        <w:tblStyle w:val="TableGrid"/>
        <w:tblW w:w="896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7"/>
        <w:gridCol w:w="2814"/>
        <w:gridCol w:w="1300"/>
        <w:gridCol w:w="1812"/>
        <w:gridCol w:w="1202"/>
      </w:tblGrid>
      <w:tr w:rsidR="00C2474C" w:rsidRPr="00A21DA6" w14:paraId="49E5A086" w14:textId="77777777">
        <w:trPr>
          <w:trHeight w:val="368"/>
          <w:jc w:val="center"/>
        </w:trPr>
        <w:tc>
          <w:tcPr>
            <w:tcW w:w="1837" w:type="dxa"/>
            <w:tcBorders>
              <w:bottom w:val="single" w:sz="4" w:space="0" w:color="auto"/>
            </w:tcBorders>
            <w:shd w:val="clear" w:color="auto" w:fill="auto"/>
          </w:tcPr>
          <w:p w14:paraId="471CE821" w14:textId="77777777" w:rsidR="00C2474C" w:rsidRPr="00A21DA6" w:rsidRDefault="00C2474C">
            <w:pPr>
              <w:spacing w:after="160"/>
              <w:rPr>
                <w:rFonts w:ascii="Times New Roman" w:eastAsia="SimSun" w:hAnsi="Times New Roman" w:cs="Times New Roman"/>
                <w:color w:val="000000"/>
                <w:sz w:val="24"/>
              </w:rPr>
            </w:pPr>
          </w:p>
        </w:tc>
        <w:tc>
          <w:tcPr>
            <w:tcW w:w="2814" w:type="dxa"/>
            <w:tcBorders>
              <w:bottom w:val="single" w:sz="4" w:space="0" w:color="auto"/>
            </w:tcBorders>
            <w:shd w:val="clear" w:color="auto" w:fill="auto"/>
          </w:tcPr>
          <w:p w14:paraId="3B0224FD"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Regression</w:t>
            </w:r>
            <w:r w:rsidRPr="00A21DA6">
              <w:rPr>
                <w:rFonts w:ascii="Times New Roman" w:eastAsia="SimSun" w:hAnsi="Times New Roman" w:cs="Times New Roman" w:hint="eastAsia"/>
                <w:color w:val="000000"/>
                <w:sz w:val="24"/>
              </w:rPr>
              <w:t xml:space="preserve"> </w:t>
            </w:r>
            <w:r w:rsidRPr="00A21DA6">
              <w:rPr>
                <w:rFonts w:ascii="Times New Roman" w:eastAsia="SimSun" w:hAnsi="Times New Roman" w:cs="Times New Roman"/>
                <w:color w:val="000000"/>
                <w:sz w:val="24"/>
              </w:rPr>
              <w:t>coefficient</w:t>
            </w:r>
          </w:p>
        </w:tc>
        <w:tc>
          <w:tcPr>
            <w:tcW w:w="1300" w:type="dxa"/>
            <w:tcBorders>
              <w:bottom w:val="single" w:sz="4" w:space="0" w:color="auto"/>
            </w:tcBorders>
            <w:shd w:val="clear" w:color="auto" w:fill="auto"/>
          </w:tcPr>
          <w:p w14:paraId="5C51D713"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HR</w:t>
            </w:r>
          </w:p>
        </w:tc>
        <w:tc>
          <w:tcPr>
            <w:tcW w:w="1812" w:type="dxa"/>
            <w:tcBorders>
              <w:bottom w:val="single" w:sz="4" w:space="0" w:color="auto"/>
            </w:tcBorders>
            <w:shd w:val="clear" w:color="auto" w:fill="auto"/>
          </w:tcPr>
          <w:p w14:paraId="4AB4D396"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95%CI</w:t>
            </w:r>
          </w:p>
        </w:tc>
        <w:tc>
          <w:tcPr>
            <w:tcW w:w="1202" w:type="dxa"/>
            <w:tcBorders>
              <w:bottom w:val="single" w:sz="4" w:space="0" w:color="auto"/>
            </w:tcBorders>
            <w:shd w:val="clear" w:color="auto" w:fill="auto"/>
          </w:tcPr>
          <w:p w14:paraId="1625F99C"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P value</w:t>
            </w:r>
          </w:p>
        </w:tc>
      </w:tr>
      <w:tr w:rsidR="00C2474C" w:rsidRPr="00A21DA6" w14:paraId="6CB75D04" w14:textId="77777777">
        <w:trPr>
          <w:trHeight w:val="102"/>
          <w:jc w:val="center"/>
        </w:trPr>
        <w:tc>
          <w:tcPr>
            <w:tcW w:w="1837" w:type="dxa"/>
            <w:tcBorders>
              <w:top w:val="single" w:sz="4" w:space="0" w:color="auto"/>
            </w:tcBorders>
            <w:shd w:val="clear" w:color="auto" w:fill="auto"/>
          </w:tcPr>
          <w:p w14:paraId="094C2021" w14:textId="77777777" w:rsidR="00C2474C" w:rsidRPr="00A21DA6" w:rsidRDefault="00235CBB">
            <w:pPr>
              <w:spacing w:after="16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INR</w:t>
            </w:r>
          </w:p>
        </w:tc>
        <w:tc>
          <w:tcPr>
            <w:tcW w:w="2814" w:type="dxa"/>
            <w:tcBorders>
              <w:top w:val="single" w:sz="4" w:space="0" w:color="auto"/>
            </w:tcBorders>
            <w:shd w:val="clear" w:color="auto" w:fill="auto"/>
          </w:tcPr>
          <w:p w14:paraId="48795799"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0.916</w:t>
            </w:r>
          </w:p>
        </w:tc>
        <w:tc>
          <w:tcPr>
            <w:tcW w:w="1300" w:type="dxa"/>
            <w:tcBorders>
              <w:top w:val="single" w:sz="4" w:space="0" w:color="auto"/>
            </w:tcBorders>
            <w:shd w:val="clear" w:color="auto" w:fill="auto"/>
          </w:tcPr>
          <w:p w14:paraId="7222589A"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2.499</w:t>
            </w:r>
          </w:p>
        </w:tc>
        <w:tc>
          <w:tcPr>
            <w:tcW w:w="1812" w:type="dxa"/>
            <w:tcBorders>
              <w:top w:val="single" w:sz="4" w:space="0" w:color="auto"/>
            </w:tcBorders>
            <w:shd w:val="clear" w:color="auto" w:fill="auto"/>
          </w:tcPr>
          <w:p w14:paraId="2AAE0BD9"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1.851 - 3.374</w:t>
            </w:r>
          </w:p>
        </w:tc>
        <w:tc>
          <w:tcPr>
            <w:tcW w:w="1202" w:type="dxa"/>
            <w:tcBorders>
              <w:top w:val="single" w:sz="4" w:space="0" w:color="auto"/>
            </w:tcBorders>
            <w:shd w:val="clear" w:color="auto" w:fill="auto"/>
          </w:tcPr>
          <w:p w14:paraId="72096011"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0.000</w:t>
            </w:r>
          </w:p>
        </w:tc>
      </w:tr>
      <w:tr w:rsidR="00C2474C" w:rsidRPr="00A21DA6" w14:paraId="73FFEB3C" w14:textId="77777777">
        <w:trPr>
          <w:jc w:val="center"/>
        </w:trPr>
        <w:tc>
          <w:tcPr>
            <w:tcW w:w="1837" w:type="dxa"/>
            <w:shd w:val="clear" w:color="auto" w:fill="auto"/>
          </w:tcPr>
          <w:p w14:paraId="51785192" w14:textId="77777777" w:rsidR="00C2474C" w:rsidRPr="00A21DA6" w:rsidRDefault="00235CBB">
            <w:pPr>
              <w:spacing w:after="16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DIC score</w:t>
            </w:r>
          </w:p>
        </w:tc>
        <w:tc>
          <w:tcPr>
            <w:tcW w:w="2814" w:type="dxa"/>
            <w:shd w:val="clear" w:color="auto" w:fill="auto"/>
          </w:tcPr>
          <w:p w14:paraId="0FDE3645"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0.404</w:t>
            </w:r>
          </w:p>
        </w:tc>
        <w:tc>
          <w:tcPr>
            <w:tcW w:w="1300" w:type="dxa"/>
            <w:shd w:val="clear" w:color="auto" w:fill="auto"/>
          </w:tcPr>
          <w:p w14:paraId="5AD49B94"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1.498</w:t>
            </w:r>
          </w:p>
        </w:tc>
        <w:tc>
          <w:tcPr>
            <w:tcW w:w="1812" w:type="dxa"/>
            <w:shd w:val="clear" w:color="auto" w:fill="auto"/>
          </w:tcPr>
          <w:p w14:paraId="2961648B"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1.217 - 2.843</w:t>
            </w:r>
          </w:p>
        </w:tc>
        <w:tc>
          <w:tcPr>
            <w:tcW w:w="1202" w:type="dxa"/>
            <w:shd w:val="clear" w:color="auto" w:fill="auto"/>
          </w:tcPr>
          <w:p w14:paraId="185AF1EE"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0.000</w:t>
            </w:r>
          </w:p>
        </w:tc>
      </w:tr>
    </w:tbl>
    <w:p w14:paraId="3BF04A58" w14:textId="77777777" w:rsidR="00C2474C" w:rsidRPr="00A21DA6" w:rsidRDefault="00235CBB">
      <w:pPr>
        <w:spacing w:after="160"/>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Abbreviations:</w:t>
      </w:r>
      <w:r w:rsidRPr="00A21DA6">
        <w:rPr>
          <w:rFonts w:ascii="Times New Roman" w:eastAsia="SimSun" w:hAnsi="Times New Roman" w:cs="Times New Roman"/>
          <w:color w:val="000000"/>
          <w:sz w:val="24"/>
        </w:rPr>
        <w:t xml:space="preserve"> ACLF, acute-on-chronic liver failure; HB</w:t>
      </w:r>
      <w:r w:rsidRPr="00A21DA6">
        <w:rPr>
          <w:rFonts w:ascii="Times New Roman" w:eastAsia="SimSun" w:hAnsi="Times New Roman" w:cs="Times New Roman" w:hint="eastAsia"/>
          <w:color w:val="000000"/>
          <w:sz w:val="24"/>
        </w:rPr>
        <w:t xml:space="preserve">V, </w:t>
      </w:r>
      <w:r w:rsidRPr="00A21DA6">
        <w:rPr>
          <w:rFonts w:ascii="Times New Roman" w:eastAsia="SimSun" w:hAnsi="Times New Roman" w:cs="Times New Roman"/>
          <w:color w:val="000000"/>
          <w:sz w:val="24"/>
        </w:rPr>
        <w:t>hepatitis B virus;</w:t>
      </w:r>
      <w:r w:rsidRPr="00A21DA6">
        <w:rPr>
          <w:rFonts w:ascii="Times New Roman" w:eastAsia="SimSun" w:hAnsi="Times New Roman" w:cs="Times New Roman" w:hint="eastAsia"/>
          <w:color w:val="000000"/>
          <w:sz w:val="24"/>
        </w:rPr>
        <w:t xml:space="preserve"> DIC, disseminated intravascular coagulation; INR, international </w:t>
      </w:r>
      <w:r w:rsidRPr="00A21DA6">
        <w:rPr>
          <w:rFonts w:ascii="Times New Roman" w:eastAsia="SimSun" w:hAnsi="Times New Roman" w:cs="Times New Roman"/>
          <w:color w:val="000000"/>
          <w:sz w:val="24"/>
        </w:rPr>
        <w:t>normalized rati</w:t>
      </w:r>
      <w:r w:rsidRPr="00A21DA6">
        <w:rPr>
          <w:rFonts w:ascii="Times New Roman" w:eastAsia="SimSun" w:hAnsi="Times New Roman" w:cs="Times New Roman" w:hint="eastAsia"/>
          <w:color w:val="000000"/>
          <w:sz w:val="24"/>
        </w:rPr>
        <w:t>o.</w:t>
      </w:r>
    </w:p>
    <w:p w14:paraId="0C60DB07" w14:textId="77777777" w:rsidR="00C2474C" w:rsidRPr="00A21DA6" w:rsidRDefault="00C2474C">
      <w:pPr>
        <w:rPr>
          <w:rFonts w:ascii="Times New Roman" w:eastAsia="SimSun" w:hAnsi="Times New Roman" w:cs="Times New Roman"/>
          <w:b/>
          <w:bCs/>
          <w:sz w:val="24"/>
        </w:rPr>
      </w:pPr>
    </w:p>
    <w:p w14:paraId="7ABF52D6" w14:textId="77777777" w:rsidR="00C2474C" w:rsidRPr="00A21DA6" w:rsidRDefault="00C2474C">
      <w:pPr>
        <w:spacing w:after="160"/>
        <w:rPr>
          <w:rFonts w:ascii="Times New Roman" w:eastAsia="SimSun" w:hAnsi="Times New Roman" w:cs="Times New Roman"/>
          <w:b/>
          <w:bCs/>
          <w:sz w:val="24"/>
        </w:rPr>
      </w:pPr>
    </w:p>
    <w:p w14:paraId="18D9DDE5" w14:textId="77777777" w:rsidR="00C2474C" w:rsidRPr="00A21DA6" w:rsidRDefault="00235CBB">
      <w:pPr>
        <w:spacing w:after="160"/>
        <w:rPr>
          <w:rFonts w:ascii="Times New Roman" w:eastAsia="SimSun" w:hAnsi="Times New Roman" w:cs="Times New Roman"/>
          <w:sz w:val="24"/>
        </w:rPr>
      </w:pPr>
      <w:r w:rsidRPr="00A21DA6">
        <w:rPr>
          <w:rFonts w:ascii="Times New Roman" w:eastAsia="SimSun" w:hAnsi="Times New Roman" w:cs="Times New Roman"/>
          <w:b/>
          <w:bCs/>
          <w:sz w:val="24"/>
        </w:rPr>
        <w:t>Table S</w:t>
      </w:r>
      <w:r w:rsidRPr="00A21DA6">
        <w:rPr>
          <w:rFonts w:ascii="Times New Roman" w:eastAsia="SimSun" w:hAnsi="Times New Roman" w:cs="Times New Roman" w:hint="eastAsia"/>
          <w:b/>
          <w:bCs/>
          <w:sz w:val="24"/>
        </w:rPr>
        <w:t>2</w:t>
      </w:r>
      <w:r w:rsidRPr="00A21DA6">
        <w:rPr>
          <w:rFonts w:ascii="Times New Roman" w:eastAsia="SimSun" w:hAnsi="Times New Roman" w:cs="Times New Roman"/>
          <w:b/>
          <w:bCs/>
          <w:sz w:val="24"/>
        </w:rPr>
        <w:t xml:space="preserve">. </w:t>
      </w:r>
      <w:r w:rsidRPr="00A21DA6">
        <w:rPr>
          <w:rFonts w:ascii="Times New Roman" w:eastAsia="SimSun" w:hAnsi="Times New Roman" w:cs="Times New Roman"/>
          <w:sz w:val="24"/>
        </w:rPr>
        <w:t>Predictors of mortality within 90-day in the univariate and multivariate Cox regression analyses in patients with HBV-ACLF</w:t>
      </w:r>
    </w:p>
    <w:tbl>
      <w:tblPr>
        <w:tblW w:w="9660" w:type="dxa"/>
        <w:tblInd w:w="-321" w:type="dxa"/>
        <w:tblLayout w:type="fixed"/>
        <w:tblCellMar>
          <w:left w:w="0" w:type="dxa"/>
          <w:right w:w="0" w:type="dxa"/>
        </w:tblCellMar>
        <w:tblLook w:val="04A0" w:firstRow="1" w:lastRow="0" w:firstColumn="1" w:lastColumn="0" w:noHBand="0" w:noVBand="1"/>
      </w:tblPr>
      <w:tblGrid>
        <w:gridCol w:w="3430"/>
        <w:gridCol w:w="2100"/>
        <w:gridCol w:w="1039"/>
        <w:gridCol w:w="2123"/>
        <w:gridCol w:w="968"/>
      </w:tblGrid>
      <w:tr w:rsidR="00C2474C" w:rsidRPr="00A21DA6" w14:paraId="2E11EEFB" w14:textId="77777777">
        <w:trPr>
          <w:cantSplit/>
          <w:trHeight w:val="315"/>
        </w:trPr>
        <w:tc>
          <w:tcPr>
            <w:tcW w:w="3430" w:type="dxa"/>
            <w:vMerge w:val="restart"/>
            <w:tcBorders>
              <w:top w:val="single" w:sz="8" w:space="0" w:color="000000"/>
              <w:left w:val="dotted" w:sz="4" w:space="0" w:color="auto"/>
              <w:bottom w:val="single" w:sz="8" w:space="0" w:color="000000"/>
              <w:right w:val="dotted" w:sz="4" w:space="0" w:color="auto"/>
              <w:tl2br w:val="nil"/>
              <w:tr2bl w:val="nil"/>
            </w:tcBorders>
            <w:shd w:val="clear" w:color="auto" w:fill="auto"/>
            <w:vAlign w:val="bottom"/>
          </w:tcPr>
          <w:p w14:paraId="7922614C" w14:textId="77777777" w:rsidR="00C2474C" w:rsidRPr="00A21DA6" w:rsidRDefault="00C2474C">
            <w:pPr>
              <w:spacing w:after="160"/>
              <w:rPr>
                <w:rFonts w:ascii="Times New Roman" w:eastAsia="SimSun" w:hAnsi="Times New Roman" w:cs="Times New Roman"/>
                <w:color w:val="000000"/>
                <w:sz w:val="24"/>
              </w:rPr>
            </w:pPr>
          </w:p>
          <w:p w14:paraId="36FB88E9"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Predictors</w:t>
            </w:r>
          </w:p>
        </w:tc>
        <w:tc>
          <w:tcPr>
            <w:tcW w:w="3139" w:type="dxa"/>
            <w:gridSpan w:val="2"/>
            <w:tcBorders>
              <w:top w:val="single" w:sz="8" w:space="0" w:color="000000"/>
              <w:left w:val="dotted" w:sz="4" w:space="0" w:color="auto"/>
              <w:bottom w:val="single" w:sz="8" w:space="0" w:color="000000"/>
              <w:right w:val="dotted" w:sz="4" w:space="0" w:color="auto"/>
              <w:tl2br w:val="nil"/>
              <w:tr2bl w:val="nil"/>
            </w:tcBorders>
            <w:shd w:val="clear" w:color="auto" w:fill="auto"/>
            <w:vAlign w:val="bottom"/>
          </w:tcPr>
          <w:p w14:paraId="6AC0267D"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Univariate Cox regression</w:t>
            </w:r>
          </w:p>
        </w:tc>
        <w:tc>
          <w:tcPr>
            <w:tcW w:w="3091" w:type="dxa"/>
            <w:gridSpan w:val="2"/>
            <w:tcBorders>
              <w:top w:val="single" w:sz="8" w:space="0" w:color="000000"/>
              <w:left w:val="dotted" w:sz="4" w:space="0" w:color="auto"/>
              <w:bottom w:val="single" w:sz="8" w:space="0" w:color="000000"/>
              <w:right w:val="dotted" w:sz="4" w:space="0" w:color="auto"/>
              <w:tl2br w:val="nil"/>
              <w:tr2bl w:val="nil"/>
            </w:tcBorders>
            <w:shd w:val="clear" w:color="auto" w:fill="auto"/>
            <w:vAlign w:val="bottom"/>
          </w:tcPr>
          <w:p w14:paraId="68916D10"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Multivariate Cox regression</w:t>
            </w:r>
          </w:p>
        </w:tc>
      </w:tr>
      <w:tr w:rsidR="00C2474C" w:rsidRPr="00A21DA6" w14:paraId="6ADF41BE" w14:textId="77777777">
        <w:trPr>
          <w:cantSplit/>
          <w:trHeight w:val="315"/>
        </w:trPr>
        <w:tc>
          <w:tcPr>
            <w:tcW w:w="3430" w:type="dxa"/>
            <w:vMerge/>
            <w:tcBorders>
              <w:top w:val="single" w:sz="8" w:space="0" w:color="000000"/>
              <w:left w:val="dotted" w:sz="4" w:space="0" w:color="auto"/>
              <w:bottom w:val="single" w:sz="4" w:space="0" w:color="auto"/>
              <w:right w:val="dotted" w:sz="4" w:space="0" w:color="auto"/>
              <w:tl2br w:val="nil"/>
              <w:tr2bl w:val="nil"/>
            </w:tcBorders>
            <w:shd w:val="clear" w:color="auto" w:fill="auto"/>
            <w:vAlign w:val="bottom"/>
          </w:tcPr>
          <w:p w14:paraId="0109E9CE" w14:textId="77777777" w:rsidR="00C2474C" w:rsidRPr="00A21DA6" w:rsidRDefault="00C2474C">
            <w:pPr>
              <w:spacing w:after="160"/>
              <w:rPr>
                <w:rFonts w:ascii="Times New Roman" w:eastAsia="SimSun" w:hAnsi="Times New Roman" w:cs="Times New Roman"/>
                <w:color w:val="000000"/>
                <w:sz w:val="24"/>
              </w:rPr>
            </w:pPr>
          </w:p>
        </w:tc>
        <w:tc>
          <w:tcPr>
            <w:tcW w:w="2100" w:type="dxa"/>
            <w:tcBorders>
              <w:top w:val="single" w:sz="8" w:space="0" w:color="000000"/>
              <w:left w:val="dotted" w:sz="4" w:space="0" w:color="auto"/>
              <w:bottom w:val="single" w:sz="4" w:space="0" w:color="auto"/>
              <w:right w:val="dotted" w:sz="4" w:space="0" w:color="auto"/>
              <w:tl2br w:val="nil"/>
              <w:tr2bl w:val="nil"/>
            </w:tcBorders>
            <w:shd w:val="clear" w:color="auto" w:fill="auto"/>
            <w:vAlign w:val="bottom"/>
          </w:tcPr>
          <w:p w14:paraId="745B3669"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HR (95% CI)</w:t>
            </w:r>
          </w:p>
        </w:tc>
        <w:tc>
          <w:tcPr>
            <w:tcW w:w="1039" w:type="dxa"/>
            <w:tcBorders>
              <w:top w:val="single" w:sz="8" w:space="0" w:color="000000"/>
              <w:left w:val="dotted" w:sz="4" w:space="0" w:color="auto"/>
              <w:bottom w:val="single" w:sz="4" w:space="0" w:color="auto"/>
              <w:right w:val="dotted" w:sz="4" w:space="0" w:color="auto"/>
              <w:tl2br w:val="nil"/>
              <w:tr2bl w:val="nil"/>
            </w:tcBorders>
            <w:shd w:val="clear" w:color="auto" w:fill="auto"/>
            <w:vAlign w:val="bottom"/>
          </w:tcPr>
          <w:p w14:paraId="6A434B49"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P Value</w:t>
            </w:r>
          </w:p>
        </w:tc>
        <w:tc>
          <w:tcPr>
            <w:tcW w:w="2123" w:type="dxa"/>
            <w:tcBorders>
              <w:top w:val="single" w:sz="8" w:space="0" w:color="000000"/>
              <w:left w:val="dotted" w:sz="4" w:space="0" w:color="auto"/>
              <w:bottom w:val="single" w:sz="4" w:space="0" w:color="auto"/>
              <w:right w:val="dotted" w:sz="4" w:space="0" w:color="auto"/>
              <w:tl2br w:val="nil"/>
              <w:tr2bl w:val="nil"/>
            </w:tcBorders>
            <w:shd w:val="clear" w:color="auto" w:fill="auto"/>
            <w:vAlign w:val="bottom"/>
          </w:tcPr>
          <w:p w14:paraId="32AC1F8A"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HR (95% CI)</w:t>
            </w:r>
          </w:p>
        </w:tc>
        <w:tc>
          <w:tcPr>
            <w:tcW w:w="968" w:type="dxa"/>
            <w:tcBorders>
              <w:top w:val="single" w:sz="8" w:space="0" w:color="000000"/>
              <w:left w:val="dotted" w:sz="4" w:space="0" w:color="auto"/>
              <w:bottom w:val="single" w:sz="4" w:space="0" w:color="auto"/>
              <w:right w:val="dotted" w:sz="4" w:space="0" w:color="auto"/>
              <w:tl2br w:val="nil"/>
              <w:tr2bl w:val="nil"/>
            </w:tcBorders>
            <w:shd w:val="clear" w:color="auto" w:fill="auto"/>
            <w:vAlign w:val="bottom"/>
          </w:tcPr>
          <w:p w14:paraId="1042B9D1"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P value</w:t>
            </w:r>
          </w:p>
        </w:tc>
      </w:tr>
      <w:tr w:rsidR="00C2474C" w:rsidRPr="00A21DA6" w14:paraId="0487FB72" w14:textId="77777777">
        <w:trPr>
          <w:cantSplit/>
          <w:trHeight w:val="304"/>
        </w:trPr>
        <w:tc>
          <w:tcPr>
            <w:tcW w:w="3430"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11EA066B" w14:textId="77777777" w:rsidR="00C2474C" w:rsidRPr="00A21DA6" w:rsidRDefault="00235CBB">
            <w:pPr>
              <w:spacing w:after="160"/>
              <w:ind w:firstLineChars="100" w:firstLine="241"/>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Age (</w:t>
            </w:r>
            <w:proofErr w:type="spellStart"/>
            <w:r w:rsidRPr="00A21DA6">
              <w:rPr>
                <w:rFonts w:ascii="Times New Roman" w:eastAsia="SimSun" w:hAnsi="Times New Roman" w:cs="Times New Roman"/>
                <w:b/>
                <w:bCs/>
                <w:color w:val="000000"/>
                <w:sz w:val="24"/>
              </w:rPr>
              <w:t>yr</w:t>
            </w:r>
            <w:proofErr w:type="spellEnd"/>
            <w:r w:rsidRPr="00A21DA6">
              <w:rPr>
                <w:rFonts w:ascii="Times New Roman" w:eastAsia="SimSun" w:hAnsi="Times New Roman" w:cs="Times New Roman"/>
                <w:b/>
                <w:bCs/>
                <w:color w:val="000000"/>
                <w:sz w:val="24"/>
              </w:rPr>
              <w:t>)</w:t>
            </w:r>
          </w:p>
        </w:tc>
        <w:tc>
          <w:tcPr>
            <w:tcW w:w="2100"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5A04FC07"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1.031 (1.014-1.049)</w:t>
            </w:r>
          </w:p>
        </w:tc>
        <w:tc>
          <w:tcPr>
            <w:tcW w:w="1039"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0C458B7D"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0.000</w:t>
            </w:r>
          </w:p>
        </w:tc>
        <w:tc>
          <w:tcPr>
            <w:tcW w:w="2123"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6304DFF3"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1.03</w:t>
            </w:r>
            <w:r w:rsidRPr="00A21DA6">
              <w:rPr>
                <w:rFonts w:ascii="Times New Roman" w:eastAsia="SimSun" w:hAnsi="Times New Roman" w:cs="Times New Roman" w:hint="eastAsia"/>
                <w:b/>
                <w:bCs/>
                <w:color w:val="000000"/>
                <w:sz w:val="24"/>
              </w:rPr>
              <w:t>1</w:t>
            </w:r>
            <w:r w:rsidRPr="00A21DA6">
              <w:rPr>
                <w:rFonts w:ascii="Times New Roman" w:eastAsia="SimSun" w:hAnsi="Times New Roman" w:cs="Times New Roman"/>
                <w:b/>
                <w:bCs/>
                <w:color w:val="000000"/>
                <w:sz w:val="24"/>
              </w:rPr>
              <w:t xml:space="preserve"> (1.0</w:t>
            </w:r>
            <w:r w:rsidRPr="00A21DA6">
              <w:rPr>
                <w:rFonts w:ascii="Times New Roman" w:eastAsia="SimSun" w:hAnsi="Times New Roman" w:cs="Times New Roman" w:hint="eastAsia"/>
                <w:b/>
                <w:bCs/>
                <w:color w:val="000000"/>
                <w:sz w:val="24"/>
              </w:rPr>
              <w:t>05</w:t>
            </w:r>
            <w:r w:rsidRPr="00A21DA6">
              <w:rPr>
                <w:rFonts w:ascii="Times New Roman" w:eastAsia="SimSun" w:hAnsi="Times New Roman" w:cs="Times New Roman"/>
                <w:b/>
                <w:bCs/>
                <w:color w:val="000000"/>
                <w:sz w:val="24"/>
              </w:rPr>
              <w:t xml:space="preserve"> - 1.</w:t>
            </w:r>
            <w:r w:rsidRPr="00A21DA6">
              <w:rPr>
                <w:rFonts w:ascii="Times New Roman" w:eastAsia="SimSun" w:hAnsi="Times New Roman" w:cs="Times New Roman" w:hint="eastAsia"/>
                <w:b/>
                <w:bCs/>
                <w:color w:val="000000"/>
                <w:sz w:val="24"/>
              </w:rPr>
              <w:t>056</w:t>
            </w:r>
            <w:r w:rsidRPr="00A21DA6">
              <w:rPr>
                <w:rFonts w:ascii="Times New Roman" w:eastAsia="SimSun" w:hAnsi="Times New Roman" w:cs="Times New Roman"/>
                <w:b/>
                <w:bCs/>
                <w:color w:val="000000"/>
                <w:sz w:val="24"/>
              </w:rPr>
              <w:t>)</w:t>
            </w:r>
          </w:p>
        </w:tc>
        <w:tc>
          <w:tcPr>
            <w:tcW w:w="968"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4D104731"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0.0</w:t>
            </w:r>
            <w:r w:rsidRPr="00A21DA6">
              <w:rPr>
                <w:rFonts w:ascii="Times New Roman" w:eastAsia="SimSun" w:hAnsi="Times New Roman" w:cs="Times New Roman" w:hint="eastAsia"/>
                <w:b/>
                <w:bCs/>
                <w:color w:val="000000"/>
                <w:sz w:val="24"/>
              </w:rPr>
              <w:t>17</w:t>
            </w:r>
          </w:p>
        </w:tc>
      </w:tr>
      <w:tr w:rsidR="00C2474C" w:rsidRPr="00A21DA6" w14:paraId="5D9441FE" w14:textId="77777777">
        <w:trPr>
          <w:cantSplit/>
          <w:trHeight w:val="304"/>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FC5F351"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Underlying liver disease</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8145F64"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09C47A2"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0.089</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674F68E"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0238439"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w:t>
            </w:r>
          </w:p>
        </w:tc>
      </w:tr>
      <w:tr w:rsidR="00C2474C" w:rsidRPr="00A21DA6" w14:paraId="1EDDE952" w14:textId="77777777">
        <w:trPr>
          <w:cantSplit/>
          <w:trHeight w:val="304"/>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BB48B76"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sz w:val="24"/>
              </w:rPr>
              <w:t>Prior decompensation</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856EDB4"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1.714 (1.006-2.920)</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9EA094D"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0.048</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273B300"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1.448 (0.655-3.200)</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BA6F3A6"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0.360</w:t>
            </w:r>
          </w:p>
        </w:tc>
      </w:tr>
      <w:tr w:rsidR="00C2474C" w:rsidRPr="00A21DA6" w14:paraId="40E4639D" w14:textId="77777777">
        <w:trPr>
          <w:cantSplit/>
          <w:trHeight w:val="304"/>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24CA33D"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Precipitating events</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11F3AB2"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61B88D7"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0.123</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95D9991"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6D91416"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w:t>
            </w:r>
          </w:p>
        </w:tc>
      </w:tr>
      <w:tr w:rsidR="00C2474C" w:rsidRPr="00A21DA6" w14:paraId="680D214D" w14:textId="77777777">
        <w:trPr>
          <w:cantSplit/>
          <w:trHeight w:val="304"/>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4CE4CCA" w14:textId="77777777" w:rsidR="00C2474C" w:rsidRPr="00A21DA6" w:rsidRDefault="00235CBB">
            <w:pPr>
              <w:spacing w:after="160"/>
              <w:ind w:firstLineChars="100" w:firstLine="241"/>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Total bilirubin (</w:t>
            </w:r>
            <w:proofErr w:type="spellStart"/>
            <w:r w:rsidRPr="00A21DA6">
              <w:rPr>
                <w:rFonts w:ascii="Times New Roman" w:eastAsia="SimSun" w:hAnsi="Times New Roman" w:cs="Times New Roman"/>
                <w:b/>
                <w:bCs/>
                <w:color w:val="000000"/>
                <w:sz w:val="24"/>
              </w:rPr>
              <w:t>μmol</w:t>
            </w:r>
            <w:proofErr w:type="spellEnd"/>
            <w:r w:rsidRPr="00A21DA6">
              <w:rPr>
                <w:rFonts w:ascii="Times New Roman" w:eastAsia="SimSun" w:hAnsi="Times New Roman" w:cs="Times New Roman"/>
                <w:b/>
                <w:bCs/>
                <w:color w:val="000000"/>
                <w:sz w:val="24"/>
              </w:rPr>
              <w:t>/L)</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9649130"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1.001 (1.001-1.001)</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222B3EF"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0.000</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85D94F6"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1.00</w:t>
            </w:r>
            <w:r w:rsidRPr="00A21DA6">
              <w:rPr>
                <w:rFonts w:ascii="Times New Roman" w:eastAsia="SimSun" w:hAnsi="Times New Roman" w:cs="Times New Roman" w:hint="eastAsia"/>
                <w:b/>
                <w:bCs/>
                <w:color w:val="000000"/>
                <w:sz w:val="24"/>
              </w:rPr>
              <w:t>1</w:t>
            </w:r>
            <w:r w:rsidRPr="00A21DA6">
              <w:rPr>
                <w:rFonts w:ascii="Times New Roman" w:eastAsia="SimSun" w:hAnsi="Times New Roman" w:cs="Times New Roman"/>
                <w:b/>
                <w:bCs/>
                <w:color w:val="000000"/>
                <w:sz w:val="24"/>
              </w:rPr>
              <w:t xml:space="preserve"> (1.001-1.002)</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928A9F6"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0.000</w:t>
            </w:r>
          </w:p>
        </w:tc>
      </w:tr>
      <w:tr w:rsidR="00C2474C" w:rsidRPr="00A21DA6" w14:paraId="1111E3ED" w14:textId="77777777">
        <w:trPr>
          <w:cantSplit/>
          <w:trHeight w:val="304"/>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AC36621"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Creatinine (</w:t>
            </w:r>
            <w:proofErr w:type="spellStart"/>
            <w:r w:rsidRPr="00A21DA6">
              <w:rPr>
                <w:rFonts w:ascii="Times New Roman" w:eastAsia="SimSun" w:hAnsi="Times New Roman" w:cs="Times New Roman"/>
                <w:color w:val="000000"/>
                <w:sz w:val="24"/>
              </w:rPr>
              <w:t>μmol</w:t>
            </w:r>
            <w:proofErr w:type="spellEnd"/>
            <w:r w:rsidRPr="00A21DA6">
              <w:rPr>
                <w:rFonts w:ascii="Times New Roman" w:eastAsia="SimSun" w:hAnsi="Times New Roman" w:cs="Times New Roman"/>
                <w:color w:val="000000"/>
                <w:sz w:val="24"/>
              </w:rPr>
              <w:t>/L)</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531F40E"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1.004 (1.002-1.006)</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86C7E6D"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0.000</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53ADE0F"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0.99</w:t>
            </w:r>
            <w:r w:rsidRPr="00A21DA6">
              <w:rPr>
                <w:rFonts w:ascii="Times New Roman" w:eastAsia="SimSun" w:hAnsi="Times New Roman" w:cs="Times New Roman" w:hint="eastAsia"/>
                <w:color w:val="000000"/>
                <w:sz w:val="24"/>
              </w:rPr>
              <w:t>7</w:t>
            </w:r>
            <w:r w:rsidRPr="00A21DA6">
              <w:rPr>
                <w:rFonts w:ascii="Times New Roman" w:eastAsia="SimSun" w:hAnsi="Times New Roman" w:cs="Times New Roman"/>
                <w:color w:val="000000"/>
                <w:sz w:val="24"/>
              </w:rPr>
              <w:t xml:space="preserve"> (0.9</w:t>
            </w:r>
            <w:r w:rsidRPr="00A21DA6">
              <w:rPr>
                <w:rFonts w:ascii="Times New Roman" w:eastAsia="SimSun" w:hAnsi="Times New Roman" w:cs="Times New Roman" w:hint="eastAsia"/>
                <w:color w:val="000000"/>
                <w:sz w:val="24"/>
              </w:rPr>
              <w:t>92</w:t>
            </w:r>
            <w:r w:rsidRPr="00A21DA6">
              <w:rPr>
                <w:rFonts w:ascii="Times New Roman" w:eastAsia="SimSun" w:hAnsi="Times New Roman" w:cs="Times New Roman"/>
                <w:color w:val="000000"/>
                <w:sz w:val="24"/>
              </w:rPr>
              <w:t>-1</w:t>
            </w:r>
            <w:r w:rsidRPr="00A21DA6">
              <w:rPr>
                <w:rFonts w:ascii="Times New Roman" w:eastAsia="SimSun" w:hAnsi="Times New Roman" w:cs="Times New Roman" w:hint="eastAsia"/>
                <w:color w:val="000000"/>
                <w:sz w:val="24"/>
              </w:rPr>
              <w:t>.001</w:t>
            </w:r>
            <w:r w:rsidRPr="00A21DA6">
              <w:rPr>
                <w:rFonts w:ascii="Times New Roman" w:eastAsia="SimSun" w:hAnsi="Times New Roman" w:cs="Times New Roman"/>
                <w:color w:val="000000"/>
                <w:sz w:val="24"/>
              </w:rPr>
              <w:t>)</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E65C3B6"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w:t>
            </w:r>
            <w:r w:rsidRPr="00A21DA6">
              <w:rPr>
                <w:rFonts w:ascii="Times New Roman" w:eastAsia="SimSun" w:hAnsi="Times New Roman" w:cs="Times New Roman" w:hint="eastAsia"/>
                <w:color w:val="000000"/>
                <w:sz w:val="24"/>
              </w:rPr>
              <w:t>153</w:t>
            </w:r>
          </w:p>
        </w:tc>
      </w:tr>
      <w:tr w:rsidR="00C2474C" w:rsidRPr="00A21DA6" w14:paraId="5D3F9EE2" w14:textId="77777777">
        <w:trPr>
          <w:cantSplit/>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661C786"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Sodium (mmol/L)</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0304403"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0.932 (0.890 - 0.976)</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6ADE2F4"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0.003</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7E8AFDE"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0.997 (0.937-1.060)</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4AF89A1"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0.912</w:t>
            </w:r>
          </w:p>
        </w:tc>
      </w:tr>
      <w:tr w:rsidR="00C2474C" w:rsidRPr="00A21DA6" w14:paraId="29525E76" w14:textId="77777777">
        <w:trPr>
          <w:cantSplit/>
          <w:trHeight w:val="475"/>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CBF232F"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AFP (ng/ml)</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BB5AF2B"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0.996 (0.993-0.999)</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40DF072"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0.002</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5CE0794"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0.999 (0.997-1.001)</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C057B26"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0.293</w:t>
            </w:r>
          </w:p>
        </w:tc>
      </w:tr>
      <w:tr w:rsidR="00C2474C" w:rsidRPr="00A21DA6" w14:paraId="115EDF2D" w14:textId="77777777">
        <w:trPr>
          <w:cantSplit/>
          <w:trHeight w:val="90"/>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7FE9FDF"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White blood cell count (10</w:t>
            </w:r>
            <w:r w:rsidRPr="00A21DA6">
              <w:rPr>
                <w:rFonts w:ascii="Times New Roman" w:eastAsia="SimSun" w:hAnsi="Times New Roman" w:cs="Times New Roman"/>
                <w:color w:val="000000"/>
                <w:sz w:val="24"/>
                <w:vertAlign w:val="superscript"/>
              </w:rPr>
              <w:t>9</w:t>
            </w:r>
            <w:r w:rsidRPr="00A21DA6">
              <w:rPr>
                <w:rFonts w:ascii="Times New Roman" w:eastAsia="SimSun" w:hAnsi="Times New Roman" w:cs="Times New Roman"/>
                <w:color w:val="000000"/>
                <w:sz w:val="24"/>
              </w:rPr>
              <w:t>/L)</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E480108"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1.088 (1.033-1.146)</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B5C73A4"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0.001</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4CD04FC"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1.0</w:t>
            </w:r>
            <w:r w:rsidRPr="00A21DA6">
              <w:rPr>
                <w:rFonts w:ascii="Times New Roman" w:eastAsia="SimSun" w:hAnsi="Times New Roman" w:cs="Times New Roman" w:hint="eastAsia"/>
                <w:color w:val="000000"/>
                <w:sz w:val="24"/>
              </w:rPr>
              <w:t>39</w:t>
            </w:r>
            <w:r w:rsidRPr="00A21DA6">
              <w:rPr>
                <w:rFonts w:ascii="Times New Roman" w:eastAsia="SimSun" w:hAnsi="Times New Roman" w:cs="Times New Roman"/>
                <w:color w:val="000000"/>
                <w:sz w:val="24"/>
              </w:rPr>
              <w:t xml:space="preserve"> (</w:t>
            </w:r>
            <w:r w:rsidRPr="00A21DA6">
              <w:rPr>
                <w:rFonts w:ascii="Times New Roman" w:eastAsia="SimSun" w:hAnsi="Times New Roman" w:cs="Times New Roman" w:hint="eastAsia"/>
                <w:color w:val="000000"/>
                <w:sz w:val="24"/>
              </w:rPr>
              <w:t>0.966</w:t>
            </w:r>
            <w:r w:rsidRPr="00A21DA6">
              <w:rPr>
                <w:rFonts w:ascii="Times New Roman" w:eastAsia="SimSun" w:hAnsi="Times New Roman" w:cs="Times New Roman"/>
                <w:color w:val="000000"/>
                <w:sz w:val="24"/>
              </w:rPr>
              <w:t>-1.1</w:t>
            </w:r>
            <w:r w:rsidRPr="00A21DA6">
              <w:rPr>
                <w:rFonts w:ascii="Times New Roman" w:eastAsia="SimSun" w:hAnsi="Times New Roman" w:cs="Times New Roman" w:hint="eastAsia"/>
                <w:color w:val="000000"/>
                <w:sz w:val="24"/>
              </w:rPr>
              <w:t>1</w:t>
            </w:r>
            <w:r w:rsidRPr="00A21DA6">
              <w:rPr>
                <w:rFonts w:ascii="Times New Roman" w:eastAsia="SimSun" w:hAnsi="Times New Roman" w:cs="Times New Roman"/>
                <w:color w:val="000000"/>
                <w:sz w:val="24"/>
              </w:rPr>
              <w:t>7)</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8453067"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w:t>
            </w:r>
            <w:r w:rsidRPr="00A21DA6">
              <w:rPr>
                <w:rFonts w:ascii="Times New Roman" w:eastAsia="SimSun" w:hAnsi="Times New Roman" w:cs="Times New Roman" w:hint="eastAsia"/>
                <w:color w:val="000000"/>
                <w:sz w:val="24"/>
              </w:rPr>
              <w:t>303</w:t>
            </w:r>
          </w:p>
        </w:tc>
      </w:tr>
      <w:tr w:rsidR="00C2474C" w:rsidRPr="00A21DA6" w14:paraId="3B4CD0C1" w14:textId="77777777">
        <w:trPr>
          <w:cantSplit/>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FA46948"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Hemoglobin (g/L)</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167E83D"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0.988 (0.979-0.998)</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A455A61"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0.018</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1A91C80"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1.013 (0.998-1.029)</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FB70522"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0.098</w:t>
            </w:r>
          </w:p>
        </w:tc>
      </w:tr>
      <w:tr w:rsidR="00C2474C" w:rsidRPr="00A21DA6" w14:paraId="1428C0AD" w14:textId="77777777">
        <w:trPr>
          <w:cantSplit/>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CF15488"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Platelet count (10</w:t>
            </w:r>
            <w:r w:rsidRPr="00A21DA6">
              <w:rPr>
                <w:rFonts w:ascii="Times New Roman" w:eastAsia="SimSun" w:hAnsi="Times New Roman" w:cs="Times New Roman"/>
                <w:color w:val="000000"/>
                <w:sz w:val="24"/>
                <w:vertAlign w:val="superscript"/>
              </w:rPr>
              <w:t>9</w:t>
            </w:r>
            <w:r w:rsidRPr="00A21DA6">
              <w:rPr>
                <w:rFonts w:ascii="Times New Roman" w:eastAsia="SimSun" w:hAnsi="Times New Roman" w:cs="Times New Roman"/>
                <w:color w:val="000000"/>
                <w:sz w:val="24"/>
              </w:rPr>
              <w:t>/L)</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144A5C6"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0.988 (0.982-0.994)</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1985187"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0.000</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B7C9584"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580AAE3"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w:t>
            </w:r>
          </w:p>
        </w:tc>
      </w:tr>
      <w:tr w:rsidR="00C2474C" w:rsidRPr="00A21DA6" w14:paraId="4CE0A2CA" w14:textId="77777777">
        <w:trPr>
          <w:cantSplit/>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A746A23" w14:textId="77777777" w:rsidR="00C2474C" w:rsidRPr="00A21DA6" w:rsidRDefault="00235CBB">
            <w:pPr>
              <w:spacing w:after="160"/>
              <w:ind w:firstLineChars="100" w:firstLine="241"/>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INR</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F18B0E2"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3.262 (2.532-4.202)</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146A4CB"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0.000</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E2CDFA8"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2.</w:t>
            </w:r>
            <w:r w:rsidRPr="00A21DA6">
              <w:rPr>
                <w:rFonts w:ascii="Times New Roman" w:eastAsia="SimSun" w:hAnsi="Times New Roman" w:cs="Times New Roman" w:hint="eastAsia"/>
                <w:b/>
                <w:bCs/>
                <w:color w:val="000000"/>
                <w:sz w:val="24"/>
              </w:rPr>
              <w:t>524</w:t>
            </w:r>
            <w:r w:rsidRPr="00A21DA6">
              <w:rPr>
                <w:rFonts w:ascii="Times New Roman" w:eastAsia="SimSun" w:hAnsi="Times New Roman" w:cs="Times New Roman"/>
                <w:b/>
                <w:bCs/>
                <w:color w:val="000000"/>
                <w:sz w:val="24"/>
              </w:rPr>
              <w:t xml:space="preserve"> (1.6</w:t>
            </w:r>
            <w:r w:rsidRPr="00A21DA6">
              <w:rPr>
                <w:rFonts w:ascii="Times New Roman" w:eastAsia="SimSun" w:hAnsi="Times New Roman" w:cs="Times New Roman" w:hint="eastAsia"/>
                <w:b/>
                <w:bCs/>
                <w:color w:val="000000"/>
                <w:sz w:val="24"/>
              </w:rPr>
              <w:t>28</w:t>
            </w:r>
            <w:r w:rsidRPr="00A21DA6">
              <w:rPr>
                <w:rFonts w:ascii="Times New Roman" w:eastAsia="SimSun" w:hAnsi="Times New Roman" w:cs="Times New Roman"/>
                <w:b/>
                <w:bCs/>
                <w:color w:val="000000"/>
                <w:sz w:val="24"/>
              </w:rPr>
              <w:t>-</w:t>
            </w:r>
            <w:r w:rsidRPr="00A21DA6">
              <w:rPr>
                <w:rFonts w:ascii="Times New Roman" w:eastAsia="SimSun" w:hAnsi="Times New Roman" w:cs="Times New Roman" w:hint="eastAsia"/>
                <w:b/>
                <w:bCs/>
                <w:color w:val="000000"/>
                <w:sz w:val="24"/>
              </w:rPr>
              <w:t>3.914</w:t>
            </w:r>
            <w:r w:rsidRPr="00A21DA6">
              <w:rPr>
                <w:rFonts w:ascii="Times New Roman" w:eastAsia="SimSun" w:hAnsi="Times New Roman" w:cs="Times New Roman"/>
                <w:b/>
                <w:bCs/>
                <w:color w:val="000000"/>
                <w:sz w:val="24"/>
              </w:rPr>
              <w:t>)</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A8CF6B0"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0.000</w:t>
            </w:r>
          </w:p>
        </w:tc>
      </w:tr>
      <w:tr w:rsidR="00C2474C" w:rsidRPr="00A21DA6" w14:paraId="32A74B47" w14:textId="77777777">
        <w:trPr>
          <w:cantSplit/>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0D20BF4"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 xml:space="preserve">Ascites grade </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521710B"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sz w:val="24"/>
              </w:rPr>
              <w:t>1.617 (1.307-2.000)</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EFAB84C"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0.000</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37CF47C"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1.326 (0.965-1.822)</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BBBE75A"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0.082</w:t>
            </w:r>
          </w:p>
        </w:tc>
      </w:tr>
      <w:tr w:rsidR="00C2474C" w:rsidRPr="00A21DA6" w14:paraId="3C1E52B4" w14:textId="77777777">
        <w:trPr>
          <w:cantSplit/>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6FFA5A1"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Bacterial infection</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881EC3A" w14:textId="77777777" w:rsidR="00C2474C" w:rsidRPr="00A21DA6" w:rsidRDefault="00235CBB">
            <w:pPr>
              <w:spacing w:after="160"/>
              <w:jc w:val="center"/>
              <w:rPr>
                <w:rFonts w:ascii="Times New Roman" w:eastAsia="SimSun" w:hAnsi="Times New Roman" w:cs="Times New Roman"/>
                <w:sz w:val="24"/>
              </w:rPr>
            </w:pPr>
            <w:r w:rsidRPr="00A21DA6">
              <w:rPr>
                <w:rFonts w:ascii="Times New Roman" w:eastAsia="SimSun" w:hAnsi="Times New Roman" w:cs="Times New Roman"/>
                <w:sz w:val="24"/>
              </w:rPr>
              <w:t>3.379 (1.817-6.282)</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B5045A3"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0.000</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18C4C83"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1.331 (0.611-2.899)</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E6036AD"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0.471</w:t>
            </w:r>
          </w:p>
        </w:tc>
      </w:tr>
      <w:tr w:rsidR="00C2474C" w:rsidRPr="00A21DA6" w14:paraId="6BE20890" w14:textId="77777777">
        <w:trPr>
          <w:cantSplit/>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257A4A5" w14:textId="77777777" w:rsidR="00C2474C" w:rsidRPr="00A21DA6" w:rsidRDefault="00235CBB">
            <w:pPr>
              <w:spacing w:after="160"/>
              <w:ind w:firstLineChars="100" w:firstLine="241"/>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Hepatic encephalopathy grade</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754454E"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sz w:val="24"/>
              </w:rPr>
              <w:t>2.170 (1.823-2.584)</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6F38272"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0.000</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6E049B3"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1.</w:t>
            </w:r>
            <w:r w:rsidRPr="00A21DA6">
              <w:rPr>
                <w:rFonts w:ascii="Times New Roman" w:eastAsia="SimSun" w:hAnsi="Times New Roman" w:cs="Times New Roman" w:hint="eastAsia"/>
                <w:b/>
                <w:bCs/>
                <w:color w:val="000000"/>
                <w:sz w:val="24"/>
              </w:rPr>
              <w:t>494</w:t>
            </w:r>
            <w:r w:rsidRPr="00A21DA6">
              <w:rPr>
                <w:rFonts w:ascii="Times New Roman" w:eastAsia="SimSun" w:hAnsi="Times New Roman" w:cs="Times New Roman"/>
                <w:b/>
                <w:bCs/>
                <w:color w:val="000000"/>
                <w:sz w:val="24"/>
              </w:rPr>
              <w:t xml:space="preserve"> (1.1</w:t>
            </w:r>
            <w:r w:rsidRPr="00A21DA6">
              <w:rPr>
                <w:rFonts w:ascii="Times New Roman" w:eastAsia="SimSun" w:hAnsi="Times New Roman" w:cs="Times New Roman" w:hint="eastAsia"/>
                <w:b/>
                <w:bCs/>
                <w:color w:val="000000"/>
                <w:sz w:val="24"/>
              </w:rPr>
              <w:t>17</w:t>
            </w:r>
            <w:r w:rsidRPr="00A21DA6">
              <w:rPr>
                <w:rFonts w:ascii="Times New Roman" w:eastAsia="SimSun" w:hAnsi="Times New Roman" w:cs="Times New Roman"/>
                <w:b/>
                <w:bCs/>
                <w:color w:val="000000"/>
                <w:sz w:val="24"/>
              </w:rPr>
              <w:t>-</w:t>
            </w:r>
            <w:r w:rsidRPr="00A21DA6">
              <w:rPr>
                <w:rFonts w:ascii="Times New Roman" w:eastAsia="SimSun" w:hAnsi="Times New Roman" w:cs="Times New Roman" w:hint="eastAsia"/>
                <w:b/>
                <w:bCs/>
                <w:color w:val="000000"/>
                <w:sz w:val="24"/>
              </w:rPr>
              <w:t>1.999</w:t>
            </w:r>
            <w:r w:rsidRPr="00A21DA6">
              <w:rPr>
                <w:rFonts w:ascii="Times New Roman" w:eastAsia="SimSun" w:hAnsi="Times New Roman" w:cs="Times New Roman"/>
                <w:b/>
                <w:bCs/>
                <w:color w:val="000000"/>
                <w:sz w:val="24"/>
              </w:rPr>
              <w:t>)</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5781C4A" w14:textId="77777777" w:rsidR="00C2474C" w:rsidRPr="00A21DA6" w:rsidRDefault="00235CBB">
            <w:pPr>
              <w:spacing w:after="160"/>
              <w:jc w:val="center"/>
              <w:rPr>
                <w:rFonts w:ascii="Times New Roman" w:eastAsia="SimSun" w:hAnsi="Times New Roman" w:cs="Times New Roman"/>
                <w:b/>
                <w:bCs/>
                <w:color w:val="000000"/>
                <w:sz w:val="24"/>
              </w:rPr>
            </w:pPr>
            <w:r w:rsidRPr="00A21DA6">
              <w:rPr>
                <w:rFonts w:ascii="Times New Roman" w:eastAsia="SimSun" w:hAnsi="Times New Roman" w:cs="Times New Roman"/>
                <w:b/>
                <w:bCs/>
                <w:color w:val="000000"/>
                <w:sz w:val="24"/>
              </w:rPr>
              <w:t>0.00</w:t>
            </w:r>
            <w:r w:rsidRPr="00A21DA6">
              <w:rPr>
                <w:rFonts w:ascii="Times New Roman" w:eastAsia="SimSun" w:hAnsi="Times New Roman" w:cs="Times New Roman" w:hint="eastAsia"/>
                <w:b/>
                <w:bCs/>
                <w:color w:val="000000"/>
                <w:sz w:val="24"/>
              </w:rPr>
              <w:t>7</w:t>
            </w:r>
          </w:p>
        </w:tc>
      </w:tr>
      <w:tr w:rsidR="00C2474C" w:rsidRPr="00A21DA6" w14:paraId="7630F413" w14:textId="77777777">
        <w:trPr>
          <w:cantSplit/>
        </w:trPr>
        <w:tc>
          <w:tcPr>
            <w:tcW w:w="343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96F79AB" w14:textId="77777777" w:rsidR="00C2474C" w:rsidRPr="00A21DA6" w:rsidRDefault="00235CBB">
            <w:pPr>
              <w:spacing w:after="160"/>
              <w:ind w:firstLineChars="100" w:firstLine="241"/>
              <w:rPr>
                <w:rFonts w:ascii="Times New Roman" w:eastAsia="SimSun" w:hAnsi="Times New Roman" w:cs="Times New Roman"/>
                <w:b/>
                <w:bCs/>
                <w:sz w:val="24"/>
              </w:rPr>
            </w:pPr>
            <w:r w:rsidRPr="00A21DA6">
              <w:rPr>
                <w:rFonts w:ascii="Times New Roman" w:eastAsia="SimSun" w:hAnsi="Times New Roman" w:cs="Times New Roman"/>
                <w:b/>
                <w:bCs/>
                <w:sz w:val="24"/>
              </w:rPr>
              <w:t>DIC score</w:t>
            </w:r>
          </w:p>
        </w:tc>
        <w:tc>
          <w:tcPr>
            <w:tcW w:w="210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49B6A9E" w14:textId="77777777" w:rsidR="00C2474C" w:rsidRPr="00A21DA6" w:rsidRDefault="00235CBB">
            <w:pPr>
              <w:spacing w:after="160"/>
              <w:jc w:val="center"/>
              <w:rPr>
                <w:rFonts w:ascii="Times New Roman" w:eastAsia="SimSun" w:hAnsi="Times New Roman" w:cs="Times New Roman"/>
                <w:b/>
                <w:bCs/>
                <w:sz w:val="24"/>
              </w:rPr>
            </w:pPr>
            <w:r w:rsidRPr="00A21DA6">
              <w:rPr>
                <w:rFonts w:ascii="Times New Roman" w:eastAsia="SimSun" w:hAnsi="Times New Roman" w:cs="Times New Roman"/>
                <w:b/>
                <w:bCs/>
                <w:sz w:val="24"/>
              </w:rPr>
              <w:t>1.876 (1.570- 2.241)</w:t>
            </w:r>
          </w:p>
        </w:tc>
        <w:tc>
          <w:tcPr>
            <w:tcW w:w="1039"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955EC89" w14:textId="77777777" w:rsidR="00C2474C" w:rsidRPr="00A21DA6" w:rsidRDefault="00235CBB">
            <w:pPr>
              <w:spacing w:after="160"/>
              <w:jc w:val="center"/>
              <w:rPr>
                <w:rFonts w:ascii="Times New Roman" w:eastAsia="SimSun" w:hAnsi="Times New Roman" w:cs="Times New Roman"/>
                <w:b/>
                <w:bCs/>
                <w:sz w:val="24"/>
              </w:rPr>
            </w:pPr>
            <w:r w:rsidRPr="00A21DA6">
              <w:rPr>
                <w:rFonts w:ascii="Times New Roman" w:eastAsia="SimSun" w:hAnsi="Times New Roman" w:cs="Times New Roman"/>
                <w:b/>
                <w:bCs/>
                <w:sz w:val="24"/>
              </w:rPr>
              <w:t>0.000</w:t>
            </w:r>
          </w:p>
        </w:tc>
        <w:tc>
          <w:tcPr>
            <w:tcW w:w="2123"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0604C5C" w14:textId="77777777" w:rsidR="00C2474C" w:rsidRPr="00A21DA6" w:rsidRDefault="00235CBB">
            <w:pPr>
              <w:spacing w:after="160"/>
              <w:jc w:val="center"/>
              <w:rPr>
                <w:rFonts w:ascii="Times New Roman" w:eastAsia="SimSun" w:hAnsi="Times New Roman" w:cs="Times New Roman"/>
                <w:b/>
                <w:bCs/>
                <w:sz w:val="24"/>
              </w:rPr>
            </w:pPr>
            <w:r w:rsidRPr="00A21DA6">
              <w:rPr>
                <w:rFonts w:ascii="Times New Roman" w:eastAsia="SimSun" w:hAnsi="Times New Roman" w:cs="Times New Roman"/>
                <w:b/>
                <w:bCs/>
                <w:sz w:val="24"/>
              </w:rPr>
              <w:t>1.3</w:t>
            </w:r>
            <w:r w:rsidRPr="00A21DA6">
              <w:rPr>
                <w:rFonts w:ascii="Times New Roman" w:eastAsia="SimSun" w:hAnsi="Times New Roman" w:cs="Times New Roman" w:hint="eastAsia"/>
                <w:b/>
                <w:bCs/>
                <w:sz w:val="24"/>
              </w:rPr>
              <w:t>97</w:t>
            </w:r>
            <w:r w:rsidRPr="00A21DA6">
              <w:rPr>
                <w:rFonts w:ascii="Times New Roman" w:eastAsia="SimSun" w:hAnsi="Times New Roman" w:cs="Times New Roman"/>
                <w:b/>
                <w:bCs/>
                <w:sz w:val="24"/>
              </w:rPr>
              <w:t xml:space="preserve"> (1.0</w:t>
            </w:r>
            <w:r w:rsidRPr="00A21DA6">
              <w:rPr>
                <w:rFonts w:ascii="Times New Roman" w:eastAsia="SimSun" w:hAnsi="Times New Roman" w:cs="Times New Roman" w:hint="eastAsia"/>
                <w:b/>
                <w:bCs/>
                <w:sz w:val="24"/>
              </w:rPr>
              <w:t>40</w:t>
            </w:r>
            <w:r w:rsidRPr="00A21DA6">
              <w:rPr>
                <w:rFonts w:ascii="Times New Roman" w:eastAsia="SimSun" w:hAnsi="Times New Roman" w:cs="Times New Roman"/>
                <w:b/>
                <w:bCs/>
                <w:sz w:val="24"/>
              </w:rPr>
              <w:t>-1.8</w:t>
            </w:r>
            <w:r w:rsidRPr="00A21DA6">
              <w:rPr>
                <w:rFonts w:ascii="Times New Roman" w:eastAsia="SimSun" w:hAnsi="Times New Roman" w:cs="Times New Roman" w:hint="eastAsia"/>
                <w:b/>
                <w:bCs/>
                <w:sz w:val="24"/>
              </w:rPr>
              <w:t>75</w:t>
            </w:r>
            <w:r w:rsidRPr="00A21DA6">
              <w:rPr>
                <w:rFonts w:ascii="Times New Roman" w:eastAsia="SimSun" w:hAnsi="Times New Roman" w:cs="Times New Roman"/>
                <w:b/>
                <w:bCs/>
                <w:sz w:val="24"/>
              </w:rPr>
              <w:t>)</w:t>
            </w:r>
          </w:p>
        </w:tc>
        <w:tc>
          <w:tcPr>
            <w:tcW w:w="968"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95E6AB8" w14:textId="77777777" w:rsidR="00C2474C" w:rsidRPr="00A21DA6" w:rsidRDefault="00235CBB">
            <w:pPr>
              <w:spacing w:after="160"/>
              <w:jc w:val="center"/>
              <w:rPr>
                <w:rFonts w:ascii="Times New Roman" w:eastAsia="SimSun" w:hAnsi="Times New Roman" w:cs="Times New Roman"/>
                <w:b/>
                <w:bCs/>
                <w:sz w:val="24"/>
              </w:rPr>
            </w:pPr>
            <w:r w:rsidRPr="00A21DA6">
              <w:rPr>
                <w:rFonts w:ascii="Times New Roman" w:eastAsia="SimSun" w:hAnsi="Times New Roman" w:cs="Times New Roman"/>
                <w:b/>
                <w:bCs/>
                <w:sz w:val="24"/>
              </w:rPr>
              <w:t>0.0</w:t>
            </w:r>
            <w:r w:rsidRPr="00A21DA6">
              <w:rPr>
                <w:rFonts w:ascii="Times New Roman" w:eastAsia="SimSun" w:hAnsi="Times New Roman" w:cs="Times New Roman" w:hint="eastAsia"/>
                <w:b/>
                <w:bCs/>
                <w:sz w:val="24"/>
              </w:rPr>
              <w:t>26</w:t>
            </w:r>
          </w:p>
        </w:tc>
      </w:tr>
      <w:tr w:rsidR="00C2474C" w:rsidRPr="00A21DA6" w14:paraId="188B4132" w14:textId="77777777">
        <w:trPr>
          <w:cantSplit/>
        </w:trPr>
        <w:tc>
          <w:tcPr>
            <w:tcW w:w="3430"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4F1077EF" w14:textId="77777777" w:rsidR="00C2474C" w:rsidRPr="00A21DA6" w:rsidRDefault="00235CBB">
            <w:pPr>
              <w:spacing w:after="160"/>
              <w:ind w:firstLineChars="100" w:firstLine="240"/>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Artificial liver</w:t>
            </w:r>
          </w:p>
        </w:tc>
        <w:tc>
          <w:tcPr>
            <w:tcW w:w="2100"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45D5EF8E"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1.895 (1.181-3.042)</w:t>
            </w:r>
          </w:p>
        </w:tc>
        <w:tc>
          <w:tcPr>
            <w:tcW w:w="1039"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3B53EB5C"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color w:val="000000"/>
                <w:sz w:val="24"/>
              </w:rPr>
              <w:t>0.008</w:t>
            </w:r>
          </w:p>
        </w:tc>
        <w:tc>
          <w:tcPr>
            <w:tcW w:w="2123"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1D78FAEC"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1.504 (0.806-2.809</w:t>
            </w:r>
            <w:r w:rsidRPr="00A21DA6">
              <w:rPr>
                <w:rFonts w:ascii="Times New Roman" w:eastAsia="SimSun" w:hAnsi="Times New Roman" w:cs="Times New Roman" w:hint="eastAsia"/>
                <w:color w:val="000000"/>
                <w:sz w:val="24"/>
              </w:rPr>
              <w:t>）</w:t>
            </w:r>
          </w:p>
        </w:tc>
        <w:tc>
          <w:tcPr>
            <w:tcW w:w="968"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453EE2B0" w14:textId="77777777" w:rsidR="00C2474C" w:rsidRPr="00A21DA6" w:rsidRDefault="00235CBB">
            <w:pPr>
              <w:spacing w:after="160"/>
              <w:jc w:val="center"/>
              <w:rPr>
                <w:rFonts w:ascii="Times New Roman" w:eastAsia="SimSun" w:hAnsi="Times New Roman" w:cs="Times New Roman"/>
                <w:color w:val="000000"/>
                <w:sz w:val="24"/>
              </w:rPr>
            </w:pPr>
            <w:r w:rsidRPr="00A21DA6">
              <w:rPr>
                <w:rFonts w:ascii="Times New Roman" w:eastAsia="SimSun" w:hAnsi="Times New Roman" w:cs="Times New Roman" w:hint="eastAsia"/>
                <w:color w:val="000000"/>
                <w:sz w:val="24"/>
              </w:rPr>
              <w:t>0.200</w:t>
            </w:r>
          </w:p>
        </w:tc>
      </w:tr>
    </w:tbl>
    <w:p w14:paraId="3150EB0A" w14:textId="77777777" w:rsidR="00C2474C" w:rsidRPr="00A21DA6" w:rsidRDefault="00235CBB">
      <w:pPr>
        <w:spacing w:after="160"/>
        <w:rPr>
          <w:rFonts w:ascii="Times New Roman" w:eastAsia="SimSun" w:hAnsi="Times New Roman" w:cs="Times New Roman"/>
          <w:sz w:val="24"/>
        </w:rPr>
      </w:pPr>
      <w:r w:rsidRPr="00A21DA6">
        <w:rPr>
          <w:rFonts w:ascii="Times New Roman" w:eastAsia="SimSun" w:hAnsi="Times New Roman" w:cs="Times New Roman"/>
          <w:sz w:val="24"/>
        </w:rPr>
        <w:lastRenderedPageBreak/>
        <w:t>Abbreviations: HBV-ACLF, hepatitis B virus-related acute-on-chronic liver failure; INR, international normalized ratio; OR, odds ratio; CI, confidence interval; DIC, disseminated intravascular coagulation;</w:t>
      </w:r>
      <w:r w:rsidRPr="00A21DA6">
        <w:rPr>
          <w:rFonts w:ascii="Times New Roman" w:eastAsia="SimSun" w:hAnsi="Times New Roman" w:cs="Times New Roman"/>
          <w:color w:val="0000FF"/>
          <w:sz w:val="24"/>
        </w:rPr>
        <w:t xml:space="preserve"> </w:t>
      </w:r>
      <w:r w:rsidRPr="00A21DA6">
        <w:rPr>
          <w:rFonts w:ascii="Times New Roman" w:eastAsia="SimSun" w:hAnsi="Times New Roman" w:cs="Times New Roman"/>
          <w:sz w:val="24"/>
        </w:rPr>
        <w:t>Alpha fetoprotein, AFP.</w:t>
      </w:r>
    </w:p>
    <w:p w14:paraId="0855AA3D" w14:textId="77777777" w:rsidR="00C2474C" w:rsidRPr="00A21DA6" w:rsidRDefault="00235CBB">
      <w:pPr>
        <w:spacing w:after="160"/>
        <w:rPr>
          <w:rFonts w:ascii="Times New Roman" w:eastAsia="SimSun" w:hAnsi="Times New Roman" w:cs="Times New Roman"/>
          <w:sz w:val="24"/>
        </w:rPr>
      </w:pPr>
      <w:r w:rsidRPr="00A21DA6">
        <w:rPr>
          <w:rFonts w:ascii="Times New Roman" w:eastAsia="SimSun" w:hAnsi="Times New Roman" w:cs="Times New Roman"/>
          <w:sz w:val="24"/>
        </w:rPr>
        <w:t>Bold-face font represents factors that are significant predictors of prognosis in multivariate analyses.</w:t>
      </w:r>
    </w:p>
    <w:p w14:paraId="5970A433" w14:textId="77777777" w:rsidR="00C2474C" w:rsidRPr="00A21DA6" w:rsidRDefault="00235CBB">
      <w:pPr>
        <w:spacing w:after="160"/>
        <w:rPr>
          <w:rFonts w:ascii="Times New Roman" w:eastAsia="SimSun" w:hAnsi="Times New Roman" w:cs="Times New Roman"/>
          <w:sz w:val="24"/>
        </w:rPr>
      </w:pPr>
      <w:r w:rsidRPr="00A21DA6">
        <w:rPr>
          <w:rFonts w:ascii="Times New Roman" w:eastAsia="SimSun" w:hAnsi="Times New Roman" w:cs="Times New Roman"/>
          <w:sz w:val="24"/>
        </w:rPr>
        <w:t xml:space="preserve">The multivariate Cox regression model was fitted with </w:t>
      </w:r>
      <w:r w:rsidRPr="00A21DA6">
        <w:rPr>
          <w:rFonts w:ascii="Times New Roman" w:eastAsia="SimSun" w:hAnsi="Times New Roman" w:cs="Times New Roman" w:hint="eastAsia"/>
          <w:sz w:val="24"/>
        </w:rPr>
        <w:t>enter</w:t>
      </w:r>
      <w:r w:rsidRPr="00A21DA6">
        <w:rPr>
          <w:rFonts w:ascii="Times New Roman" w:eastAsia="SimSun" w:hAnsi="Times New Roman" w:cs="Times New Roman"/>
          <w:sz w:val="24"/>
        </w:rPr>
        <w:t xml:space="preserve"> method</w:t>
      </w:r>
      <w:r w:rsidRPr="00A21DA6">
        <w:rPr>
          <w:rFonts w:ascii="Times New Roman" w:eastAsia="SimSun" w:hAnsi="Times New Roman" w:cs="Times New Roman"/>
          <w:color w:val="FF0000"/>
          <w:sz w:val="24"/>
        </w:rPr>
        <w:t xml:space="preserve"> </w:t>
      </w:r>
      <w:r w:rsidRPr="00A21DA6">
        <w:rPr>
          <w:rFonts w:ascii="Times New Roman" w:eastAsia="SimSun" w:hAnsi="Times New Roman" w:cs="Times New Roman"/>
          <w:sz w:val="24"/>
        </w:rPr>
        <w:t xml:space="preserve">using clinically and statistically baseline factors that had been screened in univariate analysis. </w:t>
      </w:r>
    </w:p>
    <w:p w14:paraId="515821A7" w14:textId="77777777" w:rsidR="00C2474C" w:rsidRPr="00A21DA6" w:rsidRDefault="00C2474C">
      <w:pPr>
        <w:widowControl/>
        <w:jc w:val="left"/>
        <w:rPr>
          <w:rFonts w:ascii="Times New Roman" w:eastAsia="SimSun" w:hAnsi="Times New Roman" w:cs="Times New Roman"/>
          <w:b/>
          <w:bCs/>
          <w:sz w:val="24"/>
        </w:rPr>
      </w:pPr>
    </w:p>
    <w:p w14:paraId="3C6F033B" w14:textId="5B8F5D43" w:rsidR="00487D65" w:rsidRPr="00A21DA6" w:rsidRDefault="00235CBB">
      <w:pPr>
        <w:widowControl/>
        <w:jc w:val="left"/>
        <w:rPr>
          <w:rFonts w:ascii="Times New Roman" w:eastAsiaTheme="majorEastAsia" w:hAnsi="Times New Roman" w:cs="Times New Roman"/>
          <w:sz w:val="24"/>
        </w:rPr>
      </w:pPr>
      <w:r w:rsidRPr="00A21DA6">
        <w:rPr>
          <w:rFonts w:ascii="Times New Roman" w:eastAsia="SimSun" w:hAnsi="Times New Roman" w:cs="Times New Roman"/>
          <w:b/>
          <w:bCs/>
          <w:sz w:val="24"/>
        </w:rPr>
        <w:t>Table S</w:t>
      </w:r>
      <w:r w:rsidRPr="00A21DA6">
        <w:rPr>
          <w:rFonts w:ascii="Times New Roman" w:eastAsia="SimSun" w:hAnsi="Times New Roman" w:cs="Times New Roman" w:hint="eastAsia"/>
          <w:b/>
          <w:bCs/>
          <w:sz w:val="24"/>
        </w:rPr>
        <w:t>3</w:t>
      </w:r>
      <w:r w:rsidRPr="00A21DA6">
        <w:rPr>
          <w:rFonts w:ascii="Times New Roman" w:eastAsia="SimSun" w:hAnsi="Times New Roman" w:cs="Times New Roman"/>
          <w:b/>
          <w:bCs/>
          <w:sz w:val="24"/>
        </w:rPr>
        <w:t xml:space="preserve">. </w:t>
      </w:r>
      <w:r w:rsidRPr="00A21DA6">
        <w:rPr>
          <w:rFonts w:ascii="Times New Roman" w:eastAsiaTheme="majorEastAsia" w:hAnsi="Times New Roman" w:cs="Times New Roman"/>
          <w:sz w:val="24"/>
        </w:rPr>
        <w:t xml:space="preserve">Comparison of the predictive value of prognostic scoring systems for patients with HBV-ACLF in derivation cohort </w:t>
      </w:r>
    </w:p>
    <w:tbl>
      <w:tblPr>
        <w:tblStyle w:val="TableGrid"/>
        <w:tblW w:w="10075" w:type="dxa"/>
        <w:tblInd w:w="-90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0"/>
        <w:gridCol w:w="1970"/>
        <w:gridCol w:w="1725"/>
        <w:gridCol w:w="2400"/>
        <w:gridCol w:w="1850"/>
      </w:tblGrid>
      <w:tr w:rsidR="00C2474C" w:rsidRPr="00A21DA6" w14:paraId="64C34EF1" w14:textId="77777777">
        <w:trPr>
          <w:trHeight w:val="381"/>
        </w:trPr>
        <w:tc>
          <w:tcPr>
            <w:tcW w:w="2130" w:type="dxa"/>
            <w:tcBorders>
              <w:bottom w:val="nil"/>
            </w:tcBorders>
            <w:shd w:val="clear" w:color="auto" w:fill="FFFFFF"/>
          </w:tcPr>
          <w:p w14:paraId="23C8C060" w14:textId="77777777" w:rsidR="00C2474C" w:rsidRPr="00A21DA6" w:rsidRDefault="00235CBB">
            <w:pPr>
              <w:rPr>
                <w:rFonts w:ascii="Times New Roman" w:eastAsia="SimSun" w:hAnsi="Times New Roman" w:cs="Times New Roman"/>
                <w:color w:val="000000"/>
                <w:kern w:val="0"/>
                <w:sz w:val="24"/>
              </w:rPr>
            </w:pPr>
            <w:r w:rsidRPr="00A21DA6">
              <w:rPr>
                <w:rFonts w:ascii="Times New Roman" w:eastAsia="SimSun" w:hAnsi="Times New Roman" w:cs="Times New Roman"/>
                <w:b/>
                <w:color w:val="000000"/>
                <w:kern w:val="0"/>
                <w:sz w:val="24"/>
                <w:lang w:bidi="ar"/>
              </w:rPr>
              <w:t xml:space="preserve"> </w:t>
            </w:r>
          </w:p>
        </w:tc>
        <w:tc>
          <w:tcPr>
            <w:tcW w:w="3695" w:type="dxa"/>
            <w:gridSpan w:val="2"/>
            <w:tcBorders>
              <w:bottom w:val="single" w:sz="4" w:space="0" w:color="auto"/>
            </w:tcBorders>
            <w:shd w:val="clear" w:color="auto" w:fill="FFFFFF"/>
          </w:tcPr>
          <w:p w14:paraId="6788F0CC"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 xml:space="preserve">28-day </w:t>
            </w:r>
          </w:p>
        </w:tc>
        <w:tc>
          <w:tcPr>
            <w:tcW w:w="4250" w:type="dxa"/>
            <w:gridSpan w:val="2"/>
            <w:tcBorders>
              <w:bottom w:val="single" w:sz="4" w:space="0" w:color="auto"/>
            </w:tcBorders>
            <w:shd w:val="clear" w:color="auto" w:fill="FFFFFF"/>
          </w:tcPr>
          <w:p w14:paraId="0B8ABEB8"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90-day</w:t>
            </w:r>
          </w:p>
        </w:tc>
      </w:tr>
      <w:tr w:rsidR="00C2474C" w:rsidRPr="00A21DA6" w14:paraId="035861AA" w14:textId="77777777">
        <w:trPr>
          <w:trHeight w:val="337"/>
        </w:trPr>
        <w:tc>
          <w:tcPr>
            <w:tcW w:w="2130" w:type="dxa"/>
            <w:tcBorders>
              <w:top w:val="nil"/>
              <w:bottom w:val="single" w:sz="4" w:space="0" w:color="auto"/>
            </w:tcBorders>
            <w:shd w:val="clear" w:color="auto" w:fill="FFFFFF"/>
          </w:tcPr>
          <w:p w14:paraId="33B852F0" w14:textId="77777777" w:rsidR="00C2474C" w:rsidRPr="00A21DA6" w:rsidRDefault="00C2474C">
            <w:pPr>
              <w:rPr>
                <w:rFonts w:ascii="Times New Roman" w:eastAsia="SimSun" w:hAnsi="Times New Roman" w:cs="Times New Roman"/>
                <w:b/>
                <w:color w:val="000000"/>
                <w:kern w:val="0"/>
                <w:sz w:val="24"/>
                <w:lang w:bidi="ar"/>
              </w:rPr>
            </w:pPr>
          </w:p>
        </w:tc>
        <w:tc>
          <w:tcPr>
            <w:tcW w:w="1970" w:type="dxa"/>
            <w:tcBorders>
              <w:top w:val="single" w:sz="4" w:space="0" w:color="auto"/>
              <w:bottom w:val="single" w:sz="4" w:space="0" w:color="auto"/>
            </w:tcBorders>
            <w:shd w:val="clear" w:color="auto" w:fill="FFFFFF"/>
          </w:tcPr>
          <w:p w14:paraId="41527D6E" w14:textId="77777777" w:rsidR="00C2474C" w:rsidRPr="00A21DA6" w:rsidRDefault="00235CBB">
            <w:pPr>
              <w:jc w:val="center"/>
              <w:rPr>
                <w:rFonts w:ascii="Times New Roman" w:eastAsia="SimSun" w:hAnsi="Times New Roman" w:cs="Times New Roman"/>
                <w:color w:val="000000"/>
                <w:kern w:val="0"/>
                <w:sz w:val="24"/>
              </w:rPr>
            </w:pPr>
            <w:proofErr w:type="spellStart"/>
            <w:r w:rsidRPr="00A21DA6">
              <w:rPr>
                <w:rFonts w:ascii="Times New Roman" w:eastAsia="SimSun" w:hAnsi="Times New Roman" w:cs="Times New Roman"/>
                <w:color w:val="000000"/>
                <w:kern w:val="0"/>
                <w:sz w:val="24"/>
              </w:rPr>
              <w:t>auROC</w:t>
            </w:r>
            <w:proofErr w:type="spellEnd"/>
          </w:p>
        </w:tc>
        <w:tc>
          <w:tcPr>
            <w:tcW w:w="1725" w:type="dxa"/>
            <w:tcBorders>
              <w:top w:val="single" w:sz="4" w:space="0" w:color="auto"/>
              <w:bottom w:val="single" w:sz="4" w:space="0" w:color="auto"/>
            </w:tcBorders>
            <w:shd w:val="clear" w:color="auto" w:fill="FFFFFF"/>
          </w:tcPr>
          <w:p w14:paraId="14A2C04D"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P value</w:t>
            </w:r>
          </w:p>
        </w:tc>
        <w:tc>
          <w:tcPr>
            <w:tcW w:w="2400" w:type="dxa"/>
            <w:tcBorders>
              <w:top w:val="single" w:sz="4" w:space="0" w:color="auto"/>
              <w:bottom w:val="single" w:sz="4" w:space="0" w:color="auto"/>
            </w:tcBorders>
            <w:shd w:val="clear" w:color="auto" w:fill="FFFFFF"/>
          </w:tcPr>
          <w:p w14:paraId="42B80D8F" w14:textId="77777777" w:rsidR="00C2474C" w:rsidRPr="00A21DA6" w:rsidRDefault="00235CBB">
            <w:pPr>
              <w:jc w:val="center"/>
              <w:rPr>
                <w:rFonts w:ascii="Times New Roman" w:eastAsia="SimSun" w:hAnsi="Times New Roman" w:cs="Times New Roman"/>
                <w:color w:val="000000"/>
                <w:kern w:val="0"/>
                <w:sz w:val="24"/>
              </w:rPr>
            </w:pPr>
            <w:proofErr w:type="spellStart"/>
            <w:r w:rsidRPr="00A21DA6">
              <w:rPr>
                <w:rFonts w:ascii="Times New Roman" w:eastAsia="SimSun" w:hAnsi="Times New Roman" w:cs="Times New Roman"/>
                <w:color w:val="000000"/>
                <w:kern w:val="0"/>
                <w:sz w:val="24"/>
              </w:rPr>
              <w:t>auROC</w:t>
            </w:r>
            <w:proofErr w:type="spellEnd"/>
          </w:p>
        </w:tc>
        <w:tc>
          <w:tcPr>
            <w:tcW w:w="1850" w:type="dxa"/>
            <w:tcBorders>
              <w:top w:val="single" w:sz="4" w:space="0" w:color="auto"/>
              <w:bottom w:val="single" w:sz="4" w:space="0" w:color="auto"/>
            </w:tcBorders>
            <w:shd w:val="clear" w:color="auto" w:fill="FFFFFF"/>
          </w:tcPr>
          <w:p w14:paraId="29ECFAA5"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P value</w:t>
            </w:r>
          </w:p>
        </w:tc>
      </w:tr>
      <w:tr w:rsidR="00C2474C" w:rsidRPr="00A21DA6" w14:paraId="2832D0B0" w14:textId="77777777">
        <w:tc>
          <w:tcPr>
            <w:tcW w:w="2130" w:type="dxa"/>
            <w:tcBorders>
              <w:top w:val="single" w:sz="4" w:space="0" w:color="auto"/>
            </w:tcBorders>
            <w:shd w:val="clear" w:color="auto" w:fill="FFFFFF"/>
          </w:tcPr>
          <w:p w14:paraId="70A76270"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CLIF-C OF-DICs</w:t>
            </w:r>
          </w:p>
        </w:tc>
        <w:tc>
          <w:tcPr>
            <w:tcW w:w="1970" w:type="dxa"/>
            <w:tcBorders>
              <w:top w:val="single" w:sz="4" w:space="0" w:color="auto"/>
            </w:tcBorders>
            <w:shd w:val="clear" w:color="auto" w:fill="FFFFFF"/>
            <w:vAlign w:val="bottom"/>
          </w:tcPr>
          <w:p w14:paraId="60785EEB"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0.9</w:t>
            </w:r>
            <w:r w:rsidRPr="00A21DA6">
              <w:rPr>
                <w:rFonts w:ascii="Times New Roman" w:eastAsia="SimSun" w:hAnsi="Times New Roman" w:cs="Times New Roman" w:hint="eastAsia"/>
                <w:color w:val="000000"/>
                <w:kern w:val="0"/>
                <w:sz w:val="24"/>
              </w:rPr>
              <w:t>24</w:t>
            </w:r>
          </w:p>
        </w:tc>
        <w:tc>
          <w:tcPr>
            <w:tcW w:w="1725" w:type="dxa"/>
            <w:tcBorders>
              <w:top w:val="single" w:sz="4" w:space="0" w:color="auto"/>
            </w:tcBorders>
            <w:shd w:val="clear" w:color="auto" w:fill="FFFFFF"/>
          </w:tcPr>
          <w:p w14:paraId="04DE3D82" w14:textId="77777777" w:rsidR="00C2474C" w:rsidRPr="00A21DA6" w:rsidRDefault="00C2474C">
            <w:pPr>
              <w:jc w:val="center"/>
              <w:rPr>
                <w:rFonts w:ascii="Times New Roman" w:eastAsia="SimSun" w:hAnsi="Times New Roman" w:cs="Times New Roman"/>
                <w:color w:val="000000"/>
                <w:kern w:val="0"/>
                <w:sz w:val="24"/>
                <w:lang w:bidi="ar"/>
              </w:rPr>
            </w:pPr>
          </w:p>
        </w:tc>
        <w:tc>
          <w:tcPr>
            <w:tcW w:w="2400" w:type="dxa"/>
            <w:tcBorders>
              <w:top w:val="single" w:sz="4" w:space="0" w:color="auto"/>
            </w:tcBorders>
            <w:shd w:val="clear" w:color="auto" w:fill="FFFFFF"/>
            <w:vAlign w:val="bottom"/>
          </w:tcPr>
          <w:p w14:paraId="5CEA596D"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0.9</w:t>
            </w:r>
            <w:r w:rsidRPr="00A21DA6">
              <w:rPr>
                <w:rFonts w:ascii="Times New Roman" w:eastAsia="SimSun" w:hAnsi="Times New Roman" w:cs="Times New Roman" w:hint="eastAsia"/>
                <w:color w:val="000000"/>
                <w:kern w:val="0"/>
                <w:sz w:val="24"/>
                <w:lang w:bidi="ar"/>
              </w:rPr>
              <w:t>36</w:t>
            </w:r>
          </w:p>
        </w:tc>
        <w:tc>
          <w:tcPr>
            <w:tcW w:w="1850" w:type="dxa"/>
            <w:tcBorders>
              <w:top w:val="single" w:sz="4" w:space="0" w:color="auto"/>
            </w:tcBorders>
            <w:shd w:val="clear" w:color="auto" w:fill="FFFFFF"/>
          </w:tcPr>
          <w:p w14:paraId="25758317" w14:textId="77777777" w:rsidR="00C2474C" w:rsidRPr="00A21DA6" w:rsidRDefault="00C2474C">
            <w:pPr>
              <w:jc w:val="center"/>
              <w:rPr>
                <w:rFonts w:ascii="Times New Roman" w:eastAsia="SimSun" w:hAnsi="Times New Roman" w:cs="Times New Roman"/>
                <w:color w:val="000000"/>
                <w:kern w:val="0"/>
                <w:sz w:val="24"/>
                <w:lang w:bidi="ar"/>
              </w:rPr>
            </w:pPr>
          </w:p>
        </w:tc>
      </w:tr>
      <w:tr w:rsidR="00C2474C" w:rsidRPr="00A21DA6" w14:paraId="115871FB" w14:textId="77777777">
        <w:tc>
          <w:tcPr>
            <w:tcW w:w="2130" w:type="dxa"/>
            <w:shd w:val="clear" w:color="auto" w:fill="FFFFFF"/>
          </w:tcPr>
          <w:p w14:paraId="407CC6C8"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COSSH-ACLFs</w:t>
            </w:r>
          </w:p>
        </w:tc>
        <w:tc>
          <w:tcPr>
            <w:tcW w:w="1970" w:type="dxa"/>
            <w:shd w:val="clear" w:color="auto" w:fill="FFFFFF"/>
            <w:vAlign w:val="bottom"/>
          </w:tcPr>
          <w:p w14:paraId="0DE2AE24"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0.904</w:t>
            </w:r>
          </w:p>
        </w:tc>
        <w:tc>
          <w:tcPr>
            <w:tcW w:w="1725" w:type="dxa"/>
            <w:shd w:val="clear" w:color="auto" w:fill="FFFFFF"/>
          </w:tcPr>
          <w:p w14:paraId="4C3F597E"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0.4339</w:t>
            </w:r>
          </w:p>
        </w:tc>
        <w:tc>
          <w:tcPr>
            <w:tcW w:w="2400" w:type="dxa"/>
            <w:shd w:val="clear" w:color="auto" w:fill="FFFFFF"/>
            <w:vAlign w:val="bottom"/>
          </w:tcPr>
          <w:p w14:paraId="35591C61"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0.903</w:t>
            </w:r>
          </w:p>
        </w:tc>
        <w:tc>
          <w:tcPr>
            <w:tcW w:w="1850" w:type="dxa"/>
            <w:shd w:val="clear" w:color="auto" w:fill="FFFFFF"/>
          </w:tcPr>
          <w:p w14:paraId="36A27467"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0.2545</w:t>
            </w:r>
          </w:p>
        </w:tc>
      </w:tr>
      <w:tr w:rsidR="00C2474C" w:rsidRPr="00A21DA6" w14:paraId="5BA09D7F" w14:textId="77777777">
        <w:tc>
          <w:tcPr>
            <w:tcW w:w="2130" w:type="dxa"/>
            <w:shd w:val="clear" w:color="auto" w:fill="FFFFFF"/>
          </w:tcPr>
          <w:p w14:paraId="09196681"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COSSH-ACLF-IIs</w:t>
            </w:r>
          </w:p>
        </w:tc>
        <w:tc>
          <w:tcPr>
            <w:tcW w:w="1970" w:type="dxa"/>
            <w:shd w:val="clear" w:color="auto" w:fill="FFFFFF"/>
            <w:vAlign w:val="bottom"/>
          </w:tcPr>
          <w:p w14:paraId="2E7E1ECF"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0.905</w:t>
            </w:r>
          </w:p>
        </w:tc>
        <w:tc>
          <w:tcPr>
            <w:tcW w:w="1725" w:type="dxa"/>
            <w:shd w:val="clear" w:color="auto" w:fill="FFFFFF"/>
          </w:tcPr>
          <w:p w14:paraId="3770AAAA"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0.4439</w:t>
            </w:r>
          </w:p>
        </w:tc>
        <w:tc>
          <w:tcPr>
            <w:tcW w:w="2400" w:type="dxa"/>
            <w:shd w:val="clear" w:color="auto" w:fill="FFFFFF"/>
            <w:vAlign w:val="bottom"/>
          </w:tcPr>
          <w:p w14:paraId="78500FD3"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0.901</w:t>
            </w:r>
          </w:p>
        </w:tc>
        <w:tc>
          <w:tcPr>
            <w:tcW w:w="1850" w:type="dxa"/>
            <w:shd w:val="clear" w:color="auto" w:fill="FFFFFF"/>
          </w:tcPr>
          <w:p w14:paraId="327C0A37"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0.1990</w:t>
            </w:r>
          </w:p>
        </w:tc>
      </w:tr>
      <w:tr w:rsidR="00C2474C" w:rsidRPr="00A21DA6" w14:paraId="5AF6135E" w14:textId="77777777">
        <w:tc>
          <w:tcPr>
            <w:tcW w:w="2130" w:type="dxa"/>
            <w:shd w:val="clear" w:color="auto" w:fill="FFFFFF"/>
          </w:tcPr>
          <w:p w14:paraId="3BC6EFD9"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CLIF-C OFs</w:t>
            </w:r>
          </w:p>
        </w:tc>
        <w:tc>
          <w:tcPr>
            <w:tcW w:w="1970" w:type="dxa"/>
            <w:shd w:val="clear" w:color="auto" w:fill="FFFFFF"/>
            <w:vAlign w:val="bottom"/>
          </w:tcPr>
          <w:p w14:paraId="59EC2216"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0.900</w:t>
            </w:r>
          </w:p>
        </w:tc>
        <w:tc>
          <w:tcPr>
            <w:tcW w:w="1725" w:type="dxa"/>
            <w:shd w:val="clear" w:color="auto" w:fill="FFFFFF"/>
          </w:tcPr>
          <w:p w14:paraId="52E4800E"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0.5247</w:t>
            </w:r>
          </w:p>
        </w:tc>
        <w:tc>
          <w:tcPr>
            <w:tcW w:w="2400" w:type="dxa"/>
            <w:shd w:val="clear" w:color="auto" w:fill="FFFFFF"/>
            <w:vAlign w:val="bottom"/>
          </w:tcPr>
          <w:p w14:paraId="23117FAA"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0.870</w:t>
            </w:r>
          </w:p>
        </w:tc>
        <w:tc>
          <w:tcPr>
            <w:tcW w:w="1850" w:type="dxa"/>
            <w:shd w:val="clear" w:color="auto" w:fill="FFFFFF"/>
          </w:tcPr>
          <w:p w14:paraId="715B69C8"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0.0210</w:t>
            </w:r>
          </w:p>
        </w:tc>
      </w:tr>
      <w:tr w:rsidR="00C2474C" w:rsidRPr="00A21DA6" w14:paraId="5277E003" w14:textId="77777777">
        <w:tc>
          <w:tcPr>
            <w:tcW w:w="2130" w:type="dxa"/>
            <w:shd w:val="clear" w:color="auto" w:fill="FFFFFF"/>
          </w:tcPr>
          <w:p w14:paraId="2D51E4C7"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CLIF-SOFA</w:t>
            </w:r>
          </w:p>
        </w:tc>
        <w:tc>
          <w:tcPr>
            <w:tcW w:w="1970" w:type="dxa"/>
            <w:shd w:val="clear" w:color="auto" w:fill="FFFFFF"/>
            <w:vAlign w:val="bottom"/>
          </w:tcPr>
          <w:p w14:paraId="39C261C9"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0.895</w:t>
            </w:r>
          </w:p>
        </w:tc>
        <w:tc>
          <w:tcPr>
            <w:tcW w:w="1725" w:type="dxa"/>
            <w:shd w:val="clear" w:color="auto" w:fill="FFFFFF"/>
          </w:tcPr>
          <w:p w14:paraId="712E3E66"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0.4337</w:t>
            </w:r>
          </w:p>
        </w:tc>
        <w:tc>
          <w:tcPr>
            <w:tcW w:w="2400" w:type="dxa"/>
            <w:shd w:val="clear" w:color="auto" w:fill="FFFFFF"/>
            <w:vAlign w:val="bottom"/>
          </w:tcPr>
          <w:p w14:paraId="161CBBDA"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0.863</w:t>
            </w:r>
          </w:p>
        </w:tc>
        <w:tc>
          <w:tcPr>
            <w:tcW w:w="1850" w:type="dxa"/>
            <w:shd w:val="clear" w:color="auto" w:fill="FFFFFF"/>
          </w:tcPr>
          <w:p w14:paraId="675F6A24"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0.0192</w:t>
            </w:r>
          </w:p>
        </w:tc>
      </w:tr>
      <w:tr w:rsidR="00C2474C" w:rsidRPr="00A21DA6" w14:paraId="0AFE4F5F" w14:textId="77777777">
        <w:tc>
          <w:tcPr>
            <w:tcW w:w="2130" w:type="dxa"/>
            <w:shd w:val="clear" w:color="auto" w:fill="FFFFFF"/>
          </w:tcPr>
          <w:p w14:paraId="5BD9B35F"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CLIF-C ACLFs</w:t>
            </w:r>
          </w:p>
        </w:tc>
        <w:tc>
          <w:tcPr>
            <w:tcW w:w="1970" w:type="dxa"/>
            <w:shd w:val="clear" w:color="auto" w:fill="FFFFFF"/>
            <w:vAlign w:val="bottom"/>
          </w:tcPr>
          <w:p w14:paraId="49C32D03"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0.888</w:t>
            </w:r>
          </w:p>
        </w:tc>
        <w:tc>
          <w:tcPr>
            <w:tcW w:w="1725" w:type="dxa"/>
            <w:shd w:val="clear" w:color="auto" w:fill="FFFFFF"/>
          </w:tcPr>
          <w:p w14:paraId="5FA29C56"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0.0505</w:t>
            </w:r>
          </w:p>
        </w:tc>
        <w:tc>
          <w:tcPr>
            <w:tcW w:w="2400" w:type="dxa"/>
            <w:shd w:val="clear" w:color="auto" w:fill="FFFFFF"/>
            <w:vAlign w:val="bottom"/>
          </w:tcPr>
          <w:p w14:paraId="7C547DAF"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0.879</w:t>
            </w:r>
          </w:p>
        </w:tc>
        <w:tc>
          <w:tcPr>
            <w:tcW w:w="1850" w:type="dxa"/>
            <w:shd w:val="clear" w:color="auto" w:fill="FFFFFF"/>
          </w:tcPr>
          <w:p w14:paraId="506698BC"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0.0164</w:t>
            </w:r>
          </w:p>
        </w:tc>
      </w:tr>
      <w:tr w:rsidR="00C2474C" w:rsidRPr="00A21DA6" w14:paraId="11FA0D23" w14:textId="77777777">
        <w:tc>
          <w:tcPr>
            <w:tcW w:w="2130" w:type="dxa"/>
            <w:shd w:val="clear" w:color="auto" w:fill="FFFFFF"/>
          </w:tcPr>
          <w:p w14:paraId="5937B8A4"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MELD</w:t>
            </w:r>
          </w:p>
        </w:tc>
        <w:tc>
          <w:tcPr>
            <w:tcW w:w="1970" w:type="dxa"/>
            <w:shd w:val="clear" w:color="auto" w:fill="FFFFFF"/>
            <w:vAlign w:val="bottom"/>
          </w:tcPr>
          <w:p w14:paraId="49B35035"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0.836</w:t>
            </w:r>
          </w:p>
        </w:tc>
        <w:tc>
          <w:tcPr>
            <w:tcW w:w="1725" w:type="dxa"/>
            <w:shd w:val="clear" w:color="auto" w:fill="FFFFFF"/>
          </w:tcPr>
          <w:p w14:paraId="7F18D8EB"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0.0033</w:t>
            </w:r>
          </w:p>
        </w:tc>
        <w:tc>
          <w:tcPr>
            <w:tcW w:w="2400" w:type="dxa"/>
            <w:shd w:val="clear" w:color="auto" w:fill="FFFFFF"/>
            <w:vAlign w:val="bottom"/>
          </w:tcPr>
          <w:p w14:paraId="77469D23"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0.830</w:t>
            </w:r>
          </w:p>
        </w:tc>
        <w:tc>
          <w:tcPr>
            <w:tcW w:w="1850" w:type="dxa"/>
            <w:shd w:val="clear" w:color="auto" w:fill="FFFFFF"/>
          </w:tcPr>
          <w:p w14:paraId="6B074BF6" w14:textId="77777777" w:rsidR="00C2474C" w:rsidRPr="00A21DA6" w:rsidRDefault="00235CBB">
            <w:pPr>
              <w:widowControl/>
              <w:jc w:val="center"/>
              <w:textAlignment w:val="bottom"/>
              <w:rPr>
                <w:rFonts w:ascii="Times New Roman" w:eastAsia="SimSun" w:hAnsi="Times New Roman" w:cs="Times New Roman"/>
                <w:color w:val="000000"/>
                <w:kern w:val="0"/>
                <w:sz w:val="24"/>
                <w:lang w:bidi="ar"/>
              </w:rPr>
            </w:pPr>
            <w:r w:rsidRPr="00A21DA6">
              <w:rPr>
                <w:rFonts w:ascii="Times New Roman" w:eastAsia="SimSun" w:hAnsi="Times New Roman" w:cs="Times New Roman"/>
                <w:color w:val="000000"/>
                <w:kern w:val="0"/>
                <w:sz w:val="24"/>
                <w:lang w:bidi="ar"/>
              </w:rPr>
              <w:t>0.0007</w:t>
            </w:r>
          </w:p>
        </w:tc>
      </w:tr>
    </w:tbl>
    <w:p w14:paraId="40D6B96D" w14:textId="77777777" w:rsidR="00C2474C" w:rsidRPr="00A21DA6" w:rsidRDefault="00235CBB">
      <w:pPr>
        <w:jc w:val="left"/>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The P values represents the significance of difference between the </w:t>
      </w:r>
      <w:proofErr w:type="spellStart"/>
      <w:r w:rsidRPr="00A21DA6">
        <w:rPr>
          <w:rFonts w:ascii="Times New Roman" w:eastAsiaTheme="majorEastAsia" w:hAnsi="Times New Roman" w:cs="Times New Roman"/>
          <w:sz w:val="24"/>
        </w:rPr>
        <w:t>auROC</w:t>
      </w:r>
      <w:proofErr w:type="spellEnd"/>
      <w:r w:rsidRPr="00A21DA6">
        <w:rPr>
          <w:rFonts w:ascii="Times New Roman" w:eastAsiaTheme="majorEastAsia" w:hAnsi="Times New Roman" w:cs="Times New Roman"/>
          <w:sz w:val="24"/>
        </w:rPr>
        <w:t xml:space="preserve"> of CLIF C-OF-DICs and six other prognostic scoring models.</w:t>
      </w:r>
    </w:p>
    <w:p w14:paraId="08946FE8" w14:textId="77777777" w:rsidR="00C2474C" w:rsidRPr="00A21DA6" w:rsidRDefault="00235CBB">
      <w:pPr>
        <w:jc w:val="left"/>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Abbreviations: </w:t>
      </w:r>
      <w:proofErr w:type="spellStart"/>
      <w:r w:rsidRPr="00A21DA6">
        <w:rPr>
          <w:rFonts w:ascii="Times New Roman" w:eastAsiaTheme="majorEastAsia" w:hAnsi="Times New Roman" w:cs="Times New Roman"/>
          <w:sz w:val="24"/>
        </w:rPr>
        <w:t>auROC</w:t>
      </w:r>
      <w:proofErr w:type="spellEnd"/>
      <w:r w:rsidRPr="00A21DA6">
        <w:rPr>
          <w:rFonts w:ascii="Times New Roman" w:eastAsiaTheme="majorEastAsia" w:hAnsi="Times New Roman" w:cs="Times New Roman"/>
          <w:sz w:val="24"/>
        </w:rPr>
        <w:t>, area under the receiver operating characteristic curve; ACLF, acute-on-chronic liver failure; DIC, disseminated intravascular coagulation. HBV, hepatitis B virus; CLIF-SOFA, chronic liver failure-sequential organ failure assessment; CLIF-C OF-DICs: a novel prognostic score based on age, DIC score, and CLIF-C OFs; COSSH-ACLFs, Chinese Group on the Study of Severe Hepatitis B-ACLF score; CLIF-C OFs, CLIF Consortium Organ Function score; COSSH-ACLF IIs: Chinese Group on the Study of Severe Hepatitis B-ACLF II score; CLIF-C ACLFs, CLIF Consortium ACLF score; MELD, Model for End-stage Liver Disease;</w:t>
      </w:r>
    </w:p>
    <w:p w14:paraId="4195BA93" w14:textId="77777777" w:rsidR="00C2474C" w:rsidRPr="00A21DA6" w:rsidRDefault="00C2474C">
      <w:pPr>
        <w:jc w:val="left"/>
        <w:rPr>
          <w:rFonts w:ascii="Times New Roman" w:eastAsiaTheme="majorEastAsia" w:hAnsi="Times New Roman" w:cs="Times New Roman"/>
          <w:sz w:val="24"/>
        </w:rPr>
      </w:pPr>
    </w:p>
    <w:p w14:paraId="7076A0CF" w14:textId="35334192" w:rsidR="00C2474C" w:rsidRPr="00A21DA6" w:rsidRDefault="00235CBB">
      <w:pPr>
        <w:rPr>
          <w:rFonts w:ascii="Times New Roman" w:eastAsiaTheme="majorEastAsia" w:hAnsi="Times New Roman" w:cs="Times New Roman"/>
          <w:sz w:val="24"/>
        </w:rPr>
      </w:pPr>
      <w:r w:rsidRPr="00A21DA6">
        <w:rPr>
          <w:rFonts w:ascii="Times New Roman" w:eastAsiaTheme="majorEastAsia" w:hAnsi="Times New Roman" w:cs="Times New Roman"/>
          <w:b/>
          <w:bCs/>
          <w:sz w:val="24"/>
        </w:rPr>
        <w:t>Table S</w:t>
      </w:r>
      <w:r w:rsidRPr="00A21DA6">
        <w:rPr>
          <w:rFonts w:ascii="Times New Roman" w:eastAsiaTheme="majorEastAsia" w:hAnsi="Times New Roman" w:cs="Times New Roman" w:hint="eastAsia"/>
          <w:b/>
          <w:bCs/>
          <w:sz w:val="24"/>
        </w:rPr>
        <w:t>4</w:t>
      </w:r>
      <w:r w:rsidRPr="00A21DA6">
        <w:rPr>
          <w:rFonts w:ascii="Times New Roman" w:eastAsiaTheme="majorEastAsia" w:hAnsi="Times New Roman" w:cs="Times New Roman"/>
          <w:b/>
          <w:bCs/>
          <w:sz w:val="24"/>
        </w:rPr>
        <w:t xml:space="preserve">. </w:t>
      </w:r>
      <w:r w:rsidRPr="00A21DA6">
        <w:rPr>
          <w:rFonts w:ascii="Times New Roman" w:eastAsiaTheme="majorEastAsia" w:hAnsi="Times New Roman" w:cs="Times New Roman"/>
          <w:sz w:val="24"/>
        </w:rPr>
        <w:t xml:space="preserve">Clinical and laboratory characters at baseline between derivation cohort and external validation cohort. </w:t>
      </w:r>
    </w:p>
    <w:tbl>
      <w:tblPr>
        <w:tblStyle w:val="TableGrid"/>
        <w:tblW w:w="9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2193"/>
        <w:gridCol w:w="2263"/>
        <w:gridCol w:w="1202"/>
      </w:tblGrid>
      <w:tr w:rsidR="00C2474C" w:rsidRPr="00A21DA6" w14:paraId="1291C5EF" w14:textId="77777777">
        <w:trPr>
          <w:trHeight w:val="368"/>
          <w:jc w:val="center"/>
        </w:trPr>
        <w:tc>
          <w:tcPr>
            <w:tcW w:w="3708" w:type="dxa"/>
            <w:tcBorders>
              <w:top w:val="single" w:sz="8" w:space="0" w:color="000000"/>
              <w:left w:val="dotted" w:sz="0" w:space="0" w:color="auto"/>
              <w:bottom w:val="single" w:sz="8" w:space="0" w:color="000000"/>
              <w:right w:val="dotted" w:sz="0" w:space="0" w:color="auto"/>
            </w:tcBorders>
            <w:shd w:val="clear" w:color="auto" w:fill="auto"/>
          </w:tcPr>
          <w:p w14:paraId="12041598" w14:textId="77777777" w:rsidR="00C2474C" w:rsidRPr="00A21DA6" w:rsidRDefault="00C2474C">
            <w:pPr>
              <w:spacing w:after="160"/>
              <w:rPr>
                <w:rFonts w:ascii="Times New Roman" w:eastAsia="SimSun" w:hAnsi="Times New Roman" w:cs="Times New Roman"/>
                <w:b/>
                <w:color w:val="000000"/>
                <w:kern w:val="0"/>
                <w:sz w:val="24"/>
              </w:rPr>
            </w:pPr>
          </w:p>
        </w:tc>
        <w:tc>
          <w:tcPr>
            <w:tcW w:w="2193" w:type="dxa"/>
            <w:tcBorders>
              <w:top w:val="single" w:sz="8" w:space="0" w:color="000000"/>
              <w:left w:val="dotted" w:sz="0" w:space="0" w:color="auto"/>
              <w:bottom w:val="single" w:sz="8" w:space="0" w:color="000000"/>
              <w:right w:val="dotted" w:sz="0" w:space="0" w:color="auto"/>
            </w:tcBorders>
            <w:shd w:val="clear" w:color="auto" w:fill="auto"/>
          </w:tcPr>
          <w:p w14:paraId="41BD2D61" w14:textId="77777777" w:rsidR="00C2474C" w:rsidRPr="00A21DA6" w:rsidRDefault="00235CBB">
            <w:pPr>
              <w:widowControl/>
              <w:spacing w:after="160"/>
              <w:jc w:val="center"/>
              <w:rPr>
                <w:rFonts w:ascii="Times New Roman" w:eastAsia="FrutigerLTPro-BoldCn" w:hAnsi="Times New Roman" w:cs="Times New Roman"/>
                <w:b/>
                <w:color w:val="231F20"/>
                <w:kern w:val="0"/>
                <w:sz w:val="24"/>
                <w:lang w:bidi="ar"/>
              </w:rPr>
            </w:pPr>
            <w:r w:rsidRPr="00A21DA6">
              <w:rPr>
                <w:rFonts w:ascii="Times New Roman" w:eastAsia="FrutigerLTPro-BoldCn" w:hAnsi="Times New Roman" w:cs="Times New Roman"/>
                <w:b/>
                <w:color w:val="231F20"/>
                <w:kern w:val="0"/>
                <w:sz w:val="24"/>
                <w:lang w:bidi="ar"/>
              </w:rPr>
              <w:t>Deviation (n = 163)</w:t>
            </w:r>
          </w:p>
        </w:tc>
        <w:tc>
          <w:tcPr>
            <w:tcW w:w="2263" w:type="dxa"/>
            <w:tcBorders>
              <w:top w:val="single" w:sz="8" w:space="0" w:color="000000"/>
              <w:left w:val="dotted" w:sz="0" w:space="0" w:color="auto"/>
              <w:bottom w:val="single" w:sz="8" w:space="0" w:color="000000"/>
              <w:right w:val="dotted" w:sz="0" w:space="0" w:color="auto"/>
            </w:tcBorders>
            <w:shd w:val="clear" w:color="auto" w:fill="auto"/>
          </w:tcPr>
          <w:p w14:paraId="1182AED1" w14:textId="77777777" w:rsidR="00C2474C" w:rsidRPr="00A21DA6" w:rsidRDefault="00235CBB">
            <w:pPr>
              <w:spacing w:after="160"/>
              <w:jc w:val="center"/>
              <w:rPr>
                <w:rFonts w:ascii="Times New Roman" w:eastAsia="SimSun" w:hAnsi="Times New Roman" w:cs="Times New Roman"/>
                <w:color w:val="000000"/>
                <w:kern w:val="0"/>
                <w:sz w:val="24"/>
              </w:rPr>
            </w:pPr>
            <w:r w:rsidRPr="00A21DA6">
              <w:rPr>
                <w:rFonts w:ascii="Times New Roman" w:eastAsia="FrutigerLTPro-BoldCn" w:hAnsi="Times New Roman" w:cs="Times New Roman"/>
                <w:b/>
                <w:color w:val="231F20"/>
                <w:kern w:val="0"/>
                <w:sz w:val="24"/>
                <w:lang w:bidi="ar"/>
              </w:rPr>
              <w:t>Validation (n = 82)</w:t>
            </w:r>
          </w:p>
        </w:tc>
        <w:tc>
          <w:tcPr>
            <w:tcW w:w="1202" w:type="dxa"/>
            <w:tcBorders>
              <w:top w:val="single" w:sz="8" w:space="0" w:color="000000"/>
              <w:left w:val="dotted" w:sz="0" w:space="0" w:color="auto"/>
              <w:bottom w:val="single" w:sz="8" w:space="0" w:color="000000"/>
              <w:right w:val="dotted" w:sz="0" w:space="0" w:color="auto"/>
            </w:tcBorders>
            <w:shd w:val="clear" w:color="auto" w:fill="auto"/>
          </w:tcPr>
          <w:p w14:paraId="5D7953D4"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P value</w:t>
            </w:r>
          </w:p>
        </w:tc>
      </w:tr>
      <w:tr w:rsidR="00C2474C" w:rsidRPr="00A21DA6" w14:paraId="566A0B96" w14:textId="77777777">
        <w:trPr>
          <w:trHeight w:val="90"/>
          <w:jc w:val="center"/>
        </w:trPr>
        <w:tc>
          <w:tcPr>
            <w:tcW w:w="3708" w:type="dxa"/>
            <w:tcBorders>
              <w:top w:val="single" w:sz="8" w:space="0" w:color="000000"/>
              <w:left w:val="dotted" w:sz="0" w:space="0" w:color="auto"/>
              <w:bottom w:val="dotted" w:sz="0" w:space="0" w:color="auto"/>
              <w:right w:val="dotted" w:sz="0" w:space="0" w:color="auto"/>
            </w:tcBorders>
            <w:shd w:val="clear" w:color="auto" w:fill="auto"/>
          </w:tcPr>
          <w:p w14:paraId="7D631419"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b/>
                <w:color w:val="000000"/>
                <w:kern w:val="0"/>
                <w:sz w:val="24"/>
              </w:rPr>
              <w:t>Clinical data</w:t>
            </w:r>
          </w:p>
        </w:tc>
        <w:tc>
          <w:tcPr>
            <w:tcW w:w="2193" w:type="dxa"/>
            <w:tcBorders>
              <w:top w:val="single" w:sz="8" w:space="0" w:color="000000"/>
              <w:left w:val="dotted" w:sz="0" w:space="0" w:color="auto"/>
              <w:bottom w:val="dotted" w:sz="0" w:space="0" w:color="auto"/>
              <w:right w:val="dotted" w:sz="0" w:space="0" w:color="auto"/>
            </w:tcBorders>
            <w:shd w:val="clear" w:color="auto" w:fill="auto"/>
          </w:tcPr>
          <w:p w14:paraId="5D06FEB6" w14:textId="77777777" w:rsidR="00C2474C" w:rsidRPr="00A21DA6" w:rsidRDefault="00C2474C">
            <w:pPr>
              <w:spacing w:after="160"/>
              <w:rPr>
                <w:rFonts w:ascii="Times New Roman" w:eastAsia="SimSun" w:hAnsi="Times New Roman" w:cs="Times New Roman"/>
                <w:color w:val="000000"/>
                <w:kern w:val="0"/>
                <w:sz w:val="24"/>
              </w:rPr>
            </w:pPr>
          </w:p>
        </w:tc>
        <w:tc>
          <w:tcPr>
            <w:tcW w:w="2263" w:type="dxa"/>
            <w:tcBorders>
              <w:top w:val="single" w:sz="8" w:space="0" w:color="000000"/>
              <w:left w:val="dotted" w:sz="0" w:space="0" w:color="auto"/>
              <w:bottom w:val="dotted" w:sz="0" w:space="0" w:color="auto"/>
              <w:right w:val="dotted" w:sz="0" w:space="0" w:color="auto"/>
            </w:tcBorders>
            <w:shd w:val="clear" w:color="auto" w:fill="auto"/>
          </w:tcPr>
          <w:p w14:paraId="7066813A" w14:textId="77777777" w:rsidR="00C2474C" w:rsidRPr="00A21DA6" w:rsidRDefault="00C2474C">
            <w:pPr>
              <w:spacing w:after="160"/>
              <w:rPr>
                <w:rFonts w:ascii="Times New Roman" w:eastAsia="SimSun" w:hAnsi="Times New Roman" w:cs="Times New Roman"/>
                <w:color w:val="000000"/>
                <w:kern w:val="0"/>
                <w:sz w:val="24"/>
              </w:rPr>
            </w:pPr>
          </w:p>
        </w:tc>
        <w:tc>
          <w:tcPr>
            <w:tcW w:w="1202" w:type="dxa"/>
            <w:tcBorders>
              <w:top w:val="single" w:sz="8" w:space="0" w:color="000000"/>
              <w:left w:val="dotted" w:sz="0" w:space="0" w:color="auto"/>
              <w:bottom w:val="dotted" w:sz="0" w:space="0" w:color="auto"/>
              <w:right w:val="dotted" w:sz="0" w:space="0" w:color="auto"/>
            </w:tcBorders>
            <w:shd w:val="clear" w:color="auto" w:fill="auto"/>
          </w:tcPr>
          <w:p w14:paraId="27788A9A"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2E638B54" w14:textId="77777777">
        <w:trPr>
          <w:trHeight w:val="102"/>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3D4B6AEF"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Age (</w:t>
            </w:r>
            <w:proofErr w:type="spellStart"/>
            <w:r w:rsidRPr="00A21DA6">
              <w:rPr>
                <w:rFonts w:ascii="Times New Roman" w:eastAsia="SimSun" w:hAnsi="Times New Roman" w:cs="Times New Roman"/>
                <w:color w:val="000000"/>
                <w:kern w:val="0"/>
                <w:sz w:val="24"/>
              </w:rPr>
              <w:t>yr</w:t>
            </w:r>
            <w:proofErr w:type="spellEnd"/>
            <w:r w:rsidRPr="00A21DA6">
              <w:rPr>
                <w:rFonts w:ascii="Times New Roman" w:eastAsia="SimSun" w:hAnsi="Times New Roman" w:cs="Times New Roman"/>
                <w:color w:val="000000"/>
                <w:kern w:val="0"/>
                <w:sz w:val="24"/>
              </w:rPr>
              <w:t>)</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11522CD1"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46 (37-56)</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188E072C"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48 (40-53)</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1BB5F422"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0.851</w:t>
            </w:r>
          </w:p>
        </w:tc>
      </w:tr>
      <w:tr w:rsidR="00C2474C" w:rsidRPr="00A21DA6" w14:paraId="763C16EE"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3BE4DA3A"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Male sex, % (no.)</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5594AC33"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 xml:space="preserve"> 91.4 (149)</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439F0528"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 xml:space="preserve"> 86.6 (71)</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4695A733"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0.239</w:t>
            </w:r>
          </w:p>
        </w:tc>
      </w:tr>
      <w:tr w:rsidR="00C2474C" w:rsidRPr="00A21DA6" w14:paraId="59556815" w14:textId="77777777">
        <w:trPr>
          <w:trHeight w:val="90"/>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7A48ACA2"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 xml:space="preserve">Underlying </w:t>
            </w:r>
            <w:r w:rsidRPr="00A21DA6">
              <w:rPr>
                <w:rFonts w:ascii="Times New Roman" w:eastAsia="SimSun" w:hAnsi="Times New Roman" w:cs="Times New Roman" w:hint="eastAsia"/>
                <w:color w:val="000000"/>
                <w:kern w:val="0"/>
                <w:sz w:val="24"/>
              </w:rPr>
              <w:t xml:space="preserve">liver </w:t>
            </w:r>
            <w:r w:rsidRPr="00A21DA6">
              <w:rPr>
                <w:rFonts w:ascii="Times New Roman" w:eastAsia="SimSun" w:hAnsi="Times New Roman" w:cs="Times New Roman"/>
                <w:color w:val="000000"/>
                <w:kern w:val="0"/>
                <w:sz w:val="24"/>
              </w:rPr>
              <w:t>disease, % (no.)</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5113AC93" w14:textId="77777777" w:rsidR="00C2474C" w:rsidRPr="00A21DA6" w:rsidRDefault="00C2474C">
            <w:pPr>
              <w:spacing w:after="160"/>
              <w:rPr>
                <w:rFonts w:ascii="Times New Roman" w:eastAsia="SimSun" w:hAnsi="Times New Roman" w:cs="Times New Roman"/>
                <w:color w:val="000000"/>
                <w:kern w:val="0"/>
                <w:sz w:val="24"/>
              </w:rPr>
            </w:pP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7AD068A1" w14:textId="77777777" w:rsidR="00C2474C" w:rsidRPr="00A21DA6" w:rsidRDefault="00C2474C">
            <w:pPr>
              <w:spacing w:after="160"/>
              <w:rPr>
                <w:rFonts w:ascii="Times New Roman" w:eastAsia="SimSun" w:hAnsi="Times New Roman" w:cs="Times New Roman"/>
                <w:color w:val="000000"/>
                <w:kern w:val="0"/>
                <w:sz w:val="24"/>
              </w:rPr>
            </w:pP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284AD18A"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0.031</w:t>
            </w:r>
          </w:p>
        </w:tc>
      </w:tr>
      <w:tr w:rsidR="00C2474C" w:rsidRPr="00A21DA6" w14:paraId="68E9279D"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3C86DC60" w14:textId="77777777" w:rsidR="00C2474C" w:rsidRPr="00A21DA6" w:rsidRDefault="00235CBB">
            <w:pPr>
              <w:spacing w:after="160"/>
              <w:ind w:firstLineChars="100" w:firstLine="24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Chronic hepatitis B</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1CC11430"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49.1 (80)</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36302997"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43.9 (36)</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70B84983"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48556184"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53A1AA25" w14:textId="77777777" w:rsidR="00C2474C" w:rsidRPr="00A21DA6" w:rsidRDefault="00235CBB">
            <w:pPr>
              <w:spacing w:after="160"/>
              <w:ind w:firstLineChars="100" w:firstLine="24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lastRenderedPageBreak/>
              <w:t>Compensated cirrhosis</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7C092DCC"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31.3 (51)</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072EDB95"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46.3 (38)</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2BAA88F8"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4BA01145" w14:textId="77777777">
        <w:trPr>
          <w:trHeight w:val="90"/>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0E8AF37A" w14:textId="77777777" w:rsidR="00C2474C" w:rsidRPr="00A21DA6" w:rsidRDefault="00235CBB">
            <w:pPr>
              <w:spacing w:after="160"/>
              <w:ind w:firstLineChars="100" w:firstLine="24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Decompensated cirrhosis</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03AB3FBA"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19.6 (32)</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5BB88315"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9.8 (8)</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5089A587"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43271903"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56C36D1D"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Precipitating events</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223DE4B4" w14:textId="77777777" w:rsidR="00C2474C" w:rsidRPr="00A21DA6" w:rsidRDefault="00C2474C">
            <w:pPr>
              <w:spacing w:after="160"/>
              <w:rPr>
                <w:rFonts w:ascii="Times New Roman" w:eastAsia="SimSun" w:hAnsi="Times New Roman" w:cs="Times New Roman"/>
                <w:color w:val="000000"/>
                <w:kern w:val="0"/>
                <w:sz w:val="24"/>
              </w:rPr>
            </w:pP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3B7B87D6" w14:textId="77777777" w:rsidR="00C2474C" w:rsidRPr="00A21DA6" w:rsidRDefault="00C2474C">
            <w:pPr>
              <w:spacing w:after="160"/>
              <w:rPr>
                <w:rFonts w:ascii="Times New Roman" w:eastAsia="SimSun" w:hAnsi="Times New Roman" w:cs="Times New Roman"/>
                <w:color w:val="000000"/>
                <w:kern w:val="0"/>
                <w:sz w:val="24"/>
              </w:rPr>
            </w:pP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0D16EA4C"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19881378"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4DF752CB" w14:textId="77777777" w:rsidR="00C2474C" w:rsidRPr="00A21DA6" w:rsidRDefault="00235CBB">
            <w:pPr>
              <w:spacing w:after="160"/>
              <w:ind w:firstLineChars="100" w:firstLine="24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HBV reactivation, % (no.)</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24301342"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47.9 (78)</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635F98D3"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54.9 (45)</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6576CC4A"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0.299</w:t>
            </w:r>
          </w:p>
        </w:tc>
      </w:tr>
      <w:tr w:rsidR="00C2474C" w:rsidRPr="00A21DA6" w14:paraId="7C591DED"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145F9B3E" w14:textId="77777777" w:rsidR="00C2474C" w:rsidRPr="00A21DA6" w:rsidRDefault="00235CBB">
            <w:pPr>
              <w:spacing w:after="160"/>
              <w:ind w:firstLineChars="100" w:firstLine="24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Bacterial infection, % (no.)</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32D3594A"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5.5 (9)</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71153576"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7.3 (6)</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55B0D7F1"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0.580</w:t>
            </w:r>
          </w:p>
        </w:tc>
      </w:tr>
      <w:tr w:rsidR="00C2474C" w:rsidRPr="00A21DA6" w14:paraId="5A422378"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01DE0417"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Complications, % (no.)</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3D4F848D" w14:textId="77777777" w:rsidR="00C2474C" w:rsidRPr="00A21DA6" w:rsidRDefault="00C2474C">
            <w:pPr>
              <w:spacing w:after="160"/>
              <w:rPr>
                <w:rFonts w:ascii="Times New Roman" w:eastAsia="SimSun" w:hAnsi="Times New Roman" w:cs="Times New Roman"/>
                <w:color w:val="000000"/>
                <w:kern w:val="0"/>
                <w:sz w:val="24"/>
              </w:rPr>
            </w:pP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2E9CF6C8" w14:textId="77777777" w:rsidR="00C2474C" w:rsidRPr="00A21DA6" w:rsidRDefault="00C2474C">
            <w:pPr>
              <w:spacing w:after="160"/>
              <w:rPr>
                <w:rFonts w:ascii="Times New Roman" w:eastAsia="SimSun" w:hAnsi="Times New Roman" w:cs="Times New Roman"/>
                <w:color w:val="000000"/>
                <w:kern w:val="0"/>
                <w:sz w:val="24"/>
              </w:rPr>
            </w:pP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56B4342A"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7FC6BC36"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3657A83B" w14:textId="77777777" w:rsidR="00C2474C" w:rsidRPr="00A21DA6" w:rsidRDefault="00235CBB">
            <w:pPr>
              <w:spacing w:after="160"/>
              <w:ind w:firstLineChars="100" w:firstLine="24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 xml:space="preserve">Ascites </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5BDDC004"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69.3 (113)</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651C3876"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68.3 (56)</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06AEED00"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0.869</w:t>
            </w:r>
          </w:p>
        </w:tc>
      </w:tr>
      <w:tr w:rsidR="00C2474C" w:rsidRPr="00A21DA6" w14:paraId="401A7375"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062F720F" w14:textId="77777777" w:rsidR="00C2474C" w:rsidRPr="00A21DA6" w:rsidRDefault="00235CBB">
            <w:pPr>
              <w:spacing w:after="160"/>
              <w:ind w:firstLineChars="100" w:firstLine="24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GI hemorrhage</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65376876"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7.4 (12)</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19AF6DDB"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3.7 (3)</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7A162F1D"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0.254</w:t>
            </w:r>
          </w:p>
        </w:tc>
      </w:tr>
      <w:tr w:rsidR="00C2474C" w:rsidRPr="00A21DA6" w14:paraId="02CD1915"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51CC1629" w14:textId="77777777" w:rsidR="00C2474C" w:rsidRPr="00A21DA6" w:rsidRDefault="00235CBB">
            <w:pPr>
              <w:spacing w:after="160"/>
              <w:ind w:firstLineChars="100" w:firstLine="24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Bacterial infection</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1D7B07C0"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63.8 (104)</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13E516F6"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58.5 (48)</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56AE9669"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0.423</w:t>
            </w:r>
          </w:p>
        </w:tc>
      </w:tr>
      <w:tr w:rsidR="00C2474C" w:rsidRPr="00A21DA6" w14:paraId="1AC74760" w14:textId="77777777">
        <w:trPr>
          <w:trHeight w:val="90"/>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1147F36D"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Artificial liver, % (no.)</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10526A4E"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28.2 (46)</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44C4E450"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19.5 (16)</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5077B0D2"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0.139</w:t>
            </w:r>
          </w:p>
        </w:tc>
      </w:tr>
      <w:tr w:rsidR="00C2474C" w:rsidRPr="00A21DA6" w14:paraId="1BC8B515"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6A09F49B"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b/>
                <w:color w:val="000000"/>
                <w:kern w:val="0"/>
                <w:sz w:val="24"/>
              </w:rPr>
              <w:t>Laboratory data</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1AF9CA22" w14:textId="77777777" w:rsidR="00C2474C" w:rsidRPr="00A21DA6" w:rsidRDefault="00C2474C">
            <w:pPr>
              <w:spacing w:after="160"/>
              <w:rPr>
                <w:rFonts w:ascii="Times New Roman" w:eastAsia="SimSun" w:hAnsi="Times New Roman" w:cs="Times New Roman"/>
                <w:color w:val="000000"/>
                <w:kern w:val="0"/>
                <w:sz w:val="24"/>
              </w:rPr>
            </w:pP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7BCC3C6F" w14:textId="77777777" w:rsidR="00C2474C" w:rsidRPr="00A21DA6" w:rsidRDefault="00C2474C">
            <w:pPr>
              <w:spacing w:after="160"/>
              <w:rPr>
                <w:rFonts w:ascii="Times New Roman" w:eastAsia="SimSun" w:hAnsi="Times New Roman" w:cs="Times New Roman"/>
                <w:color w:val="000000"/>
                <w:kern w:val="0"/>
                <w:sz w:val="24"/>
              </w:rPr>
            </w:pP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65377678"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4571C099" w14:textId="77777777">
        <w:trPr>
          <w:trHeight w:val="90"/>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7DD7B826"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Alanine aminotransferase (U/L)</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57C07B9F"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157 (72-431)</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0E53594F"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113 (67-153)</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2E95D74F"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0.185</w:t>
            </w:r>
          </w:p>
        </w:tc>
      </w:tr>
      <w:tr w:rsidR="00C2474C" w:rsidRPr="00A21DA6" w14:paraId="50A8937F"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37F691B0"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Albumin (g/L)</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093FDA31"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32 (29-36)</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71A247B0"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32 (29-35)</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79A52C7C"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0.419</w:t>
            </w:r>
          </w:p>
        </w:tc>
      </w:tr>
      <w:tr w:rsidR="00C2474C" w:rsidRPr="00A21DA6" w14:paraId="50321BD1"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6E2F521D"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Total bilirubin (</w:t>
            </w:r>
            <w:proofErr w:type="spellStart"/>
            <w:r w:rsidRPr="00A21DA6">
              <w:rPr>
                <w:rFonts w:ascii="Times New Roman" w:eastAsia="SimSun" w:hAnsi="Times New Roman" w:cs="Times New Roman"/>
                <w:color w:val="000000"/>
                <w:kern w:val="0"/>
                <w:sz w:val="24"/>
              </w:rPr>
              <w:t>μmol</w:t>
            </w:r>
            <w:proofErr w:type="spellEnd"/>
            <w:r w:rsidRPr="00A21DA6">
              <w:rPr>
                <w:rFonts w:ascii="Times New Roman" w:eastAsia="SimSun" w:hAnsi="Times New Roman" w:cs="Times New Roman"/>
                <w:color w:val="000000"/>
                <w:kern w:val="0"/>
                <w:sz w:val="24"/>
              </w:rPr>
              <w:t>/L)</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286E20B7"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307.1 (72.0-431.0)</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23E9E1D3"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388.45 (241.7-473.5)</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5E893138"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0.011</w:t>
            </w:r>
          </w:p>
        </w:tc>
      </w:tr>
      <w:tr w:rsidR="00C2474C" w:rsidRPr="00A21DA6" w14:paraId="2D86D8BF" w14:textId="77777777">
        <w:trPr>
          <w:trHeight w:val="90"/>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2D61FF0A" w14:textId="77777777" w:rsidR="00C2474C" w:rsidRPr="00A21DA6" w:rsidRDefault="00235CBB">
            <w:pPr>
              <w:spacing w:after="160"/>
              <w:rPr>
                <w:rFonts w:ascii="Times New Roman" w:eastAsia="SimSun" w:hAnsi="Times New Roman" w:cs="Times New Roman"/>
                <w:b/>
                <w:color w:val="000000"/>
                <w:kern w:val="0"/>
                <w:sz w:val="24"/>
              </w:rPr>
            </w:pPr>
            <w:r w:rsidRPr="00A21DA6">
              <w:rPr>
                <w:rFonts w:ascii="Times New Roman" w:eastAsia="SimSun" w:hAnsi="Times New Roman" w:cs="Times New Roman"/>
                <w:color w:val="000000"/>
                <w:kern w:val="0"/>
                <w:sz w:val="24"/>
              </w:rPr>
              <w:t>Creatinine (</w:t>
            </w:r>
            <w:proofErr w:type="spellStart"/>
            <w:r w:rsidRPr="00A21DA6">
              <w:rPr>
                <w:rFonts w:ascii="Times New Roman" w:eastAsia="SimSun" w:hAnsi="Times New Roman" w:cs="Times New Roman"/>
                <w:color w:val="000000"/>
                <w:kern w:val="0"/>
                <w:sz w:val="24"/>
              </w:rPr>
              <w:t>μmol</w:t>
            </w:r>
            <w:proofErr w:type="spellEnd"/>
            <w:r w:rsidRPr="00A21DA6">
              <w:rPr>
                <w:rFonts w:ascii="Times New Roman" w:eastAsia="SimSun" w:hAnsi="Times New Roman" w:cs="Times New Roman"/>
                <w:color w:val="000000"/>
                <w:kern w:val="0"/>
                <w:sz w:val="24"/>
              </w:rPr>
              <w:t>/L)</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2381DB81"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69 (58-86)</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47CEB888"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62 (52-72)</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608A1CFC"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0.000</w:t>
            </w:r>
          </w:p>
        </w:tc>
      </w:tr>
      <w:tr w:rsidR="00C2474C" w:rsidRPr="00A21DA6" w14:paraId="7D36AD79"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2935F220"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White blood cell count (10</w:t>
            </w:r>
            <w:r w:rsidRPr="00A21DA6">
              <w:rPr>
                <w:rFonts w:ascii="Times New Roman" w:eastAsia="SimSun" w:hAnsi="Times New Roman" w:cs="Times New Roman"/>
                <w:color w:val="000000"/>
                <w:kern w:val="0"/>
                <w:sz w:val="24"/>
                <w:vertAlign w:val="superscript"/>
              </w:rPr>
              <w:t>9</w:t>
            </w:r>
            <w:r w:rsidRPr="00A21DA6">
              <w:rPr>
                <w:rFonts w:ascii="Times New Roman" w:eastAsia="SimSun" w:hAnsi="Times New Roman" w:cs="Times New Roman"/>
                <w:color w:val="000000"/>
                <w:kern w:val="0"/>
                <w:sz w:val="24"/>
              </w:rPr>
              <w:t>/L)</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15968E31"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6.76 (5.04-10.36)</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4BD9BC1A"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5.93 (4.79-8.48)</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7B12042A"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0.155</w:t>
            </w:r>
          </w:p>
        </w:tc>
      </w:tr>
      <w:tr w:rsidR="00C2474C" w:rsidRPr="00A21DA6" w14:paraId="3FE84B46" w14:textId="77777777">
        <w:trPr>
          <w:trHeight w:val="234"/>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35AA02A7"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Hemoglobin (g/L)</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563498B5"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120 (104-136)</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3AD34201"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116 (104-135)</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5597E991"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0.762</w:t>
            </w:r>
          </w:p>
        </w:tc>
      </w:tr>
      <w:tr w:rsidR="00C2474C" w:rsidRPr="00A21DA6" w14:paraId="33FA1509" w14:textId="77777777">
        <w:trPr>
          <w:trHeight w:val="304"/>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4D9C8FF9"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Platelet count (10</w:t>
            </w:r>
            <w:r w:rsidRPr="00A21DA6">
              <w:rPr>
                <w:rFonts w:ascii="Times New Roman" w:eastAsia="SimSun" w:hAnsi="Times New Roman" w:cs="Times New Roman"/>
                <w:color w:val="000000"/>
                <w:kern w:val="0"/>
                <w:sz w:val="24"/>
                <w:vertAlign w:val="superscript"/>
              </w:rPr>
              <w:t>9</w:t>
            </w:r>
            <w:r w:rsidRPr="00A21DA6">
              <w:rPr>
                <w:rFonts w:ascii="Times New Roman" w:eastAsia="SimSun" w:hAnsi="Times New Roman" w:cs="Times New Roman"/>
                <w:color w:val="000000"/>
                <w:kern w:val="0"/>
                <w:sz w:val="24"/>
              </w:rPr>
              <w:t xml:space="preserve">/L) </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0A4C319B"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90 (62-121)</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2817BB3C"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 xml:space="preserve">85 (60-122) </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3176C1EB"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0.881</w:t>
            </w:r>
          </w:p>
        </w:tc>
      </w:tr>
      <w:tr w:rsidR="00C2474C" w:rsidRPr="00A21DA6" w14:paraId="4E64946F"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1C05CABF"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 xml:space="preserve">INR </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253FB803"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2.11 (1.80-2.64)</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18830E87"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 xml:space="preserve">2.27 (1.90-2.77) </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76D116CC"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0.147</w:t>
            </w:r>
          </w:p>
        </w:tc>
      </w:tr>
      <w:tr w:rsidR="00C2474C" w:rsidRPr="00A21DA6" w14:paraId="4C0A5DA9"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039F37C6"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DIC score</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0E2B6B6B"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5 (4-6)</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32C49C19"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4 (4-5)</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3BA535B6"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0.710</w:t>
            </w:r>
          </w:p>
        </w:tc>
      </w:tr>
      <w:tr w:rsidR="00C2474C" w:rsidRPr="00A21DA6" w14:paraId="0C1E23F1"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44B7EE5E"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FIB (g/L)</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5F405B0C"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1.17 (0.8-1.5)</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42F1BF77"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1.41 (1.07-1.91)</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4F4B057B"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0.001</w:t>
            </w:r>
          </w:p>
        </w:tc>
      </w:tr>
      <w:tr w:rsidR="00C2474C" w:rsidRPr="00A21DA6" w14:paraId="5E92520E"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7B55895F"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DDI (</w:t>
            </w:r>
            <w:proofErr w:type="spellStart"/>
            <w:r w:rsidRPr="00A21DA6">
              <w:rPr>
                <w:rFonts w:ascii="Times New Roman" w:eastAsia="SimSun" w:hAnsi="Times New Roman" w:cs="Times New Roman"/>
                <w:kern w:val="0"/>
                <w:sz w:val="24"/>
              </w:rPr>
              <w:t>μg</w:t>
            </w:r>
            <w:proofErr w:type="spellEnd"/>
            <w:r w:rsidRPr="00A21DA6">
              <w:rPr>
                <w:rFonts w:ascii="Times New Roman" w:eastAsia="SimSun" w:hAnsi="Times New Roman" w:cs="Times New Roman"/>
                <w:kern w:val="0"/>
                <w:sz w:val="24"/>
              </w:rPr>
              <w:t>/ml)</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1B8403E4"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3.05 (1.42-4.92)</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3295F767"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2.13 (1.34-3.17)</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3E40FF63"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0.033</w:t>
            </w:r>
          </w:p>
        </w:tc>
      </w:tr>
      <w:tr w:rsidR="00C2474C" w:rsidRPr="00A21DA6" w14:paraId="21A748A7"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2E62BBCD"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FDPs (</w:t>
            </w:r>
            <w:proofErr w:type="spellStart"/>
            <w:r w:rsidRPr="00A21DA6">
              <w:rPr>
                <w:rFonts w:ascii="Times New Roman" w:eastAsia="SimSun" w:hAnsi="Times New Roman" w:cs="Times New Roman"/>
                <w:kern w:val="0"/>
                <w:sz w:val="24"/>
              </w:rPr>
              <w:t>μg</w:t>
            </w:r>
            <w:proofErr w:type="spellEnd"/>
            <w:r w:rsidRPr="00A21DA6">
              <w:rPr>
                <w:rFonts w:ascii="Times New Roman" w:eastAsia="SimSun" w:hAnsi="Times New Roman" w:cs="Times New Roman"/>
                <w:kern w:val="0"/>
                <w:sz w:val="24"/>
              </w:rPr>
              <w:t>/ml)</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1CCB83B6"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7.5 (3.6 -14.6)</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4688A799"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5.9 (3.5-12.4)</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03926131" w14:textId="77777777" w:rsidR="00C2474C" w:rsidRPr="00A21DA6" w:rsidRDefault="00235CBB">
            <w:pPr>
              <w:spacing w:after="160"/>
              <w:rPr>
                <w:rFonts w:ascii="Times New Roman" w:eastAsia="SimSun" w:hAnsi="Times New Roman" w:cs="Times New Roman"/>
                <w:kern w:val="0"/>
                <w:sz w:val="24"/>
              </w:rPr>
            </w:pPr>
            <w:r w:rsidRPr="00A21DA6">
              <w:rPr>
                <w:rFonts w:ascii="Times New Roman" w:eastAsia="SimSun" w:hAnsi="Times New Roman" w:cs="Times New Roman"/>
                <w:kern w:val="0"/>
                <w:sz w:val="24"/>
              </w:rPr>
              <w:t>0.191</w:t>
            </w:r>
          </w:p>
        </w:tc>
      </w:tr>
      <w:tr w:rsidR="00C2474C" w:rsidRPr="00A21DA6" w14:paraId="6F8F5144"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299AFCD2"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b/>
                <w:color w:val="000000"/>
                <w:kern w:val="0"/>
                <w:sz w:val="24"/>
              </w:rPr>
              <w:t>ACLF grade, % (no.)</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39E1C913" w14:textId="77777777" w:rsidR="00C2474C" w:rsidRPr="00A21DA6" w:rsidRDefault="00C2474C">
            <w:pPr>
              <w:spacing w:after="160"/>
              <w:rPr>
                <w:rFonts w:ascii="Times New Roman" w:eastAsia="SimSun" w:hAnsi="Times New Roman" w:cs="Times New Roman"/>
                <w:color w:val="000000"/>
                <w:kern w:val="0"/>
                <w:sz w:val="24"/>
              </w:rPr>
            </w:pP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25EBAE01" w14:textId="77777777" w:rsidR="00C2474C" w:rsidRPr="00A21DA6" w:rsidRDefault="00C2474C">
            <w:pPr>
              <w:spacing w:after="160"/>
              <w:rPr>
                <w:rFonts w:ascii="Times New Roman" w:eastAsia="SimSun" w:hAnsi="Times New Roman" w:cs="Times New Roman"/>
                <w:color w:val="000000"/>
                <w:kern w:val="0"/>
                <w:sz w:val="24"/>
              </w:rPr>
            </w:pP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5D7F1682"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0.851</w:t>
            </w:r>
          </w:p>
        </w:tc>
      </w:tr>
      <w:tr w:rsidR="00C2474C" w:rsidRPr="00A21DA6" w14:paraId="699CB277" w14:textId="77777777">
        <w:trPr>
          <w:trHeight w:val="90"/>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682D87F3" w14:textId="77777777" w:rsidR="00C2474C" w:rsidRPr="00A21DA6" w:rsidRDefault="00235CBB">
            <w:pPr>
              <w:spacing w:after="160"/>
              <w:ind w:firstLineChars="200" w:firstLine="480"/>
              <w:rPr>
                <w:rFonts w:ascii="Times New Roman" w:eastAsia="FrutigerLTPro-Condensed" w:hAnsi="Times New Roman" w:cs="Times New Roman"/>
                <w:color w:val="000000"/>
                <w:kern w:val="0"/>
                <w:sz w:val="24"/>
              </w:rPr>
            </w:pPr>
            <w:r w:rsidRPr="00A21DA6">
              <w:rPr>
                <w:rFonts w:ascii="Times New Roman" w:eastAsia="FrutigerLTPro-Condensed" w:hAnsi="Times New Roman" w:cs="Times New Roman"/>
                <w:color w:val="000000"/>
                <w:kern w:val="0"/>
                <w:sz w:val="24"/>
              </w:rPr>
              <w:t>0</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35C564FF"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12.9 (21)</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70C05DCE"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17.1 (14)</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1EDB9981"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6FB2F5E7"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3B777FCF" w14:textId="77777777" w:rsidR="00C2474C" w:rsidRPr="00A21DA6" w:rsidRDefault="00235CBB">
            <w:pPr>
              <w:spacing w:after="160"/>
              <w:ind w:firstLineChars="200" w:firstLine="480"/>
              <w:rPr>
                <w:rFonts w:ascii="Times New Roman" w:eastAsia="SimSun" w:hAnsi="Times New Roman" w:cs="Times New Roman"/>
                <w:b/>
                <w:color w:val="000000"/>
                <w:kern w:val="0"/>
                <w:sz w:val="24"/>
              </w:rPr>
            </w:pPr>
            <w:r w:rsidRPr="00A21DA6">
              <w:rPr>
                <w:rFonts w:ascii="Times New Roman" w:eastAsia="SimSun" w:hAnsi="Times New Roman" w:cs="Times New Roman"/>
                <w:color w:val="000000"/>
                <w:kern w:val="0"/>
                <w:sz w:val="24"/>
              </w:rPr>
              <w:t>1</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726EF659"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52.1 (85)</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25ED9F7B"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51.2 (42)</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280C01EF"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1BE744C4"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3F909515" w14:textId="77777777" w:rsidR="00C2474C" w:rsidRPr="00A21DA6" w:rsidRDefault="00235CBB">
            <w:pPr>
              <w:spacing w:after="160"/>
              <w:ind w:firstLineChars="200" w:firstLine="48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2</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28B40B57"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28.8 (47)</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1E23D1BD"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29.3 (24)</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5F31FDED"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7E1B4CE7"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1245DA9D" w14:textId="77777777" w:rsidR="00C2474C" w:rsidRPr="00A21DA6" w:rsidRDefault="00235CBB">
            <w:pPr>
              <w:spacing w:after="160"/>
              <w:ind w:firstLineChars="200" w:firstLine="48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3</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1CE0707C"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6.1 (10)</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69480868"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4.9 (4)</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0B7762F0" w14:textId="77777777" w:rsidR="00C2474C" w:rsidRPr="00A21DA6" w:rsidRDefault="00C2474C">
            <w:pPr>
              <w:spacing w:after="160"/>
              <w:rPr>
                <w:rFonts w:ascii="Times New Roman" w:eastAsia="SimSun" w:hAnsi="Times New Roman" w:cs="Times New Roman"/>
                <w:color w:val="000000"/>
                <w:kern w:val="0"/>
                <w:sz w:val="24"/>
              </w:rPr>
            </w:pPr>
          </w:p>
        </w:tc>
      </w:tr>
      <w:tr w:rsidR="00C2474C" w:rsidRPr="00A21DA6" w14:paraId="02CA87FE" w14:textId="77777777">
        <w:trPr>
          <w:jc w:val="center"/>
        </w:trPr>
        <w:tc>
          <w:tcPr>
            <w:tcW w:w="3708" w:type="dxa"/>
            <w:tcBorders>
              <w:top w:val="dotted" w:sz="4" w:space="0" w:color="auto"/>
              <w:left w:val="dotted" w:sz="0" w:space="0" w:color="auto"/>
              <w:bottom w:val="dotted" w:sz="0" w:space="0" w:color="auto"/>
              <w:right w:val="dotted" w:sz="0" w:space="0" w:color="auto"/>
            </w:tcBorders>
            <w:shd w:val="clear" w:color="auto" w:fill="auto"/>
          </w:tcPr>
          <w:p w14:paraId="78623133" w14:textId="77777777" w:rsidR="00C2474C" w:rsidRPr="00A21DA6" w:rsidRDefault="00235CBB">
            <w:pPr>
              <w:spacing w:after="160"/>
              <w:ind w:firstLineChars="200" w:firstLine="482"/>
              <w:rPr>
                <w:rFonts w:ascii="Times New Roman" w:eastAsia="SimSun" w:hAnsi="Times New Roman" w:cs="Times New Roman"/>
                <w:color w:val="000000"/>
                <w:kern w:val="0"/>
                <w:sz w:val="24"/>
              </w:rPr>
            </w:pPr>
            <w:r w:rsidRPr="00A21DA6">
              <w:rPr>
                <w:rFonts w:ascii="Times New Roman" w:eastAsia="SimSun" w:hAnsi="Times New Roman" w:cs="Times New Roman"/>
                <w:b/>
                <w:bCs/>
                <w:color w:val="000000"/>
                <w:kern w:val="0"/>
                <w:sz w:val="24"/>
              </w:rPr>
              <w:lastRenderedPageBreak/>
              <w:t>28-day mortality</w:t>
            </w:r>
          </w:p>
        </w:tc>
        <w:tc>
          <w:tcPr>
            <w:tcW w:w="2193" w:type="dxa"/>
            <w:tcBorders>
              <w:top w:val="dotted" w:sz="4" w:space="0" w:color="auto"/>
              <w:left w:val="dotted" w:sz="0" w:space="0" w:color="auto"/>
              <w:bottom w:val="dotted" w:sz="0" w:space="0" w:color="auto"/>
              <w:right w:val="dotted" w:sz="0" w:space="0" w:color="auto"/>
            </w:tcBorders>
            <w:shd w:val="clear" w:color="auto" w:fill="auto"/>
          </w:tcPr>
          <w:p w14:paraId="6A067852"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35.0 (57)</w:t>
            </w:r>
          </w:p>
        </w:tc>
        <w:tc>
          <w:tcPr>
            <w:tcW w:w="2263" w:type="dxa"/>
            <w:tcBorders>
              <w:top w:val="dotted" w:sz="4" w:space="0" w:color="auto"/>
              <w:left w:val="dotted" w:sz="0" w:space="0" w:color="auto"/>
              <w:bottom w:val="dotted" w:sz="0" w:space="0" w:color="auto"/>
              <w:right w:val="dotted" w:sz="0" w:space="0" w:color="auto"/>
            </w:tcBorders>
            <w:shd w:val="clear" w:color="auto" w:fill="auto"/>
          </w:tcPr>
          <w:p w14:paraId="1542D94D"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19.5 (16)</w:t>
            </w:r>
          </w:p>
        </w:tc>
        <w:tc>
          <w:tcPr>
            <w:tcW w:w="1202" w:type="dxa"/>
            <w:tcBorders>
              <w:top w:val="dotted" w:sz="4" w:space="0" w:color="auto"/>
              <w:left w:val="dotted" w:sz="0" w:space="0" w:color="auto"/>
              <w:bottom w:val="dotted" w:sz="0" w:space="0" w:color="auto"/>
              <w:right w:val="dotted" w:sz="0" w:space="0" w:color="auto"/>
            </w:tcBorders>
            <w:shd w:val="clear" w:color="auto" w:fill="auto"/>
          </w:tcPr>
          <w:p w14:paraId="40972DF3"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0.0087</w:t>
            </w:r>
          </w:p>
        </w:tc>
      </w:tr>
      <w:tr w:rsidR="00C2474C" w:rsidRPr="00A21DA6" w14:paraId="24839A8B" w14:textId="77777777">
        <w:trPr>
          <w:jc w:val="center"/>
        </w:trPr>
        <w:tc>
          <w:tcPr>
            <w:tcW w:w="3708" w:type="dxa"/>
            <w:tcBorders>
              <w:top w:val="dotted" w:sz="4" w:space="0" w:color="auto"/>
              <w:left w:val="dotted" w:sz="0" w:space="0" w:color="auto"/>
              <w:bottom w:val="single" w:sz="4" w:space="0" w:color="auto"/>
              <w:right w:val="dotted" w:sz="0" w:space="0" w:color="auto"/>
            </w:tcBorders>
            <w:shd w:val="clear" w:color="auto" w:fill="auto"/>
          </w:tcPr>
          <w:p w14:paraId="2ECFBE0B" w14:textId="77777777" w:rsidR="00C2474C" w:rsidRPr="00A21DA6" w:rsidRDefault="00235CBB">
            <w:pPr>
              <w:spacing w:after="160"/>
              <w:ind w:firstLineChars="200" w:firstLine="482"/>
              <w:rPr>
                <w:rFonts w:ascii="Times New Roman" w:eastAsia="SimSun" w:hAnsi="Times New Roman" w:cs="Times New Roman"/>
                <w:color w:val="000000"/>
                <w:kern w:val="0"/>
                <w:sz w:val="24"/>
              </w:rPr>
            </w:pPr>
            <w:r w:rsidRPr="00A21DA6">
              <w:rPr>
                <w:rFonts w:ascii="Times New Roman" w:eastAsia="SimSun" w:hAnsi="Times New Roman" w:cs="Times New Roman"/>
                <w:b/>
                <w:bCs/>
                <w:color w:val="000000"/>
                <w:kern w:val="0"/>
                <w:sz w:val="24"/>
              </w:rPr>
              <w:t>90-day mortality</w:t>
            </w:r>
          </w:p>
        </w:tc>
        <w:tc>
          <w:tcPr>
            <w:tcW w:w="2193" w:type="dxa"/>
            <w:tcBorders>
              <w:top w:val="dotted" w:sz="4" w:space="0" w:color="auto"/>
              <w:left w:val="dotted" w:sz="0" w:space="0" w:color="auto"/>
              <w:bottom w:val="single" w:sz="4" w:space="0" w:color="auto"/>
              <w:right w:val="dotted" w:sz="0" w:space="0" w:color="auto"/>
            </w:tcBorders>
            <w:shd w:val="clear" w:color="auto" w:fill="auto"/>
          </w:tcPr>
          <w:p w14:paraId="72BA6A43"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44.8 (73)</w:t>
            </w:r>
          </w:p>
        </w:tc>
        <w:tc>
          <w:tcPr>
            <w:tcW w:w="2263" w:type="dxa"/>
            <w:tcBorders>
              <w:top w:val="dotted" w:sz="4" w:space="0" w:color="auto"/>
              <w:left w:val="dotted" w:sz="0" w:space="0" w:color="auto"/>
              <w:bottom w:val="single" w:sz="4" w:space="0" w:color="auto"/>
              <w:right w:val="dotted" w:sz="0" w:space="0" w:color="auto"/>
            </w:tcBorders>
            <w:shd w:val="clear" w:color="auto" w:fill="auto"/>
          </w:tcPr>
          <w:p w14:paraId="748B7B02"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42.7 (35)</w:t>
            </w:r>
          </w:p>
        </w:tc>
        <w:tc>
          <w:tcPr>
            <w:tcW w:w="1202" w:type="dxa"/>
            <w:tcBorders>
              <w:top w:val="dotted" w:sz="4" w:space="0" w:color="auto"/>
              <w:left w:val="dotted" w:sz="0" w:space="0" w:color="auto"/>
              <w:bottom w:val="single" w:sz="4" w:space="0" w:color="auto"/>
              <w:right w:val="dotted" w:sz="0" w:space="0" w:color="auto"/>
            </w:tcBorders>
            <w:shd w:val="clear" w:color="auto" w:fill="auto"/>
          </w:tcPr>
          <w:p w14:paraId="25FAE082" w14:textId="77777777" w:rsidR="00C2474C" w:rsidRPr="00A21DA6" w:rsidRDefault="00235CBB">
            <w:pPr>
              <w:spacing w:after="160"/>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0.0746</w:t>
            </w:r>
          </w:p>
        </w:tc>
      </w:tr>
    </w:tbl>
    <w:p w14:paraId="67CC8CA0" w14:textId="77777777" w:rsidR="00C2474C" w:rsidRPr="00A21DA6" w:rsidRDefault="00235CBB">
      <w:pPr>
        <w:spacing w:after="160"/>
        <w:rPr>
          <w:rFonts w:ascii="Times New Roman" w:eastAsia="SimSun" w:hAnsi="Times New Roman" w:cs="Times New Roman"/>
          <w:sz w:val="24"/>
        </w:rPr>
      </w:pPr>
      <w:r w:rsidRPr="00A21DA6">
        <w:rPr>
          <w:rFonts w:ascii="Times New Roman" w:eastAsia="SimSun" w:hAnsi="Times New Roman" w:cs="Times New Roman"/>
          <w:sz w:val="24"/>
        </w:rPr>
        <w:t>Abbreviations:</w:t>
      </w:r>
      <w:r w:rsidRPr="00A21DA6">
        <w:rPr>
          <w:rFonts w:ascii="Times New Roman" w:eastAsia="FrutigerLTPro-Condensed" w:hAnsi="Times New Roman" w:cs="Times New Roman"/>
          <w:sz w:val="24"/>
        </w:rPr>
        <w:t xml:space="preserve"> </w:t>
      </w:r>
      <w:r w:rsidRPr="00A21DA6">
        <w:rPr>
          <w:rFonts w:ascii="Times New Roman" w:eastAsia="SimSun" w:hAnsi="Times New Roman" w:cs="Times New Roman"/>
          <w:sz w:val="24"/>
        </w:rPr>
        <w:t>HBV, hepatitis B virus; INR, international normalized ratio; COSSH-ACLF, Chinese Group on the Study of Severe Hepatitis B-ACLF; GI, gastrointestinal; DIC, disseminated intravascular coagulation; FIB, fibrinogen; FDPs, fibrinogen degradation products; DDI, D-dimer.</w:t>
      </w:r>
    </w:p>
    <w:p w14:paraId="2D3BD6EE" w14:textId="77777777" w:rsidR="00C2474C" w:rsidRPr="00A21DA6" w:rsidRDefault="00235CBB">
      <w:pPr>
        <w:spacing w:after="160"/>
        <w:rPr>
          <w:rFonts w:ascii="Times New Roman" w:eastAsia="SimSun" w:hAnsi="Times New Roman" w:cs="Times New Roman"/>
          <w:sz w:val="24"/>
        </w:rPr>
      </w:pPr>
      <w:r w:rsidRPr="00A21DA6">
        <w:rPr>
          <w:rFonts w:ascii="Times New Roman" w:eastAsia="SimSun" w:hAnsi="Times New Roman" w:cs="Times New Roman"/>
          <w:sz w:val="24"/>
        </w:rPr>
        <w:t>Data are expressed as the median (interquartile range) or percent (number).</w:t>
      </w:r>
    </w:p>
    <w:p w14:paraId="6BB12527" w14:textId="77777777" w:rsidR="00C2474C" w:rsidRPr="00A21DA6" w:rsidRDefault="00C2474C">
      <w:pPr>
        <w:widowControl/>
        <w:jc w:val="left"/>
        <w:rPr>
          <w:rFonts w:ascii="Times New Roman" w:eastAsiaTheme="majorEastAsia" w:hAnsi="Times New Roman" w:cs="Times New Roman"/>
          <w:sz w:val="24"/>
        </w:rPr>
      </w:pPr>
    </w:p>
    <w:p w14:paraId="135D53CE" w14:textId="18D1F533" w:rsidR="00487D65" w:rsidRPr="00A21DA6" w:rsidRDefault="00235CBB">
      <w:pPr>
        <w:rPr>
          <w:rFonts w:ascii="Times New Roman" w:eastAsiaTheme="majorEastAsia" w:hAnsi="Times New Roman" w:cs="Times New Roman"/>
          <w:sz w:val="24"/>
        </w:rPr>
      </w:pPr>
      <w:r w:rsidRPr="00A21DA6">
        <w:rPr>
          <w:rFonts w:ascii="Times New Roman" w:eastAsia="SimSun" w:hAnsi="Times New Roman" w:cs="Times New Roman"/>
          <w:b/>
          <w:bCs/>
          <w:sz w:val="24"/>
        </w:rPr>
        <w:t>Table S</w:t>
      </w:r>
      <w:r w:rsidRPr="00A21DA6">
        <w:rPr>
          <w:rFonts w:ascii="Times New Roman" w:eastAsia="SimSun" w:hAnsi="Times New Roman" w:cs="Times New Roman" w:hint="eastAsia"/>
          <w:b/>
          <w:bCs/>
          <w:sz w:val="24"/>
        </w:rPr>
        <w:t>5</w:t>
      </w:r>
      <w:r w:rsidRPr="00A21DA6">
        <w:rPr>
          <w:rFonts w:ascii="Times New Roman" w:eastAsia="SimSun" w:hAnsi="Times New Roman" w:cs="Times New Roman"/>
          <w:b/>
          <w:bCs/>
          <w:sz w:val="24"/>
        </w:rPr>
        <w:t xml:space="preserve">. </w:t>
      </w:r>
      <w:r w:rsidRPr="00A21DA6">
        <w:rPr>
          <w:rFonts w:ascii="Times New Roman" w:eastAsiaTheme="majorEastAsia" w:hAnsi="Times New Roman" w:cs="Times New Roman"/>
          <w:sz w:val="24"/>
        </w:rPr>
        <w:t>Comparison of the predictive value of prognostic scoring systems for patients with HBV-ACLF in external validation cohort.</w:t>
      </w:r>
    </w:p>
    <w:tbl>
      <w:tblPr>
        <w:tblStyle w:val="TableGrid"/>
        <w:tblW w:w="9500"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0"/>
        <w:gridCol w:w="1932"/>
        <w:gridCol w:w="2063"/>
        <w:gridCol w:w="1500"/>
        <w:gridCol w:w="1875"/>
      </w:tblGrid>
      <w:tr w:rsidR="00C2474C" w:rsidRPr="00A21DA6" w14:paraId="5A6587E3" w14:textId="77777777">
        <w:trPr>
          <w:trHeight w:val="531"/>
        </w:trPr>
        <w:tc>
          <w:tcPr>
            <w:tcW w:w="2130" w:type="dxa"/>
            <w:tcBorders>
              <w:top w:val="single" w:sz="4" w:space="0" w:color="auto"/>
              <w:bottom w:val="nil"/>
            </w:tcBorders>
            <w:shd w:val="clear" w:color="auto" w:fill="FFFFFF"/>
          </w:tcPr>
          <w:p w14:paraId="29688CF1" w14:textId="77777777" w:rsidR="00C2474C" w:rsidRPr="00A21DA6" w:rsidRDefault="00C2474C">
            <w:pPr>
              <w:rPr>
                <w:rFonts w:ascii="Times New Roman" w:eastAsia="SimSun" w:hAnsi="Times New Roman" w:cs="Times New Roman"/>
                <w:color w:val="000000"/>
                <w:kern w:val="0"/>
                <w:sz w:val="24"/>
              </w:rPr>
            </w:pPr>
          </w:p>
        </w:tc>
        <w:tc>
          <w:tcPr>
            <w:tcW w:w="3995" w:type="dxa"/>
            <w:gridSpan w:val="2"/>
            <w:tcBorders>
              <w:top w:val="single" w:sz="4" w:space="0" w:color="auto"/>
              <w:bottom w:val="single" w:sz="4" w:space="0" w:color="auto"/>
            </w:tcBorders>
            <w:shd w:val="clear" w:color="auto" w:fill="FFFFFF"/>
          </w:tcPr>
          <w:p w14:paraId="2AF3B01A"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28-day</w:t>
            </w:r>
          </w:p>
        </w:tc>
        <w:tc>
          <w:tcPr>
            <w:tcW w:w="3375" w:type="dxa"/>
            <w:gridSpan w:val="2"/>
            <w:tcBorders>
              <w:top w:val="single" w:sz="4" w:space="0" w:color="auto"/>
              <w:bottom w:val="single" w:sz="4" w:space="0" w:color="auto"/>
            </w:tcBorders>
            <w:shd w:val="clear" w:color="auto" w:fill="FFFFFF"/>
          </w:tcPr>
          <w:p w14:paraId="61B791E9"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90-day</w:t>
            </w:r>
          </w:p>
        </w:tc>
      </w:tr>
      <w:tr w:rsidR="00C2474C" w:rsidRPr="00A21DA6" w14:paraId="72984B89" w14:textId="77777777">
        <w:trPr>
          <w:trHeight w:val="531"/>
        </w:trPr>
        <w:tc>
          <w:tcPr>
            <w:tcW w:w="2130" w:type="dxa"/>
            <w:tcBorders>
              <w:top w:val="nil"/>
              <w:bottom w:val="single" w:sz="4" w:space="0" w:color="auto"/>
            </w:tcBorders>
            <w:shd w:val="clear" w:color="auto" w:fill="FFFFFF"/>
          </w:tcPr>
          <w:p w14:paraId="041AED0E" w14:textId="77777777" w:rsidR="00C2474C" w:rsidRPr="00A21DA6" w:rsidRDefault="00C2474C">
            <w:pPr>
              <w:rPr>
                <w:rFonts w:ascii="Times New Roman" w:eastAsia="SimSun" w:hAnsi="Times New Roman" w:cs="Times New Roman"/>
                <w:color w:val="000000"/>
                <w:kern w:val="0"/>
                <w:sz w:val="24"/>
              </w:rPr>
            </w:pPr>
          </w:p>
        </w:tc>
        <w:tc>
          <w:tcPr>
            <w:tcW w:w="1932" w:type="dxa"/>
            <w:tcBorders>
              <w:top w:val="single" w:sz="4" w:space="0" w:color="auto"/>
              <w:bottom w:val="single" w:sz="4" w:space="0" w:color="auto"/>
            </w:tcBorders>
            <w:shd w:val="clear" w:color="auto" w:fill="FFFFFF"/>
          </w:tcPr>
          <w:p w14:paraId="1804E08B" w14:textId="77777777" w:rsidR="00C2474C" w:rsidRPr="00A21DA6" w:rsidRDefault="00235CBB">
            <w:pPr>
              <w:jc w:val="center"/>
              <w:rPr>
                <w:rFonts w:ascii="Times New Roman" w:eastAsia="SimSun" w:hAnsi="Times New Roman" w:cs="Times New Roman"/>
                <w:color w:val="000000"/>
                <w:kern w:val="0"/>
                <w:sz w:val="24"/>
              </w:rPr>
            </w:pPr>
            <w:proofErr w:type="spellStart"/>
            <w:r w:rsidRPr="00A21DA6">
              <w:rPr>
                <w:rFonts w:ascii="Times New Roman" w:eastAsia="SimSun" w:hAnsi="Times New Roman" w:cs="Times New Roman"/>
                <w:color w:val="000000"/>
                <w:kern w:val="0"/>
                <w:sz w:val="24"/>
              </w:rPr>
              <w:t>auROC</w:t>
            </w:r>
            <w:proofErr w:type="spellEnd"/>
          </w:p>
        </w:tc>
        <w:tc>
          <w:tcPr>
            <w:tcW w:w="2063" w:type="dxa"/>
            <w:tcBorders>
              <w:top w:val="single" w:sz="4" w:space="0" w:color="auto"/>
              <w:bottom w:val="single" w:sz="4" w:space="0" w:color="auto"/>
            </w:tcBorders>
            <w:shd w:val="clear" w:color="auto" w:fill="FFFFFF"/>
          </w:tcPr>
          <w:p w14:paraId="0E26FFA7"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P value</w:t>
            </w:r>
          </w:p>
        </w:tc>
        <w:tc>
          <w:tcPr>
            <w:tcW w:w="1500" w:type="dxa"/>
            <w:tcBorders>
              <w:top w:val="single" w:sz="4" w:space="0" w:color="auto"/>
              <w:bottom w:val="single" w:sz="4" w:space="0" w:color="auto"/>
            </w:tcBorders>
            <w:shd w:val="clear" w:color="auto" w:fill="FFFFFF"/>
          </w:tcPr>
          <w:p w14:paraId="092A6444" w14:textId="77777777" w:rsidR="00C2474C" w:rsidRPr="00A21DA6" w:rsidRDefault="00235CBB">
            <w:pPr>
              <w:jc w:val="center"/>
              <w:rPr>
                <w:rFonts w:ascii="Times New Roman" w:eastAsia="SimSun" w:hAnsi="Times New Roman" w:cs="Times New Roman"/>
                <w:color w:val="000000"/>
                <w:kern w:val="0"/>
                <w:sz w:val="24"/>
              </w:rPr>
            </w:pPr>
            <w:proofErr w:type="spellStart"/>
            <w:r w:rsidRPr="00A21DA6">
              <w:rPr>
                <w:rFonts w:ascii="Times New Roman" w:eastAsia="SimSun" w:hAnsi="Times New Roman" w:cs="Times New Roman"/>
                <w:color w:val="000000"/>
                <w:kern w:val="0"/>
                <w:sz w:val="24"/>
              </w:rPr>
              <w:t>auROC</w:t>
            </w:r>
            <w:proofErr w:type="spellEnd"/>
          </w:p>
        </w:tc>
        <w:tc>
          <w:tcPr>
            <w:tcW w:w="1875" w:type="dxa"/>
            <w:tcBorders>
              <w:top w:val="single" w:sz="4" w:space="0" w:color="auto"/>
              <w:bottom w:val="single" w:sz="4" w:space="0" w:color="auto"/>
            </w:tcBorders>
            <w:shd w:val="clear" w:color="auto" w:fill="FFFFFF"/>
          </w:tcPr>
          <w:p w14:paraId="3A5539D4"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P value</w:t>
            </w:r>
          </w:p>
        </w:tc>
      </w:tr>
      <w:tr w:rsidR="00C2474C" w:rsidRPr="00A21DA6" w14:paraId="5E3DAEDB" w14:textId="77777777">
        <w:tc>
          <w:tcPr>
            <w:tcW w:w="2130" w:type="dxa"/>
            <w:shd w:val="clear" w:color="auto" w:fill="FFFFFF"/>
          </w:tcPr>
          <w:p w14:paraId="5796B896"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CLIF-C OF-DICs</w:t>
            </w:r>
          </w:p>
        </w:tc>
        <w:tc>
          <w:tcPr>
            <w:tcW w:w="1932" w:type="dxa"/>
            <w:shd w:val="clear" w:color="auto" w:fill="FFFFFF"/>
            <w:vAlign w:val="bottom"/>
          </w:tcPr>
          <w:p w14:paraId="4C342909"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0.791</w:t>
            </w:r>
          </w:p>
        </w:tc>
        <w:tc>
          <w:tcPr>
            <w:tcW w:w="2063" w:type="dxa"/>
            <w:shd w:val="clear" w:color="auto" w:fill="FFFFFF"/>
          </w:tcPr>
          <w:p w14:paraId="0817103F" w14:textId="77777777" w:rsidR="00C2474C" w:rsidRPr="00A21DA6" w:rsidRDefault="00C2474C">
            <w:pPr>
              <w:jc w:val="center"/>
              <w:rPr>
                <w:rFonts w:ascii="Times New Roman" w:eastAsia="SimSun" w:hAnsi="Times New Roman" w:cs="Times New Roman"/>
                <w:color w:val="000000"/>
                <w:kern w:val="0"/>
                <w:sz w:val="24"/>
              </w:rPr>
            </w:pPr>
          </w:p>
        </w:tc>
        <w:tc>
          <w:tcPr>
            <w:tcW w:w="1500" w:type="dxa"/>
            <w:shd w:val="clear" w:color="auto" w:fill="FFFFFF"/>
            <w:vAlign w:val="bottom"/>
          </w:tcPr>
          <w:p w14:paraId="77D6E96B"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0.8</w:t>
            </w:r>
            <w:r w:rsidRPr="00A21DA6">
              <w:rPr>
                <w:rFonts w:ascii="Times New Roman" w:eastAsia="SimSun" w:hAnsi="Times New Roman" w:cs="Times New Roman" w:hint="eastAsia"/>
                <w:color w:val="000000"/>
                <w:kern w:val="0"/>
                <w:sz w:val="24"/>
              </w:rPr>
              <w:t>1</w:t>
            </w:r>
            <w:r w:rsidRPr="00A21DA6">
              <w:rPr>
                <w:rFonts w:ascii="Times New Roman" w:eastAsia="SimSun" w:hAnsi="Times New Roman" w:cs="Times New Roman"/>
                <w:color w:val="000000"/>
                <w:kern w:val="0"/>
                <w:sz w:val="24"/>
              </w:rPr>
              <w:t>2</w:t>
            </w:r>
          </w:p>
        </w:tc>
        <w:tc>
          <w:tcPr>
            <w:tcW w:w="1875" w:type="dxa"/>
            <w:shd w:val="clear" w:color="auto" w:fill="FFFFFF"/>
          </w:tcPr>
          <w:p w14:paraId="0AC5B858" w14:textId="77777777" w:rsidR="00C2474C" w:rsidRPr="00A21DA6" w:rsidRDefault="00C2474C">
            <w:pPr>
              <w:widowControl/>
              <w:jc w:val="center"/>
              <w:textAlignment w:val="bottom"/>
              <w:rPr>
                <w:rFonts w:ascii="Times New Roman" w:eastAsia="SimSun" w:hAnsi="Times New Roman" w:cs="Times New Roman"/>
                <w:color w:val="000000"/>
                <w:kern w:val="0"/>
                <w:sz w:val="24"/>
                <w:lang w:bidi="ar"/>
              </w:rPr>
            </w:pPr>
          </w:p>
        </w:tc>
      </w:tr>
      <w:tr w:rsidR="00C2474C" w:rsidRPr="00A21DA6" w14:paraId="000F2CA3" w14:textId="77777777">
        <w:tc>
          <w:tcPr>
            <w:tcW w:w="2130" w:type="dxa"/>
            <w:shd w:val="clear" w:color="auto" w:fill="FFFFFF"/>
          </w:tcPr>
          <w:p w14:paraId="7F69EBCF"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COSSH-ACLFs</w:t>
            </w:r>
          </w:p>
        </w:tc>
        <w:tc>
          <w:tcPr>
            <w:tcW w:w="1932" w:type="dxa"/>
            <w:shd w:val="clear" w:color="auto" w:fill="FFFFFF"/>
            <w:vAlign w:val="bottom"/>
          </w:tcPr>
          <w:p w14:paraId="1D8865C1"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0.804</w:t>
            </w:r>
          </w:p>
        </w:tc>
        <w:tc>
          <w:tcPr>
            <w:tcW w:w="2063" w:type="dxa"/>
            <w:shd w:val="clear" w:color="auto" w:fill="FFFFFF"/>
          </w:tcPr>
          <w:p w14:paraId="14B452D7" w14:textId="77777777" w:rsidR="00C2474C" w:rsidRPr="00A21DA6" w:rsidRDefault="00235CBB">
            <w:pPr>
              <w:widowControl/>
              <w:jc w:val="center"/>
              <w:textAlignment w:val="bottom"/>
              <w:rPr>
                <w:rFonts w:ascii="Times New Roman" w:eastAsia="SimSun" w:hAnsi="Times New Roman" w:cs="Times New Roman"/>
                <w:color w:val="000000" w:themeColor="text1"/>
                <w:kern w:val="0"/>
                <w:sz w:val="24"/>
                <w:lang w:bidi="ar"/>
              </w:rPr>
            </w:pPr>
            <w:r w:rsidRPr="00A21DA6">
              <w:rPr>
                <w:rFonts w:ascii="Times New Roman" w:eastAsia="SimSun" w:hAnsi="Times New Roman" w:cs="Times New Roman"/>
                <w:color w:val="000000" w:themeColor="text1"/>
                <w:kern w:val="0"/>
                <w:sz w:val="24"/>
                <w:lang w:bidi="ar"/>
              </w:rPr>
              <w:t>0.8535</w:t>
            </w:r>
          </w:p>
        </w:tc>
        <w:tc>
          <w:tcPr>
            <w:tcW w:w="1500" w:type="dxa"/>
            <w:shd w:val="clear" w:color="auto" w:fill="FFFFFF"/>
            <w:vAlign w:val="bottom"/>
          </w:tcPr>
          <w:p w14:paraId="64DABEA5"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0.797</w:t>
            </w:r>
          </w:p>
        </w:tc>
        <w:tc>
          <w:tcPr>
            <w:tcW w:w="1875" w:type="dxa"/>
            <w:shd w:val="clear" w:color="auto" w:fill="FFFFFF"/>
          </w:tcPr>
          <w:p w14:paraId="36D0B727" w14:textId="77777777" w:rsidR="00C2474C" w:rsidRPr="00A21DA6" w:rsidRDefault="00235CBB">
            <w:pPr>
              <w:widowControl/>
              <w:jc w:val="center"/>
              <w:textAlignment w:val="bottom"/>
              <w:rPr>
                <w:rFonts w:ascii="Times New Roman" w:eastAsia="SimSun" w:hAnsi="Times New Roman" w:cs="Times New Roman"/>
                <w:color w:val="000000" w:themeColor="text1"/>
                <w:kern w:val="0"/>
                <w:sz w:val="24"/>
                <w:lang w:bidi="ar"/>
              </w:rPr>
            </w:pPr>
            <w:r w:rsidRPr="00A21DA6">
              <w:rPr>
                <w:rFonts w:ascii="Times New Roman" w:eastAsia="SimSun" w:hAnsi="Times New Roman" w:cs="Times New Roman"/>
                <w:color w:val="000000" w:themeColor="text1"/>
                <w:kern w:val="0"/>
                <w:sz w:val="24"/>
                <w:lang w:bidi="ar"/>
              </w:rPr>
              <w:t>0.8099</w:t>
            </w:r>
          </w:p>
        </w:tc>
      </w:tr>
      <w:tr w:rsidR="00C2474C" w:rsidRPr="00A21DA6" w14:paraId="6CC351A5" w14:textId="77777777">
        <w:tc>
          <w:tcPr>
            <w:tcW w:w="2130" w:type="dxa"/>
            <w:shd w:val="clear" w:color="auto" w:fill="FFFFFF"/>
          </w:tcPr>
          <w:p w14:paraId="6130180B"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COSSH-ACLF IIs</w:t>
            </w:r>
          </w:p>
        </w:tc>
        <w:tc>
          <w:tcPr>
            <w:tcW w:w="1932" w:type="dxa"/>
            <w:shd w:val="clear" w:color="auto" w:fill="FFFFFF"/>
            <w:vAlign w:val="bottom"/>
          </w:tcPr>
          <w:p w14:paraId="0D174BFF"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0.845</w:t>
            </w:r>
          </w:p>
        </w:tc>
        <w:tc>
          <w:tcPr>
            <w:tcW w:w="2063" w:type="dxa"/>
            <w:shd w:val="clear" w:color="auto" w:fill="FFFFFF"/>
          </w:tcPr>
          <w:p w14:paraId="51CB2943" w14:textId="77777777" w:rsidR="00C2474C" w:rsidRPr="00A21DA6" w:rsidRDefault="00235CBB">
            <w:pPr>
              <w:jc w:val="center"/>
              <w:rPr>
                <w:rFonts w:ascii="Times New Roman" w:eastAsia="SimSun" w:hAnsi="Times New Roman" w:cs="Times New Roman"/>
                <w:color w:val="000000" w:themeColor="text1"/>
                <w:kern w:val="0"/>
                <w:sz w:val="24"/>
              </w:rPr>
            </w:pPr>
            <w:r w:rsidRPr="00A21DA6">
              <w:rPr>
                <w:rFonts w:ascii="Times New Roman" w:eastAsia="SimSun" w:hAnsi="Times New Roman" w:cs="Times New Roman"/>
                <w:color w:val="000000" w:themeColor="text1"/>
                <w:kern w:val="0"/>
                <w:sz w:val="24"/>
              </w:rPr>
              <w:t>0.1117</w:t>
            </w:r>
          </w:p>
        </w:tc>
        <w:tc>
          <w:tcPr>
            <w:tcW w:w="1500" w:type="dxa"/>
            <w:shd w:val="clear" w:color="auto" w:fill="FFFFFF"/>
            <w:vAlign w:val="bottom"/>
          </w:tcPr>
          <w:p w14:paraId="79FACEF2" w14:textId="77777777" w:rsidR="00C2474C" w:rsidRPr="00A21DA6" w:rsidRDefault="00235CBB">
            <w:pPr>
              <w:jc w:val="center"/>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0.790</w:t>
            </w:r>
          </w:p>
        </w:tc>
        <w:tc>
          <w:tcPr>
            <w:tcW w:w="1875" w:type="dxa"/>
            <w:shd w:val="clear" w:color="auto" w:fill="FFFFFF"/>
          </w:tcPr>
          <w:p w14:paraId="25E2116D" w14:textId="77777777" w:rsidR="00C2474C" w:rsidRPr="00A21DA6" w:rsidRDefault="00235CBB">
            <w:pPr>
              <w:jc w:val="center"/>
              <w:rPr>
                <w:rFonts w:ascii="Times New Roman" w:eastAsia="SimSun" w:hAnsi="Times New Roman" w:cs="Times New Roman"/>
                <w:color w:val="000000" w:themeColor="text1"/>
                <w:kern w:val="0"/>
                <w:sz w:val="24"/>
              </w:rPr>
            </w:pPr>
            <w:r w:rsidRPr="00A21DA6">
              <w:rPr>
                <w:rFonts w:ascii="Times New Roman" w:eastAsia="SimSun" w:hAnsi="Times New Roman" w:cs="Times New Roman"/>
                <w:color w:val="000000" w:themeColor="text1"/>
                <w:kern w:val="0"/>
                <w:sz w:val="24"/>
              </w:rPr>
              <w:t>0.9767</w:t>
            </w:r>
          </w:p>
        </w:tc>
      </w:tr>
      <w:tr w:rsidR="00C2474C" w:rsidRPr="00A21DA6" w14:paraId="1DC7A7AF" w14:textId="77777777">
        <w:tc>
          <w:tcPr>
            <w:tcW w:w="2130" w:type="dxa"/>
            <w:shd w:val="clear" w:color="auto" w:fill="FFFFFF"/>
          </w:tcPr>
          <w:p w14:paraId="1C2018FC"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CLIF-C ACLFs</w:t>
            </w:r>
          </w:p>
        </w:tc>
        <w:tc>
          <w:tcPr>
            <w:tcW w:w="1932" w:type="dxa"/>
            <w:shd w:val="clear" w:color="auto" w:fill="FFFFFF"/>
            <w:vAlign w:val="bottom"/>
          </w:tcPr>
          <w:p w14:paraId="166B40B5"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0.784</w:t>
            </w:r>
          </w:p>
        </w:tc>
        <w:tc>
          <w:tcPr>
            <w:tcW w:w="2063" w:type="dxa"/>
            <w:shd w:val="clear" w:color="auto" w:fill="FFFFFF"/>
          </w:tcPr>
          <w:p w14:paraId="2B9E2C55" w14:textId="77777777" w:rsidR="00C2474C" w:rsidRPr="00A21DA6" w:rsidRDefault="00235CBB">
            <w:pPr>
              <w:widowControl/>
              <w:jc w:val="center"/>
              <w:textAlignment w:val="bottom"/>
              <w:rPr>
                <w:rFonts w:ascii="Times New Roman" w:eastAsia="SimSun" w:hAnsi="Times New Roman" w:cs="Times New Roman"/>
                <w:color w:val="000000" w:themeColor="text1"/>
                <w:kern w:val="0"/>
                <w:sz w:val="24"/>
                <w:lang w:bidi="ar"/>
              </w:rPr>
            </w:pPr>
            <w:r w:rsidRPr="00A21DA6">
              <w:rPr>
                <w:rFonts w:ascii="Times New Roman" w:eastAsia="SimSun" w:hAnsi="Times New Roman" w:cs="Times New Roman"/>
                <w:color w:val="000000" w:themeColor="text1"/>
                <w:kern w:val="0"/>
                <w:sz w:val="24"/>
                <w:lang w:bidi="ar"/>
              </w:rPr>
              <w:t>0.8724</w:t>
            </w:r>
          </w:p>
        </w:tc>
        <w:tc>
          <w:tcPr>
            <w:tcW w:w="1500" w:type="dxa"/>
            <w:shd w:val="clear" w:color="auto" w:fill="FFFFFF"/>
            <w:vAlign w:val="bottom"/>
          </w:tcPr>
          <w:p w14:paraId="6E1784C7"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0.737</w:t>
            </w:r>
          </w:p>
        </w:tc>
        <w:tc>
          <w:tcPr>
            <w:tcW w:w="1875" w:type="dxa"/>
            <w:shd w:val="clear" w:color="auto" w:fill="FFFFFF"/>
          </w:tcPr>
          <w:p w14:paraId="174DC693" w14:textId="77777777" w:rsidR="00C2474C" w:rsidRPr="00A21DA6" w:rsidRDefault="00235CBB">
            <w:pPr>
              <w:widowControl/>
              <w:jc w:val="center"/>
              <w:textAlignment w:val="bottom"/>
              <w:rPr>
                <w:rFonts w:ascii="Times New Roman" w:eastAsia="SimSun" w:hAnsi="Times New Roman" w:cs="Times New Roman"/>
                <w:color w:val="000000" w:themeColor="text1"/>
                <w:kern w:val="0"/>
                <w:sz w:val="24"/>
                <w:lang w:bidi="ar"/>
              </w:rPr>
            </w:pPr>
            <w:r w:rsidRPr="00A21DA6">
              <w:rPr>
                <w:rFonts w:ascii="Times New Roman" w:eastAsia="SimSun" w:hAnsi="Times New Roman" w:cs="Times New Roman"/>
                <w:color w:val="000000" w:themeColor="text1"/>
                <w:kern w:val="0"/>
                <w:sz w:val="24"/>
                <w:lang w:bidi="ar"/>
              </w:rPr>
              <w:t>0.0787</w:t>
            </w:r>
          </w:p>
        </w:tc>
      </w:tr>
      <w:tr w:rsidR="00C2474C" w:rsidRPr="00A21DA6" w14:paraId="252533B2" w14:textId="77777777">
        <w:tc>
          <w:tcPr>
            <w:tcW w:w="2130" w:type="dxa"/>
            <w:shd w:val="clear" w:color="auto" w:fill="FFFFFF"/>
          </w:tcPr>
          <w:p w14:paraId="0F78937C"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CLIF-SOFA</w:t>
            </w:r>
          </w:p>
        </w:tc>
        <w:tc>
          <w:tcPr>
            <w:tcW w:w="1932" w:type="dxa"/>
            <w:shd w:val="clear" w:color="auto" w:fill="FFFFFF"/>
            <w:vAlign w:val="bottom"/>
          </w:tcPr>
          <w:p w14:paraId="1FBEA449"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0.744</w:t>
            </w:r>
          </w:p>
        </w:tc>
        <w:tc>
          <w:tcPr>
            <w:tcW w:w="2063" w:type="dxa"/>
            <w:shd w:val="clear" w:color="auto" w:fill="FFFFFF"/>
          </w:tcPr>
          <w:p w14:paraId="6FB14CBF" w14:textId="77777777" w:rsidR="00C2474C" w:rsidRPr="00A21DA6" w:rsidRDefault="00235CBB">
            <w:pPr>
              <w:widowControl/>
              <w:jc w:val="center"/>
              <w:textAlignment w:val="bottom"/>
              <w:rPr>
                <w:rFonts w:ascii="Times New Roman" w:eastAsia="SimSun" w:hAnsi="Times New Roman" w:cs="Times New Roman"/>
                <w:color w:val="000000" w:themeColor="text1"/>
                <w:kern w:val="0"/>
                <w:sz w:val="24"/>
                <w:lang w:bidi="ar"/>
              </w:rPr>
            </w:pPr>
            <w:r w:rsidRPr="00A21DA6">
              <w:rPr>
                <w:rFonts w:ascii="Times New Roman" w:eastAsia="SimSun" w:hAnsi="Times New Roman" w:cs="Times New Roman"/>
                <w:color w:val="000000" w:themeColor="text1"/>
                <w:kern w:val="0"/>
                <w:sz w:val="24"/>
                <w:lang w:bidi="ar"/>
              </w:rPr>
              <w:t>0.3914</w:t>
            </w:r>
          </w:p>
        </w:tc>
        <w:tc>
          <w:tcPr>
            <w:tcW w:w="1500" w:type="dxa"/>
            <w:shd w:val="clear" w:color="auto" w:fill="FFFFFF"/>
            <w:vAlign w:val="bottom"/>
          </w:tcPr>
          <w:p w14:paraId="7FDA3F7B"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0.741</w:t>
            </w:r>
          </w:p>
        </w:tc>
        <w:tc>
          <w:tcPr>
            <w:tcW w:w="1875" w:type="dxa"/>
            <w:shd w:val="clear" w:color="auto" w:fill="FFFFFF"/>
          </w:tcPr>
          <w:p w14:paraId="72C25AE0" w14:textId="77777777" w:rsidR="00C2474C" w:rsidRPr="00A21DA6" w:rsidRDefault="00235CBB">
            <w:pPr>
              <w:widowControl/>
              <w:jc w:val="center"/>
              <w:textAlignment w:val="bottom"/>
              <w:rPr>
                <w:rFonts w:ascii="Times New Roman" w:eastAsia="SimSun" w:hAnsi="Times New Roman" w:cs="Times New Roman"/>
                <w:color w:val="000000" w:themeColor="text1"/>
                <w:kern w:val="0"/>
                <w:sz w:val="24"/>
                <w:lang w:bidi="ar"/>
              </w:rPr>
            </w:pPr>
            <w:r w:rsidRPr="00A21DA6">
              <w:rPr>
                <w:rFonts w:ascii="Times New Roman" w:eastAsia="SimSun" w:hAnsi="Times New Roman" w:cs="Times New Roman"/>
                <w:color w:val="000000" w:themeColor="text1"/>
                <w:kern w:val="0"/>
                <w:sz w:val="24"/>
                <w:lang w:bidi="ar"/>
              </w:rPr>
              <w:t>0.1885</w:t>
            </w:r>
          </w:p>
        </w:tc>
      </w:tr>
      <w:tr w:rsidR="00C2474C" w:rsidRPr="00A21DA6" w14:paraId="7CA1780D" w14:textId="77777777">
        <w:tc>
          <w:tcPr>
            <w:tcW w:w="2130" w:type="dxa"/>
            <w:shd w:val="clear" w:color="auto" w:fill="FFFFFF"/>
          </w:tcPr>
          <w:p w14:paraId="1F3CF1EF"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CLIF-C OFs</w:t>
            </w:r>
          </w:p>
        </w:tc>
        <w:tc>
          <w:tcPr>
            <w:tcW w:w="1932" w:type="dxa"/>
            <w:shd w:val="clear" w:color="auto" w:fill="FFFFFF"/>
            <w:vAlign w:val="bottom"/>
          </w:tcPr>
          <w:p w14:paraId="001A0F22"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0.744</w:t>
            </w:r>
          </w:p>
        </w:tc>
        <w:tc>
          <w:tcPr>
            <w:tcW w:w="2063" w:type="dxa"/>
            <w:shd w:val="clear" w:color="auto" w:fill="FFFFFF"/>
          </w:tcPr>
          <w:p w14:paraId="02C32C66" w14:textId="77777777" w:rsidR="00C2474C" w:rsidRPr="00A21DA6" w:rsidRDefault="00235CBB">
            <w:pPr>
              <w:widowControl/>
              <w:jc w:val="center"/>
              <w:textAlignment w:val="bottom"/>
              <w:rPr>
                <w:rFonts w:ascii="Times New Roman" w:eastAsia="SimSun" w:hAnsi="Times New Roman" w:cs="Times New Roman"/>
                <w:color w:val="000000" w:themeColor="text1"/>
                <w:kern w:val="0"/>
                <w:sz w:val="24"/>
                <w:lang w:bidi="ar"/>
              </w:rPr>
            </w:pPr>
            <w:r w:rsidRPr="00A21DA6">
              <w:rPr>
                <w:rFonts w:ascii="Times New Roman" w:eastAsia="SimSun" w:hAnsi="Times New Roman" w:cs="Times New Roman"/>
                <w:color w:val="000000" w:themeColor="text1"/>
                <w:kern w:val="0"/>
                <w:sz w:val="24"/>
                <w:lang w:bidi="ar"/>
              </w:rPr>
              <w:t>0.1424</w:t>
            </w:r>
          </w:p>
        </w:tc>
        <w:tc>
          <w:tcPr>
            <w:tcW w:w="1500" w:type="dxa"/>
            <w:shd w:val="clear" w:color="auto" w:fill="FFFFFF"/>
            <w:vAlign w:val="bottom"/>
          </w:tcPr>
          <w:p w14:paraId="148AFC82"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0.767</w:t>
            </w:r>
          </w:p>
        </w:tc>
        <w:tc>
          <w:tcPr>
            <w:tcW w:w="1875" w:type="dxa"/>
            <w:shd w:val="clear" w:color="auto" w:fill="FFFFFF"/>
          </w:tcPr>
          <w:p w14:paraId="3305B299" w14:textId="77777777" w:rsidR="00C2474C" w:rsidRPr="00A21DA6" w:rsidRDefault="00235CBB">
            <w:pPr>
              <w:widowControl/>
              <w:jc w:val="center"/>
              <w:textAlignment w:val="bottom"/>
              <w:rPr>
                <w:rFonts w:ascii="Times New Roman" w:eastAsia="SimSun" w:hAnsi="Times New Roman" w:cs="Times New Roman"/>
                <w:color w:val="000000" w:themeColor="text1"/>
                <w:kern w:val="0"/>
                <w:sz w:val="24"/>
                <w:lang w:bidi="ar"/>
              </w:rPr>
            </w:pPr>
            <w:r w:rsidRPr="00A21DA6">
              <w:rPr>
                <w:rFonts w:ascii="Times New Roman" w:eastAsia="SimSun" w:hAnsi="Times New Roman" w:cs="Times New Roman"/>
                <w:color w:val="000000" w:themeColor="text1"/>
                <w:kern w:val="0"/>
                <w:sz w:val="24"/>
                <w:lang w:bidi="ar"/>
              </w:rPr>
              <w:t>0.1817</w:t>
            </w:r>
          </w:p>
        </w:tc>
      </w:tr>
      <w:tr w:rsidR="00C2474C" w:rsidRPr="00A21DA6" w14:paraId="17788C85" w14:textId="77777777">
        <w:tc>
          <w:tcPr>
            <w:tcW w:w="2130" w:type="dxa"/>
            <w:tcBorders>
              <w:bottom w:val="single" w:sz="4" w:space="0" w:color="auto"/>
            </w:tcBorders>
            <w:shd w:val="clear" w:color="auto" w:fill="FFFFFF"/>
          </w:tcPr>
          <w:p w14:paraId="59877276" w14:textId="77777777" w:rsidR="00C2474C" w:rsidRPr="00A21DA6" w:rsidRDefault="00235CBB">
            <w:pPr>
              <w:jc w:val="left"/>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MELD</w:t>
            </w:r>
          </w:p>
        </w:tc>
        <w:tc>
          <w:tcPr>
            <w:tcW w:w="1932" w:type="dxa"/>
            <w:tcBorders>
              <w:bottom w:val="single" w:sz="4" w:space="0" w:color="auto"/>
            </w:tcBorders>
            <w:shd w:val="clear" w:color="auto" w:fill="FFFFFF"/>
            <w:vAlign w:val="bottom"/>
          </w:tcPr>
          <w:p w14:paraId="3C3EF21B"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rPr>
              <w:t>0.804</w:t>
            </w:r>
          </w:p>
        </w:tc>
        <w:tc>
          <w:tcPr>
            <w:tcW w:w="2063" w:type="dxa"/>
            <w:tcBorders>
              <w:bottom w:val="single" w:sz="4" w:space="0" w:color="auto"/>
            </w:tcBorders>
            <w:shd w:val="clear" w:color="auto" w:fill="FFFFFF"/>
          </w:tcPr>
          <w:p w14:paraId="55DADC76" w14:textId="77777777" w:rsidR="00C2474C" w:rsidRPr="00A21DA6" w:rsidRDefault="00235CBB">
            <w:pPr>
              <w:widowControl/>
              <w:jc w:val="center"/>
              <w:textAlignment w:val="bottom"/>
              <w:rPr>
                <w:rFonts w:ascii="Times New Roman" w:eastAsia="SimSun" w:hAnsi="Times New Roman" w:cs="Times New Roman"/>
                <w:color w:val="000000" w:themeColor="text1"/>
                <w:kern w:val="0"/>
                <w:sz w:val="24"/>
                <w:lang w:bidi="ar"/>
              </w:rPr>
            </w:pPr>
            <w:r w:rsidRPr="00A21DA6">
              <w:rPr>
                <w:rFonts w:ascii="Times New Roman" w:eastAsia="SimSun" w:hAnsi="Times New Roman" w:cs="Times New Roman"/>
                <w:color w:val="000000" w:themeColor="text1"/>
                <w:kern w:val="0"/>
                <w:sz w:val="24"/>
                <w:lang w:bidi="ar"/>
              </w:rPr>
              <w:t>0.8333</w:t>
            </w:r>
          </w:p>
        </w:tc>
        <w:tc>
          <w:tcPr>
            <w:tcW w:w="1500" w:type="dxa"/>
            <w:tcBorders>
              <w:bottom w:val="single" w:sz="4" w:space="0" w:color="auto"/>
            </w:tcBorders>
            <w:shd w:val="clear" w:color="auto" w:fill="FFFFFF"/>
            <w:vAlign w:val="bottom"/>
          </w:tcPr>
          <w:p w14:paraId="48486EDD" w14:textId="77777777" w:rsidR="00C2474C" w:rsidRPr="00A21DA6" w:rsidRDefault="00235CBB">
            <w:pPr>
              <w:widowControl/>
              <w:jc w:val="center"/>
              <w:textAlignment w:val="bottom"/>
              <w:rPr>
                <w:rFonts w:ascii="Times New Roman" w:eastAsia="SimSun" w:hAnsi="Times New Roman" w:cs="Times New Roman"/>
                <w:color w:val="000000"/>
                <w:kern w:val="0"/>
                <w:sz w:val="24"/>
              </w:rPr>
            </w:pPr>
            <w:r w:rsidRPr="00A21DA6">
              <w:rPr>
                <w:rFonts w:ascii="Times New Roman" w:eastAsia="SimSun" w:hAnsi="Times New Roman" w:cs="Times New Roman"/>
                <w:color w:val="000000"/>
                <w:kern w:val="0"/>
                <w:sz w:val="24"/>
                <w:lang w:bidi="ar"/>
              </w:rPr>
              <w:t>0.774</w:t>
            </w:r>
          </w:p>
        </w:tc>
        <w:tc>
          <w:tcPr>
            <w:tcW w:w="1875" w:type="dxa"/>
            <w:tcBorders>
              <w:bottom w:val="single" w:sz="4" w:space="0" w:color="auto"/>
            </w:tcBorders>
            <w:shd w:val="clear" w:color="auto" w:fill="FFFFFF"/>
          </w:tcPr>
          <w:p w14:paraId="1DD1DF84" w14:textId="77777777" w:rsidR="00C2474C" w:rsidRPr="00A21DA6" w:rsidRDefault="00235CBB">
            <w:pPr>
              <w:widowControl/>
              <w:jc w:val="center"/>
              <w:textAlignment w:val="bottom"/>
              <w:rPr>
                <w:rFonts w:ascii="Times New Roman" w:eastAsia="SimSun" w:hAnsi="Times New Roman" w:cs="Times New Roman"/>
                <w:color w:val="000000" w:themeColor="text1"/>
                <w:kern w:val="0"/>
                <w:sz w:val="24"/>
                <w:lang w:bidi="ar"/>
              </w:rPr>
            </w:pPr>
            <w:r w:rsidRPr="00A21DA6">
              <w:rPr>
                <w:rFonts w:ascii="Times New Roman" w:eastAsia="SimSun" w:hAnsi="Times New Roman" w:cs="Times New Roman"/>
                <w:color w:val="000000" w:themeColor="text1"/>
                <w:kern w:val="0"/>
                <w:sz w:val="24"/>
                <w:lang w:bidi="ar"/>
              </w:rPr>
              <w:t>0.4903</w:t>
            </w:r>
          </w:p>
        </w:tc>
      </w:tr>
    </w:tbl>
    <w:p w14:paraId="06B37B53" w14:textId="77777777" w:rsidR="00C2474C" w:rsidRPr="00A21DA6" w:rsidRDefault="00235CBB">
      <w:pPr>
        <w:jc w:val="left"/>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The P values represents the significance of difference between the </w:t>
      </w:r>
      <w:proofErr w:type="spellStart"/>
      <w:r w:rsidRPr="00A21DA6">
        <w:rPr>
          <w:rFonts w:ascii="Times New Roman" w:eastAsiaTheme="majorEastAsia" w:hAnsi="Times New Roman" w:cs="Times New Roman"/>
          <w:sz w:val="24"/>
        </w:rPr>
        <w:t>auROC</w:t>
      </w:r>
      <w:proofErr w:type="spellEnd"/>
      <w:r w:rsidRPr="00A21DA6">
        <w:rPr>
          <w:rFonts w:ascii="Times New Roman" w:eastAsiaTheme="majorEastAsia" w:hAnsi="Times New Roman" w:cs="Times New Roman"/>
          <w:sz w:val="24"/>
        </w:rPr>
        <w:t xml:space="preserve"> of CLIF C-OF-DICs and six other prognostic scoring models.</w:t>
      </w:r>
    </w:p>
    <w:p w14:paraId="2E8ECAB0" w14:textId="77777777" w:rsidR="00C2474C" w:rsidRPr="00A21DA6" w:rsidRDefault="00235CBB">
      <w:pPr>
        <w:jc w:val="left"/>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Abbreviations: </w:t>
      </w:r>
      <w:proofErr w:type="spellStart"/>
      <w:r w:rsidRPr="00A21DA6">
        <w:rPr>
          <w:rFonts w:ascii="Times New Roman" w:eastAsiaTheme="majorEastAsia" w:hAnsi="Times New Roman" w:cs="Times New Roman"/>
          <w:sz w:val="24"/>
        </w:rPr>
        <w:t>auROC</w:t>
      </w:r>
      <w:proofErr w:type="spellEnd"/>
      <w:r w:rsidRPr="00A21DA6">
        <w:rPr>
          <w:rFonts w:ascii="Times New Roman" w:eastAsiaTheme="majorEastAsia" w:hAnsi="Times New Roman" w:cs="Times New Roman"/>
          <w:sz w:val="24"/>
        </w:rPr>
        <w:t>, area under the receiver operating characteristic curve; ACLF, acute-on-chronic liver failure; DIC, disseminated intravascular coagulation. HBV, hepatitis B virus; CLIF-SOFA, chronic liver failure-sequential organ failure assessment; CLIF-C OF-DICs: a novel prognostic score based on age, DIC score, and CLIF-C OFs; COSSH-ACLFs, Chinese Group on the Study of Severe Hepatitis B-ACLF score; CLIF-C OFs, CLIF Consortium Organ Function score; COSSH-ACLF IIs: Chinese Group on the Study of Severe Hepatitis B-ACLF II score; CLIF-C ACLFs, CLIF Consortium ACLF score; MELD, Model for End-stage Liver Disease;</w:t>
      </w:r>
    </w:p>
    <w:p w14:paraId="370289DF" w14:textId="77777777" w:rsidR="00C2474C" w:rsidRPr="00A21DA6" w:rsidRDefault="00C2474C">
      <w:pPr>
        <w:rPr>
          <w:rFonts w:ascii="Times New Roman" w:eastAsiaTheme="majorEastAsia" w:hAnsi="Times New Roman" w:cs="Times New Roman"/>
          <w:sz w:val="24"/>
        </w:rPr>
      </w:pPr>
    </w:p>
    <w:p w14:paraId="776FF1DF" w14:textId="77777777" w:rsidR="00C2474C" w:rsidRPr="00A21DA6" w:rsidRDefault="00C2474C">
      <w:pPr>
        <w:rPr>
          <w:rFonts w:ascii="Times New Roman" w:eastAsiaTheme="majorEastAsia" w:hAnsi="Times New Roman" w:cs="Times New Roman"/>
          <w:sz w:val="24"/>
        </w:rPr>
      </w:pPr>
    </w:p>
    <w:p w14:paraId="1C9EEB41" w14:textId="77777777" w:rsidR="00C2474C" w:rsidRPr="00A21DA6" w:rsidRDefault="00235CBB">
      <w:pPr>
        <w:rPr>
          <w:rFonts w:ascii="Times New Roman" w:eastAsiaTheme="majorEastAsia" w:hAnsi="Times New Roman" w:cs="Times New Roman"/>
          <w:sz w:val="24"/>
        </w:rPr>
      </w:pPr>
      <w:r w:rsidRPr="00A21DA6">
        <w:rPr>
          <w:rFonts w:ascii="Times New Roman" w:hAnsi="Times New Roman" w:cs="Times New Roman"/>
          <w:b/>
          <w:sz w:val="24"/>
        </w:rPr>
        <w:t>References</w:t>
      </w:r>
    </w:p>
    <w:p w14:paraId="17B3DE2E" w14:textId="77777777"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Sarin SK, Choudhury A, Sharma MK, </w:t>
      </w:r>
      <w:proofErr w:type="spellStart"/>
      <w:r w:rsidRPr="00A21DA6">
        <w:rPr>
          <w:rFonts w:ascii="Times New Roman" w:eastAsiaTheme="majorEastAsia" w:hAnsi="Times New Roman" w:cs="Times New Roman"/>
          <w:sz w:val="24"/>
        </w:rPr>
        <w:t>Maiwall</w:t>
      </w:r>
      <w:proofErr w:type="spellEnd"/>
      <w:r w:rsidRPr="00A21DA6">
        <w:rPr>
          <w:rFonts w:ascii="Times New Roman" w:eastAsiaTheme="majorEastAsia" w:hAnsi="Times New Roman" w:cs="Times New Roman"/>
          <w:sz w:val="24"/>
        </w:rPr>
        <w:t xml:space="preserve"> R, Al Mahtab M, Rahman S, et al. Acute-on-chronic liver failure: consensus recommendations of the Asian Pacific association for the study of the liver (APASL): an update. </w:t>
      </w:r>
      <w:r w:rsidRPr="00A21DA6">
        <w:rPr>
          <w:rFonts w:ascii="Times New Roman" w:eastAsiaTheme="majorEastAsia" w:hAnsi="Times New Roman" w:cs="Times New Roman"/>
          <w:i/>
          <w:iCs/>
          <w:sz w:val="24"/>
        </w:rPr>
        <w:t>Hepatol Int.</w:t>
      </w:r>
      <w:r w:rsidRPr="00A21DA6">
        <w:rPr>
          <w:rFonts w:ascii="Times New Roman" w:eastAsiaTheme="majorEastAsia" w:hAnsi="Times New Roman" w:cs="Times New Roman"/>
          <w:sz w:val="24"/>
        </w:rPr>
        <w:t xml:space="preserve"> (2019) 13:353-390.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10.1007/s12072-019-09946-3</w:t>
      </w:r>
    </w:p>
    <w:p w14:paraId="6A5F3BB6" w14:textId="77777777"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Wu T, Li J, Shao L, Xin J, Jiang L, Zhou Q, et al. Development of diagnostic criteria and a prognostic score for hepatitis B virus-related acute-on-chronic liver failure. </w:t>
      </w:r>
      <w:r w:rsidRPr="00A21DA6">
        <w:rPr>
          <w:rFonts w:ascii="Times New Roman" w:eastAsiaTheme="majorEastAsia" w:hAnsi="Times New Roman" w:cs="Times New Roman"/>
          <w:i/>
          <w:iCs/>
          <w:sz w:val="24"/>
        </w:rPr>
        <w:t xml:space="preserve">Gut. </w:t>
      </w:r>
      <w:r w:rsidRPr="00A21DA6">
        <w:rPr>
          <w:rFonts w:ascii="Times New Roman" w:eastAsiaTheme="majorEastAsia" w:hAnsi="Times New Roman" w:cs="Times New Roman"/>
          <w:sz w:val="24"/>
        </w:rPr>
        <w:t xml:space="preserve">(2018) 67:2181-2191.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10.1136/gutjnl-2017-314641</w:t>
      </w:r>
    </w:p>
    <w:p w14:paraId="6282AD60" w14:textId="41DC079B"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Taylor FB, Jr., Toh CH, Hoots WK, Wada H, Levi M. Towards definition, clinical and laboratory criteria, and a scoring system for disseminated intravascular </w:t>
      </w:r>
      <w:r w:rsidRPr="00A21DA6">
        <w:rPr>
          <w:rFonts w:ascii="Times New Roman" w:eastAsiaTheme="majorEastAsia" w:hAnsi="Times New Roman" w:cs="Times New Roman"/>
          <w:sz w:val="24"/>
        </w:rPr>
        <w:lastRenderedPageBreak/>
        <w:t xml:space="preserve">coagulation. </w:t>
      </w:r>
      <w:proofErr w:type="spellStart"/>
      <w:r w:rsidRPr="00A21DA6">
        <w:rPr>
          <w:rFonts w:ascii="Times New Roman" w:eastAsiaTheme="majorEastAsia" w:hAnsi="Times New Roman" w:cs="Times New Roman"/>
          <w:i/>
          <w:iCs/>
          <w:sz w:val="24"/>
        </w:rPr>
        <w:t>Thromb</w:t>
      </w:r>
      <w:proofErr w:type="spellEnd"/>
      <w:r w:rsidRPr="00A21DA6">
        <w:rPr>
          <w:rFonts w:ascii="Times New Roman" w:eastAsiaTheme="majorEastAsia" w:hAnsi="Times New Roman" w:cs="Times New Roman"/>
          <w:i/>
          <w:iCs/>
          <w:sz w:val="24"/>
        </w:rPr>
        <w:t xml:space="preserve"> </w:t>
      </w:r>
      <w:proofErr w:type="spellStart"/>
      <w:r w:rsidRPr="00A21DA6">
        <w:rPr>
          <w:rFonts w:ascii="Times New Roman" w:eastAsiaTheme="majorEastAsia" w:hAnsi="Times New Roman" w:cs="Times New Roman"/>
          <w:i/>
          <w:iCs/>
          <w:sz w:val="24"/>
        </w:rPr>
        <w:t>Haemost</w:t>
      </w:r>
      <w:proofErr w:type="spellEnd"/>
      <w:r w:rsidRPr="00A21DA6">
        <w:rPr>
          <w:rFonts w:ascii="Times New Roman" w:eastAsiaTheme="majorEastAsia" w:hAnsi="Times New Roman" w:cs="Times New Roman"/>
          <w:i/>
          <w:iCs/>
          <w:sz w:val="24"/>
        </w:rPr>
        <w:t>.</w:t>
      </w:r>
      <w:r w:rsidRPr="00A21DA6">
        <w:rPr>
          <w:rFonts w:ascii="Times New Roman" w:eastAsiaTheme="majorEastAsia" w:hAnsi="Times New Roman" w:cs="Times New Roman"/>
          <w:sz w:val="24"/>
        </w:rPr>
        <w:t xml:space="preserve"> (2001) 86:1327-1330.</w:t>
      </w:r>
    </w:p>
    <w:p w14:paraId="311CA225" w14:textId="72E3F350" w:rsidR="008B24E5" w:rsidRPr="00A21DA6" w:rsidRDefault="008B24E5" w:rsidP="008B24E5">
      <w:pPr>
        <w:pStyle w:val="EndNoteBibliography"/>
        <w:numPr>
          <w:ilvl w:val="0"/>
          <w:numId w:val="3"/>
        </w:numPr>
        <w:rPr>
          <w:rFonts w:ascii="Times New Roman" w:eastAsiaTheme="majorEastAsia" w:hAnsi="Times New Roman" w:cs="Times New Roman"/>
          <w:sz w:val="24"/>
        </w:rPr>
      </w:pPr>
      <w:bookmarkStart w:id="3" w:name="_Hlk92706378"/>
      <w:r w:rsidRPr="00A21DA6">
        <w:rPr>
          <w:rFonts w:ascii="Times New Roman" w:eastAsiaTheme="majorEastAsia" w:hAnsi="Times New Roman" w:cs="Times New Roman"/>
          <w:sz w:val="24"/>
        </w:rPr>
        <w:t xml:space="preserve">Moreau R, Jalan R, Gines P, Pavesi M, Angeli P, Cordoba J, et al. Acute-on-chronic liver failure is a distinct syndrome that develops in patients with acute decompensation of cirrhosis. </w:t>
      </w:r>
      <w:r w:rsidRPr="00A21DA6">
        <w:rPr>
          <w:rFonts w:ascii="Times New Roman" w:eastAsiaTheme="majorEastAsia" w:hAnsi="Times New Roman" w:cs="Times New Roman"/>
          <w:i/>
          <w:iCs/>
          <w:sz w:val="24"/>
        </w:rPr>
        <w:t>Gastroenterology.</w:t>
      </w:r>
      <w:r w:rsidRPr="00A21DA6">
        <w:rPr>
          <w:rFonts w:ascii="Times New Roman" w:eastAsiaTheme="majorEastAsia" w:hAnsi="Times New Roman" w:cs="Times New Roman"/>
          <w:sz w:val="24"/>
        </w:rPr>
        <w:t xml:space="preserve"> (2013) 144:1426-1437, 1437.e1421-1429.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10.1053/j.gastro.2013.02.042</w:t>
      </w:r>
      <w:bookmarkEnd w:id="3"/>
    </w:p>
    <w:p w14:paraId="4A422A2B" w14:textId="0D23EE66"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Nahon P, Lescat M, </w:t>
      </w:r>
      <w:proofErr w:type="spellStart"/>
      <w:r w:rsidRPr="00A21DA6">
        <w:rPr>
          <w:rFonts w:ascii="Times New Roman" w:eastAsiaTheme="majorEastAsia" w:hAnsi="Times New Roman" w:cs="Times New Roman"/>
          <w:sz w:val="24"/>
        </w:rPr>
        <w:t>Layese</w:t>
      </w:r>
      <w:proofErr w:type="spellEnd"/>
      <w:r w:rsidRPr="00A21DA6">
        <w:rPr>
          <w:rFonts w:ascii="Times New Roman" w:eastAsiaTheme="majorEastAsia" w:hAnsi="Times New Roman" w:cs="Times New Roman"/>
          <w:sz w:val="24"/>
        </w:rPr>
        <w:t xml:space="preserve"> R, Bourcier V, </w:t>
      </w:r>
      <w:proofErr w:type="spellStart"/>
      <w:r w:rsidRPr="00A21DA6">
        <w:rPr>
          <w:rFonts w:ascii="Times New Roman" w:eastAsiaTheme="majorEastAsia" w:hAnsi="Times New Roman" w:cs="Times New Roman"/>
          <w:sz w:val="24"/>
        </w:rPr>
        <w:t>Talmat</w:t>
      </w:r>
      <w:proofErr w:type="spellEnd"/>
      <w:r w:rsidRPr="00A21DA6">
        <w:rPr>
          <w:rFonts w:ascii="Times New Roman" w:eastAsiaTheme="majorEastAsia" w:hAnsi="Times New Roman" w:cs="Times New Roman"/>
          <w:sz w:val="24"/>
        </w:rPr>
        <w:t xml:space="preserve"> N, Allam S, et al. Bacterial infection in compensated viral cirrhosis impairs 5-year survival (ANRS CO12 </w:t>
      </w:r>
      <w:proofErr w:type="spellStart"/>
      <w:r w:rsidRPr="00A21DA6">
        <w:rPr>
          <w:rFonts w:ascii="Times New Roman" w:eastAsiaTheme="majorEastAsia" w:hAnsi="Times New Roman" w:cs="Times New Roman"/>
          <w:sz w:val="24"/>
        </w:rPr>
        <w:t>CirVir</w:t>
      </w:r>
      <w:proofErr w:type="spellEnd"/>
      <w:r w:rsidRPr="00A21DA6">
        <w:rPr>
          <w:rFonts w:ascii="Times New Roman" w:eastAsiaTheme="majorEastAsia" w:hAnsi="Times New Roman" w:cs="Times New Roman"/>
          <w:sz w:val="24"/>
        </w:rPr>
        <w:t xml:space="preserve"> prospective cohort). </w:t>
      </w:r>
      <w:r w:rsidRPr="00A21DA6">
        <w:rPr>
          <w:rFonts w:ascii="Times New Roman" w:eastAsiaTheme="majorEastAsia" w:hAnsi="Times New Roman" w:cs="Times New Roman"/>
          <w:i/>
          <w:iCs/>
          <w:sz w:val="24"/>
        </w:rPr>
        <w:t>Gut.</w:t>
      </w:r>
      <w:r w:rsidRPr="00A21DA6">
        <w:rPr>
          <w:rFonts w:ascii="Times New Roman" w:eastAsiaTheme="majorEastAsia" w:hAnsi="Times New Roman" w:cs="Times New Roman"/>
          <w:sz w:val="24"/>
        </w:rPr>
        <w:t xml:space="preserve"> (2017) 66:330-341.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10.1136/gutjnl-2015-310275</w:t>
      </w:r>
    </w:p>
    <w:p w14:paraId="67589BD8" w14:textId="62F61B1F"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lang w:val="fr-FR"/>
        </w:rPr>
        <w:t xml:space="preserve">Foucher J, Chanteloup E, </w:t>
      </w:r>
      <w:proofErr w:type="spellStart"/>
      <w:r w:rsidRPr="00A21DA6">
        <w:rPr>
          <w:rFonts w:ascii="Times New Roman" w:eastAsiaTheme="majorEastAsia" w:hAnsi="Times New Roman" w:cs="Times New Roman"/>
          <w:sz w:val="24"/>
          <w:lang w:val="fr-FR"/>
        </w:rPr>
        <w:t>Vergniol</w:t>
      </w:r>
      <w:proofErr w:type="spellEnd"/>
      <w:r w:rsidRPr="00A21DA6">
        <w:rPr>
          <w:rFonts w:ascii="Times New Roman" w:eastAsiaTheme="majorEastAsia" w:hAnsi="Times New Roman" w:cs="Times New Roman"/>
          <w:sz w:val="24"/>
          <w:lang w:val="fr-FR"/>
        </w:rPr>
        <w:t xml:space="preserve"> J, </w:t>
      </w:r>
      <w:proofErr w:type="spellStart"/>
      <w:r w:rsidRPr="00A21DA6">
        <w:rPr>
          <w:rFonts w:ascii="Times New Roman" w:eastAsiaTheme="majorEastAsia" w:hAnsi="Times New Roman" w:cs="Times New Roman"/>
          <w:sz w:val="24"/>
          <w:lang w:val="fr-FR"/>
        </w:rPr>
        <w:t>Castéra</w:t>
      </w:r>
      <w:proofErr w:type="spellEnd"/>
      <w:r w:rsidRPr="00A21DA6">
        <w:rPr>
          <w:rFonts w:ascii="Times New Roman" w:eastAsiaTheme="majorEastAsia" w:hAnsi="Times New Roman" w:cs="Times New Roman"/>
          <w:sz w:val="24"/>
          <w:lang w:val="fr-FR"/>
        </w:rPr>
        <w:t xml:space="preserve"> L, Le Bail B, </w:t>
      </w:r>
      <w:proofErr w:type="spellStart"/>
      <w:r w:rsidRPr="00A21DA6">
        <w:rPr>
          <w:rFonts w:ascii="Times New Roman" w:eastAsiaTheme="majorEastAsia" w:hAnsi="Times New Roman" w:cs="Times New Roman"/>
          <w:sz w:val="24"/>
          <w:lang w:val="fr-FR"/>
        </w:rPr>
        <w:t>Adhoute</w:t>
      </w:r>
      <w:proofErr w:type="spellEnd"/>
      <w:r w:rsidRPr="00A21DA6">
        <w:rPr>
          <w:rFonts w:ascii="Times New Roman" w:eastAsiaTheme="majorEastAsia" w:hAnsi="Times New Roman" w:cs="Times New Roman"/>
          <w:sz w:val="24"/>
          <w:lang w:val="fr-FR"/>
        </w:rPr>
        <w:t xml:space="preserve"> X, et al. </w:t>
      </w:r>
      <w:r w:rsidRPr="00A21DA6">
        <w:rPr>
          <w:rFonts w:ascii="Times New Roman" w:eastAsiaTheme="majorEastAsia" w:hAnsi="Times New Roman" w:cs="Times New Roman"/>
          <w:sz w:val="24"/>
        </w:rPr>
        <w:t>Diagnosis of cirrhosis by transient elastography (</w:t>
      </w:r>
      <w:proofErr w:type="spellStart"/>
      <w:r w:rsidRPr="00A21DA6">
        <w:rPr>
          <w:rFonts w:ascii="Times New Roman" w:eastAsiaTheme="majorEastAsia" w:hAnsi="Times New Roman" w:cs="Times New Roman"/>
          <w:sz w:val="24"/>
        </w:rPr>
        <w:t>FibroScan</w:t>
      </w:r>
      <w:proofErr w:type="spellEnd"/>
      <w:r w:rsidRPr="00A21DA6">
        <w:rPr>
          <w:rFonts w:ascii="Times New Roman" w:eastAsiaTheme="majorEastAsia" w:hAnsi="Times New Roman" w:cs="Times New Roman"/>
          <w:sz w:val="24"/>
        </w:rPr>
        <w:t xml:space="preserve">): a prospective study. </w:t>
      </w:r>
      <w:r w:rsidRPr="00A21DA6">
        <w:rPr>
          <w:rFonts w:ascii="Times New Roman" w:eastAsiaTheme="majorEastAsia" w:hAnsi="Times New Roman" w:cs="Times New Roman"/>
          <w:i/>
          <w:iCs/>
          <w:sz w:val="24"/>
        </w:rPr>
        <w:t>Gut.</w:t>
      </w:r>
      <w:r w:rsidRPr="00A21DA6">
        <w:rPr>
          <w:rFonts w:ascii="Times New Roman" w:eastAsiaTheme="majorEastAsia" w:hAnsi="Times New Roman" w:cs="Times New Roman"/>
          <w:sz w:val="24"/>
        </w:rPr>
        <w:t xml:space="preserve"> (2006) 55:403-408.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10.1136/gut.2005.069153</w:t>
      </w:r>
    </w:p>
    <w:p w14:paraId="4D5FA0B5" w14:textId="31DE6FAE"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EASL Clinical Practice Guidelines for the management of patients with decompensated cirrhosis. </w:t>
      </w:r>
      <w:r w:rsidRPr="00A21DA6">
        <w:rPr>
          <w:rFonts w:ascii="Times New Roman" w:eastAsiaTheme="majorEastAsia" w:hAnsi="Times New Roman" w:cs="Times New Roman"/>
          <w:i/>
          <w:iCs/>
          <w:sz w:val="24"/>
        </w:rPr>
        <w:t>J Hepatol.</w:t>
      </w:r>
      <w:r w:rsidRPr="00A21DA6">
        <w:rPr>
          <w:rFonts w:ascii="Times New Roman" w:eastAsiaTheme="majorEastAsia" w:hAnsi="Times New Roman" w:cs="Times New Roman"/>
          <w:sz w:val="24"/>
        </w:rPr>
        <w:t xml:space="preserve"> (2018) 69:406-460.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10.1016/j.jhep.2019.01.037</w:t>
      </w:r>
    </w:p>
    <w:p w14:paraId="68A52787" w14:textId="746D5B6D" w:rsidR="00C2474C" w:rsidRPr="00A21DA6" w:rsidRDefault="00235CBB">
      <w:pPr>
        <w:pStyle w:val="EndNoteBibliography"/>
        <w:numPr>
          <w:ilvl w:val="0"/>
          <w:numId w:val="3"/>
        </w:numPr>
        <w:rPr>
          <w:rFonts w:ascii="Times New Roman" w:eastAsiaTheme="majorEastAsia" w:hAnsi="Times New Roman" w:cs="Times New Roman"/>
          <w:sz w:val="24"/>
        </w:rPr>
      </w:pPr>
      <w:proofErr w:type="spellStart"/>
      <w:r w:rsidRPr="00A21DA6">
        <w:rPr>
          <w:rFonts w:ascii="Times New Roman" w:eastAsiaTheme="majorEastAsia" w:hAnsi="Times New Roman" w:cs="Times New Roman"/>
          <w:sz w:val="24"/>
          <w:lang w:val="it-IT"/>
        </w:rPr>
        <w:t>Gustot</w:t>
      </w:r>
      <w:proofErr w:type="spellEnd"/>
      <w:r w:rsidRPr="00A21DA6">
        <w:rPr>
          <w:rFonts w:ascii="Times New Roman" w:eastAsiaTheme="majorEastAsia" w:hAnsi="Times New Roman" w:cs="Times New Roman"/>
          <w:sz w:val="24"/>
          <w:lang w:val="it-IT"/>
        </w:rPr>
        <w:t xml:space="preserve"> T, Fernandez J, Garcia E, Morando F, Caraceni P, Alessandria C, et al. </w:t>
      </w:r>
      <w:r w:rsidRPr="00A21DA6">
        <w:rPr>
          <w:rFonts w:ascii="Times New Roman" w:eastAsiaTheme="majorEastAsia" w:hAnsi="Times New Roman" w:cs="Times New Roman"/>
          <w:sz w:val="24"/>
        </w:rPr>
        <w:t xml:space="preserve">Clinical Course of acute-on-chronic liver failure syndrome and effects on prognosis. </w:t>
      </w:r>
      <w:r w:rsidRPr="00A21DA6">
        <w:rPr>
          <w:rFonts w:ascii="Times New Roman" w:eastAsiaTheme="majorEastAsia" w:hAnsi="Times New Roman" w:cs="Times New Roman"/>
          <w:i/>
          <w:iCs/>
          <w:sz w:val="24"/>
        </w:rPr>
        <w:t>Hepatology.</w:t>
      </w:r>
      <w:r w:rsidRPr="00A21DA6">
        <w:rPr>
          <w:rFonts w:ascii="Times New Roman" w:eastAsiaTheme="majorEastAsia" w:hAnsi="Times New Roman" w:cs="Times New Roman"/>
          <w:sz w:val="24"/>
        </w:rPr>
        <w:t xml:space="preserve"> (2015) 62:243-252.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10.1002/hep.27849</w:t>
      </w:r>
    </w:p>
    <w:p w14:paraId="22EA55D7" w14:textId="40EDA228"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Sarin SK, Kumar M, Lau GK, Abbas Z, Chan HL, Chen CJ, et al. Asian-Pacific clinical practice guidelines on the management of hepatitis B: a 2015 update. </w:t>
      </w:r>
      <w:r w:rsidRPr="00A21DA6">
        <w:rPr>
          <w:rFonts w:ascii="Times New Roman" w:eastAsiaTheme="majorEastAsia" w:hAnsi="Times New Roman" w:cs="Times New Roman"/>
          <w:i/>
          <w:iCs/>
          <w:sz w:val="24"/>
        </w:rPr>
        <w:t xml:space="preserve">Hepatol Int. </w:t>
      </w:r>
      <w:r w:rsidRPr="00A21DA6">
        <w:rPr>
          <w:rFonts w:ascii="Times New Roman" w:eastAsiaTheme="majorEastAsia" w:hAnsi="Times New Roman" w:cs="Times New Roman"/>
          <w:sz w:val="24"/>
        </w:rPr>
        <w:t xml:space="preserve">(2016) 10:1-98.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10.1007/s12072-015-9675-4</w:t>
      </w:r>
    </w:p>
    <w:p w14:paraId="12EBCCE2" w14:textId="51FEB545"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Kamath PS, Kim WR. The model for end-stage liver disease (MELD). </w:t>
      </w:r>
      <w:r w:rsidRPr="00A21DA6">
        <w:rPr>
          <w:rFonts w:ascii="Times New Roman" w:eastAsiaTheme="majorEastAsia" w:hAnsi="Times New Roman" w:cs="Times New Roman"/>
          <w:i/>
          <w:iCs/>
          <w:sz w:val="24"/>
        </w:rPr>
        <w:t>Hepatology.</w:t>
      </w:r>
      <w:r w:rsidRPr="00A21DA6">
        <w:rPr>
          <w:rFonts w:ascii="Times New Roman" w:eastAsiaTheme="majorEastAsia" w:hAnsi="Times New Roman" w:cs="Times New Roman"/>
          <w:sz w:val="24"/>
        </w:rPr>
        <w:t xml:space="preserve"> (2007) 45:797-805.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10.1002/hep.21563</w:t>
      </w:r>
    </w:p>
    <w:p w14:paraId="0C46D66E" w14:textId="7F1B279D"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Jalan R, Saliba F, Pavesi M, Amoros A, Moreau R, </w:t>
      </w:r>
      <w:proofErr w:type="spellStart"/>
      <w:r w:rsidRPr="00A21DA6">
        <w:rPr>
          <w:rFonts w:ascii="Times New Roman" w:eastAsiaTheme="majorEastAsia" w:hAnsi="Times New Roman" w:cs="Times New Roman"/>
          <w:sz w:val="24"/>
        </w:rPr>
        <w:t>Ginès</w:t>
      </w:r>
      <w:proofErr w:type="spellEnd"/>
      <w:r w:rsidRPr="00A21DA6">
        <w:rPr>
          <w:rFonts w:ascii="Times New Roman" w:eastAsiaTheme="majorEastAsia" w:hAnsi="Times New Roman" w:cs="Times New Roman"/>
          <w:sz w:val="24"/>
        </w:rPr>
        <w:t xml:space="preserve"> P, et al. Development and validation of a prognostic score to predict mortality in patients with acute-on-chronic liver failure. </w:t>
      </w:r>
      <w:r w:rsidRPr="00A21DA6">
        <w:rPr>
          <w:rFonts w:ascii="Times New Roman" w:eastAsiaTheme="majorEastAsia" w:hAnsi="Times New Roman" w:cs="Times New Roman"/>
          <w:i/>
          <w:iCs/>
          <w:sz w:val="24"/>
        </w:rPr>
        <w:t>J Hepatol.</w:t>
      </w:r>
      <w:r w:rsidRPr="00A21DA6">
        <w:rPr>
          <w:rFonts w:ascii="Times New Roman" w:eastAsiaTheme="majorEastAsia" w:hAnsi="Times New Roman" w:cs="Times New Roman"/>
          <w:sz w:val="24"/>
        </w:rPr>
        <w:t xml:space="preserve"> (2014) 61:1038-1047.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10.1016/j.jhep.2014.06.012</w:t>
      </w:r>
    </w:p>
    <w:p w14:paraId="149CE366" w14:textId="77777777"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Li J, Liang X, You S, Feng T, Zhou X, Zhu B, et al. Development and validation of a new prognostic score for hepatitis B virus-related acute-on-chronic liver failure. </w:t>
      </w:r>
      <w:r w:rsidRPr="00A21DA6">
        <w:rPr>
          <w:rFonts w:ascii="Times New Roman" w:eastAsiaTheme="majorEastAsia" w:hAnsi="Times New Roman" w:cs="Times New Roman"/>
          <w:i/>
          <w:iCs/>
          <w:sz w:val="24"/>
        </w:rPr>
        <w:t>J Hepatol.</w:t>
      </w:r>
      <w:r w:rsidRPr="00A21DA6">
        <w:rPr>
          <w:rFonts w:ascii="Times New Roman" w:eastAsiaTheme="majorEastAsia" w:hAnsi="Times New Roman" w:cs="Times New Roman"/>
          <w:sz w:val="24"/>
        </w:rPr>
        <w:t xml:space="preserve"> 2021.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10.1016/j.jhep.2021.05.026</w:t>
      </w:r>
    </w:p>
    <w:p w14:paraId="61CC84B0" w14:textId="77777777"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Moore KP, Wong F, Gines P, Bernardi M, Ochs A, Salerno F, et al. The management of ascites in cirrhosis: report on the consensus conference of the International Ascites Club. </w:t>
      </w:r>
      <w:r w:rsidRPr="00A21DA6">
        <w:rPr>
          <w:rFonts w:ascii="Times New Roman" w:eastAsiaTheme="majorEastAsia" w:hAnsi="Times New Roman" w:cs="Times New Roman"/>
          <w:i/>
          <w:iCs/>
          <w:sz w:val="24"/>
        </w:rPr>
        <w:t>Hepatology.</w:t>
      </w:r>
      <w:r w:rsidRPr="00A21DA6">
        <w:rPr>
          <w:rFonts w:ascii="Times New Roman" w:eastAsiaTheme="majorEastAsia" w:hAnsi="Times New Roman" w:cs="Times New Roman"/>
          <w:sz w:val="24"/>
        </w:rPr>
        <w:t xml:space="preserve"> (2003) 38:258-266.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10.1053/jhep.2003.50315</w:t>
      </w:r>
    </w:p>
    <w:p w14:paraId="7E0B3C76" w14:textId="77777777"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Vilstrup H, Amodio P, Bajaj J, Cordoba J, </w:t>
      </w:r>
      <w:proofErr w:type="spellStart"/>
      <w:r w:rsidRPr="00A21DA6">
        <w:rPr>
          <w:rFonts w:ascii="Times New Roman" w:eastAsiaTheme="majorEastAsia" w:hAnsi="Times New Roman" w:cs="Times New Roman"/>
          <w:sz w:val="24"/>
        </w:rPr>
        <w:t>Ferenci</w:t>
      </w:r>
      <w:proofErr w:type="spellEnd"/>
      <w:r w:rsidRPr="00A21DA6">
        <w:rPr>
          <w:rFonts w:ascii="Times New Roman" w:eastAsiaTheme="majorEastAsia" w:hAnsi="Times New Roman" w:cs="Times New Roman"/>
          <w:sz w:val="24"/>
        </w:rPr>
        <w:t xml:space="preserve"> P, Mullen KD, et al. Hepatic encephalopathy in chronic liver disease: 2014 Practice Guideline by the American Association for the Study of Liver Diseases and the European Association for the Study of the Liver. </w:t>
      </w:r>
      <w:r w:rsidRPr="00A21DA6">
        <w:rPr>
          <w:rFonts w:ascii="Times New Roman" w:eastAsiaTheme="majorEastAsia" w:hAnsi="Times New Roman" w:cs="Times New Roman"/>
          <w:i/>
          <w:iCs/>
          <w:sz w:val="24"/>
        </w:rPr>
        <w:t>Hepatology.</w:t>
      </w:r>
      <w:r w:rsidRPr="00A21DA6">
        <w:rPr>
          <w:rFonts w:ascii="Times New Roman" w:eastAsiaTheme="majorEastAsia" w:hAnsi="Times New Roman" w:cs="Times New Roman"/>
          <w:sz w:val="24"/>
        </w:rPr>
        <w:t xml:space="preserve"> (2014) 60:715-735.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10.1002/hep.27210</w:t>
      </w:r>
    </w:p>
    <w:p w14:paraId="101B639F" w14:textId="77777777"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EASL clinical practice guidelines on the management of ascites, spontaneous bacterial peritonitis, and hepatorenal syndrome in cirrhosis.</w:t>
      </w:r>
      <w:r w:rsidRPr="00A21DA6">
        <w:rPr>
          <w:rFonts w:ascii="Times New Roman" w:eastAsiaTheme="majorEastAsia" w:hAnsi="Times New Roman" w:cs="Times New Roman"/>
          <w:i/>
          <w:iCs/>
          <w:sz w:val="24"/>
        </w:rPr>
        <w:t xml:space="preserve"> J Hepatol.</w:t>
      </w:r>
      <w:r w:rsidRPr="00A21DA6">
        <w:rPr>
          <w:rFonts w:ascii="Times New Roman" w:eastAsiaTheme="majorEastAsia" w:hAnsi="Times New Roman" w:cs="Times New Roman"/>
          <w:sz w:val="24"/>
        </w:rPr>
        <w:t xml:space="preserve"> (2010) 53:397-417.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10.1016/j.jhep.2010.05.004</w:t>
      </w:r>
    </w:p>
    <w:p w14:paraId="05C97BD8" w14:textId="77777777"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Arroyo V, Jiménez W. Complications of cirrhosis. II. Renal and circulatory dysfunction. Lights and shadows in an important clinical problem. </w:t>
      </w:r>
      <w:r w:rsidRPr="00A21DA6">
        <w:rPr>
          <w:rFonts w:ascii="Times New Roman" w:eastAsiaTheme="majorEastAsia" w:hAnsi="Times New Roman" w:cs="Times New Roman"/>
          <w:i/>
          <w:iCs/>
          <w:sz w:val="24"/>
        </w:rPr>
        <w:t>J Hepatol.</w:t>
      </w:r>
      <w:r w:rsidRPr="00A21DA6">
        <w:rPr>
          <w:rFonts w:ascii="Times New Roman" w:eastAsiaTheme="majorEastAsia" w:hAnsi="Times New Roman" w:cs="Times New Roman"/>
          <w:sz w:val="24"/>
        </w:rPr>
        <w:t xml:space="preserve"> (2000) 32:157-170.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10.1016/s0168-8278(00)80423-7</w:t>
      </w:r>
    </w:p>
    <w:p w14:paraId="1DA0BFF9" w14:textId="77777777" w:rsidR="00C2474C" w:rsidRPr="00A21DA6" w:rsidRDefault="00235CBB">
      <w:pPr>
        <w:pStyle w:val="EndNoteBibliography"/>
        <w:numPr>
          <w:ilvl w:val="0"/>
          <w:numId w:val="3"/>
        </w:numPr>
        <w:rPr>
          <w:rFonts w:ascii="Times New Roman" w:eastAsiaTheme="majorEastAsia" w:hAnsi="Times New Roman" w:cs="Times New Roman"/>
          <w:sz w:val="24"/>
        </w:rPr>
      </w:pPr>
      <w:r w:rsidRPr="00A21DA6">
        <w:rPr>
          <w:rFonts w:ascii="Times New Roman" w:eastAsiaTheme="majorEastAsia" w:hAnsi="Times New Roman" w:cs="Times New Roman"/>
          <w:sz w:val="24"/>
        </w:rPr>
        <w:t xml:space="preserve">Garcia-Tsao G, Bosch J. Management of varices and variceal hemorrhage in </w:t>
      </w:r>
      <w:r w:rsidRPr="00A21DA6">
        <w:rPr>
          <w:rFonts w:ascii="Times New Roman" w:eastAsiaTheme="majorEastAsia" w:hAnsi="Times New Roman" w:cs="Times New Roman"/>
          <w:sz w:val="24"/>
        </w:rPr>
        <w:lastRenderedPageBreak/>
        <w:t xml:space="preserve">cirrhosis. </w:t>
      </w:r>
      <w:r w:rsidRPr="00A21DA6">
        <w:rPr>
          <w:rFonts w:ascii="Times New Roman" w:eastAsiaTheme="majorEastAsia" w:hAnsi="Times New Roman" w:cs="Times New Roman"/>
          <w:i/>
          <w:iCs/>
          <w:sz w:val="24"/>
        </w:rPr>
        <w:t>N Engl J Med.</w:t>
      </w:r>
      <w:r w:rsidRPr="00A21DA6">
        <w:rPr>
          <w:rFonts w:ascii="Times New Roman" w:eastAsiaTheme="majorEastAsia" w:hAnsi="Times New Roman" w:cs="Times New Roman"/>
          <w:sz w:val="24"/>
        </w:rPr>
        <w:t xml:space="preserve"> (2010) 362:823-832. </w:t>
      </w:r>
      <w:proofErr w:type="spellStart"/>
      <w:r w:rsidRPr="00A21DA6">
        <w:rPr>
          <w:rFonts w:ascii="Times New Roman" w:eastAsiaTheme="majorEastAsia" w:hAnsi="Times New Roman" w:cs="Times New Roman"/>
          <w:sz w:val="24"/>
        </w:rPr>
        <w:t>doi</w:t>
      </w:r>
      <w:proofErr w:type="spellEnd"/>
      <w:r w:rsidRPr="00A21DA6">
        <w:rPr>
          <w:rFonts w:ascii="Times New Roman" w:eastAsiaTheme="majorEastAsia" w:hAnsi="Times New Roman" w:cs="Times New Roman"/>
          <w:sz w:val="24"/>
        </w:rPr>
        <w:t>: 10.1056/NEJMra0901512</w:t>
      </w:r>
    </w:p>
    <w:p w14:paraId="3AF17745" w14:textId="77777777" w:rsidR="00C2474C" w:rsidRDefault="00C2474C">
      <w:pPr>
        <w:pStyle w:val="EndNoteBibliography"/>
        <w:rPr>
          <w:rFonts w:ascii="Times New Roman" w:hAnsi="Times New Roman" w:cs="Times New Roman"/>
          <w:sz w:val="24"/>
        </w:rPr>
      </w:pPr>
    </w:p>
    <w:p w14:paraId="5C79544D" w14:textId="77777777" w:rsidR="00C2474C" w:rsidRDefault="00C2474C">
      <w:pPr>
        <w:pStyle w:val="EndNoteBibliography"/>
        <w:rPr>
          <w:rFonts w:ascii="Times New Roman" w:hAnsi="Times New Roman" w:cs="Times New Roman"/>
          <w:sz w:val="24"/>
        </w:rPr>
      </w:pPr>
    </w:p>
    <w:sectPr w:rsidR="00C2474C" w:rsidSect="00A21DA6">
      <w:head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506C" w14:textId="77777777" w:rsidR="00C2591E" w:rsidRDefault="00C2591E" w:rsidP="00236ADE">
      <w:r>
        <w:separator/>
      </w:r>
    </w:p>
  </w:endnote>
  <w:endnote w:type="continuationSeparator" w:id="0">
    <w:p w14:paraId="1D3F4C91" w14:textId="77777777" w:rsidR="00C2591E" w:rsidRDefault="00C2591E" w:rsidP="0023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FrutigerLTPro-BoldCn">
    <w:altName w:val="Segoe Print"/>
    <w:charset w:val="00"/>
    <w:family w:val="auto"/>
    <w:pitch w:val="default"/>
  </w:font>
  <w:font w:name="FrutigerLTPro-Condensed">
    <w:altName w:val="SimSun"/>
    <w:charset w:val="86"/>
    <w:family w:val="swiss"/>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040F" w14:textId="77777777" w:rsidR="00C2591E" w:rsidRDefault="00C2591E" w:rsidP="00236ADE">
      <w:r>
        <w:separator/>
      </w:r>
    </w:p>
  </w:footnote>
  <w:footnote w:type="continuationSeparator" w:id="0">
    <w:p w14:paraId="51755EA7" w14:textId="77777777" w:rsidR="00C2591E" w:rsidRDefault="00C2591E" w:rsidP="0023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390410"/>
      <w:docPartObj>
        <w:docPartGallery w:val="Page Numbers (Top of Page)"/>
        <w:docPartUnique/>
      </w:docPartObj>
    </w:sdtPr>
    <w:sdtEndPr/>
    <w:sdtContent>
      <w:p w14:paraId="427CC33E" w14:textId="08FC89DD" w:rsidR="00236ADE" w:rsidRDefault="00236ADE">
        <w:pPr>
          <w:pStyle w:val="Header"/>
        </w:pPr>
        <w:r>
          <w:fldChar w:fldCharType="begin"/>
        </w:r>
        <w:r>
          <w:instrText>PAGE   \* MERGEFORMAT</w:instrText>
        </w:r>
        <w:r>
          <w:fldChar w:fldCharType="separate"/>
        </w:r>
        <w:r>
          <w:rPr>
            <w:lang w:val="zh-CN"/>
          </w:rPr>
          <w:t>2</w:t>
        </w:r>
        <w:r>
          <w:fldChar w:fldCharType="end"/>
        </w:r>
      </w:p>
    </w:sdtContent>
  </w:sdt>
  <w:p w14:paraId="1B42F2B0" w14:textId="77777777" w:rsidR="00236ADE" w:rsidRDefault="0023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91AD25"/>
    <w:multiLevelType w:val="singleLevel"/>
    <w:tmpl w:val="F991AD25"/>
    <w:lvl w:ilvl="0">
      <w:start w:val="1"/>
      <w:numFmt w:val="decimal"/>
      <w:suff w:val="space"/>
      <w:lvlText w:val="%1."/>
      <w:lvlJc w:val="left"/>
    </w:lvl>
  </w:abstractNum>
  <w:abstractNum w:abstractNumId="1" w15:restartNumberingAfterBreak="0">
    <w:nsid w:val="32345CB4"/>
    <w:multiLevelType w:val="singleLevel"/>
    <w:tmpl w:val="32345CB4"/>
    <w:lvl w:ilvl="0">
      <w:start w:val="1"/>
      <w:numFmt w:val="decimal"/>
      <w:suff w:val="space"/>
      <w:lvlText w:val="%1."/>
      <w:lvlJc w:val="left"/>
    </w:lvl>
  </w:abstractNum>
  <w:abstractNum w:abstractNumId="2" w15:restartNumberingAfterBreak="0">
    <w:nsid w:val="77F01711"/>
    <w:multiLevelType w:val="multilevel"/>
    <w:tmpl w:val="77F017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F232B"/>
    <w:rsid w:val="00056A0F"/>
    <w:rsid w:val="00073A40"/>
    <w:rsid w:val="000840AC"/>
    <w:rsid w:val="000E1005"/>
    <w:rsid w:val="001365E1"/>
    <w:rsid w:val="00173F7D"/>
    <w:rsid w:val="00173F8E"/>
    <w:rsid w:val="0018396F"/>
    <w:rsid w:val="0018592C"/>
    <w:rsid w:val="001E3FE2"/>
    <w:rsid w:val="001F2411"/>
    <w:rsid w:val="00205CB6"/>
    <w:rsid w:val="00235CBB"/>
    <w:rsid w:val="00236ADE"/>
    <w:rsid w:val="00250B5C"/>
    <w:rsid w:val="00266F78"/>
    <w:rsid w:val="002C25DF"/>
    <w:rsid w:val="002C2A19"/>
    <w:rsid w:val="00301B10"/>
    <w:rsid w:val="00320144"/>
    <w:rsid w:val="0032511F"/>
    <w:rsid w:val="00330D6D"/>
    <w:rsid w:val="00345F6E"/>
    <w:rsid w:val="00365AAC"/>
    <w:rsid w:val="00391BCE"/>
    <w:rsid w:val="003A102C"/>
    <w:rsid w:val="003A4765"/>
    <w:rsid w:val="003D057D"/>
    <w:rsid w:val="00444F02"/>
    <w:rsid w:val="00446BDE"/>
    <w:rsid w:val="00447581"/>
    <w:rsid w:val="00464FEA"/>
    <w:rsid w:val="00483411"/>
    <w:rsid w:val="00487D65"/>
    <w:rsid w:val="00495EEB"/>
    <w:rsid w:val="004C40D9"/>
    <w:rsid w:val="004C4240"/>
    <w:rsid w:val="0050210F"/>
    <w:rsid w:val="00507C00"/>
    <w:rsid w:val="00541418"/>
    <w:rsid w:val="005467B2"/>
    <w:rsid w:val="00573733"/>
    <w:rsid w:val="005744AC"/>
    <w:rsid w:val="00575AD5"/>
    <w:rsid w:val="0057737D"/>
    <w:rsid w:val="00595E03"/>
    <w:rsid w:val="005C0B5C"/>
    <w:rsid w:val="005C78B7"/>
    <w:rsid w:val="005F10CD"/>
    <w:rsid w:val="005F2D30"/>
    <w:rsid w:val="005F5BF1"/>
    <w:rsid w:val="005F6BEC"/>
    <w:rsid w:val="005F73A9"/>
    <w:rsid w:val="00616BC7"/>
    <w:rsid w:val="00643E67"/>
    <w:rsid w:val="00652760"/>
    <w:rsid w:val="00680933"/>
    <w:rsid w:val="00682FA0"/>
    <w:rsid w:val="006A1BE7"/>
    <w:rsid w:val="006C0C41"/>
    <w:rsid w:val="006D3F68"/>
    <w:rsid w:val="006F3981"/>
    <w:rsid w:val="007064BF"/>
    <w:rsid w:val="0071767F"/>
    <w:rsid w:val="00742D55"/>
    <w:rsid w:val="00750D1D"/>
    <w:rsid w:val="00772721"/>
    <w:rsid w:val="007734C5"/>
    <w:rsid w:val="0079027D"/>
    <w:rsid w:val="007E2FED"/>
    <w:rsid w:val="007F0CB5"/>
    <w:rsid w:val="00800AB4"/>
    <w:rsid w:val="00827490"/>
    <w:rsid w:val="008322AC"/>
    <w:rsid w:val="008B24E5"/>
    <w:rsid w:val="008B3E81"/>
    <w:rsid w:val="008C03F4"/>
    <w:rsid w:val="008C1C53"/>
    <w:rsid w:val="008D02FE"/>
    <w:rsid w:val="008F232B"/>
    <w:rsid w:val="008F7132"/>
    <w:rsid w:val="009231B4"/>
    <w:rsid w:val="00935D23"/>
    <w:rsid w:val="0096064C"/>
    <w:rsid w:val="00963921"/>
    <w:rsid w:val="009926B4"/>
    <w:rsid w:val="009A57BD"/>
    <w:rsid w:val="009C3D48"/>
    <w:rsid w:val="00A075B4"/>
    <w:rsid w:val="00A21DA6"/>
    <w:rsid w:val="00A47897"/>
    <w:rsid w:val="00A507FF"/>
    <w:rsid w:val="00A6057C"/>
    <w:rsid w:val="00A808C6"/>
    <w:rsid w:val="00A933E1"/>
    <w:rsid w:val="00AB189A"/>
    <w:rsid w:val="00AB5A16"/>
    <w:rsid w:val="00AD44DE"/>
    <w:rsid w:val="00AE6EED"/>
    <w:rsid w:val="00AF2734"/>
    <w:rsid w:val="00AF4B10"/>
    <w:rsid w:val="00B00E9A"/>
    <w:rsid w:val="00B11F55"/>
    <w:rsid w:val="00B672B1"/>
    <w:rsid w:val="00B86EDD"/>
    <w:rsid w:val="00BF0A0F"/>
    <w:rsid w:val="00C01E17"/>
    <w:rsid w:val="00C126AF"/>
    <w:rsid w:val="00C17E77"/>
    <w:rsid w:val="00C2474C"/>
    <w:rsid w:val="00C2591E"/>
    <w:rsid w:val="00C3763B"/>
    <w:rsid w:val="00C4180F"/>
    <w:rsid w:val="00C466C2"/>
    <w:rsid w:val="00C53B47"/>
    <w:rsid w:val="00C63A4A"/>
    <w:rsid w:val="00C656CC"/>
    <w:rsid w:val="00C80910"/>
    <w:rsid w:val="00C86D9E"/>
    <w:rsid w:val="00CB023F"/>
    <w:rsid w:val="00CB3818"/>
    <w:rsid w:val="00CC76A3"/>
    <w:rsid w:val="00CD3B12"/>
    <w:rsid w:val="00CD5D85"/>
    <w:rsid w:val="00CE696D"/>
    <w:rsid w:val="00CF015F"/>
    <w:rsid w:val="00D007FF"/>
    <w:rsid w:val="00D17796"/>
    <w:rsid w:val="00D22899"/>
    <w:rsid w:val="00D2302B"/>
    <w:rsid w:val="00D321CF"/>
    <w:rsid w:val="00D46F1E"/>
    <w:rsid w:val="00D67025"/>
    <w:rsid w:val="00DC2C2A"/>
    <w:rsid w:val="00DE0A21"/>
    <w:rsid w:val="00DE3619"/>
    <w:rsid w:val="00DE396F"/>
    <w:rsid w:val="00DF4BCC"/>
    <w:rsid w:val="00E033BB"/>
    <w:rsid w:val="00E13862"/>
    <w:rsid w:val="00E6405A"/>
    <w:rsid w:val="00E74FA9"/>
    <w:rsid w:val="00E80D03"/>
    <w:rsid w:val="00EA2F6D"/>
    <w:rsid w:val="00EB645E"/>
    <w:rsid w:val="00EF6435"/>
    <w:rsid w:val="00F06297"/>
    <w:rsid w:val="00F27CC2"/>
    <w:rsid w:val="00F31739"/>
    <w:rsid w:val="00F34921"/>
    <w:rsid w:val="00F37D93"/>
    <w:rsid w:val="00F5108C"/>
    <w:rsid w:val="00F87D36"/>
    <w:rsid w:val="00FB4752"/>
    <w:rsid w:val="00FC1394"/>
    <w:rsid w:val="00FD3E16"/>
    <w:rsid w:val="00FF57C0"/>
    <w:rsid w:val="0BCA09FE"/>
    <w:rsid w:val="11A56E9C"/>
    <w:rsid w:val="15134419"/>
    <w:rsid w:val="1A731F19"/>
    <w:rsid w:val="276206DE"/>
    <w:rsid w:val="28777F97"/>
    <w:rsid w:val="33C368BC"/>
    <w:rsid w:val="39EA331A"/>
    <w:rsid w:val="3EE12ED6"/>
    <w:rsid w:val="467A44F2"/>
    <w:rsid w:val="4A84454D"/>
    <w:rsid w:val="4B20349F"/>
    <w:rsid w:val="62220FCA"/>
    <w:rsid w:val="62FE2431"/>
    <w:rsid w:val="632C186F"/>
    <w:rsid w:val="673900C6"/>
    <w:rsid w:val="7A5E1689"/>
    <w:rsid w:val="7ECB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753F5"/>
  <w15:docId w15:val="{DFF18D0A-1A2F-4B1E-91B8-7845D98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customStyle="1" w:styleId="FooterChar">
    <w:name w:val="Footer Char"/>
    <w:basedOn w:val="DefaultParagraphFont"/>
    <w:link w:val="Footer"/>
    <w:qFormat/>
    <w:rPr>
      <w:sz w:val="18"/>
      <w:szCs w:val="18"/>
    </w:rPr>
  </w:style>
  <w:style w:type="character" w:customStyle="1" w:styleId="HeaderChar">
    <w:name w:val="Header Char"/>
    <w:basedOn w:val="DefaultParagraphFont"/>
    <w:link w:val="Header"/>
    <w:uiPriority w:val="99"/>
    <w:qFormat/>
    <w:rPr>
      <w:sz w:val="18"/>
      <w:szCs w:val="18"/>
    </w:rPr>
  </w:style>
  <w:style w:type="paragraph" w:customStyle="1" w:styleId="EndNoteBibliography">
    <w:name w:val="EndNote Bibliography"/>
    <w:basedOn w:val="Normal"/>
    <w:qFormat/>
    <w:rPr>
      <w:rFonts w:ascii="Calibri" w:hAnsi="Calibri" w:cs="Calibri"/>
      <w:sz w:val="20"/>
    </w:rPr>
  </w:style>
  <w:style w:type="paragraph" w:styleId="ListParagraph">
    <w:name w:val="List Paragraph"/>
    <w:basedOn w:val="Normal"/>
    <w:uiPriority w:val="99"/>
    <w:qFormat/>
    <w:pPr>
      <w:ind w:firstLineChars="200" w:firstLine="420"/>
    </w:pPr>
  </w:style>
  <w:style w:type="paragraph" w:customStyle="1" w:styleId="EndNoteBibliographyTitle">
    <w:name w:val="EndNote Bibliography Title"/>
    <w:basedOn w:val="Normal"/>
    <w:link w:val="EndNoteBibliographyTitle0"/>
    <w:qFormat/>
    <w:pPr>
      <w:jc w:val="center"/>
    </w:pPr>
    <w:rPr>
      <w:rFonts w:ascii="Calibri" w:hAnsi="Calibri" w:cs="Calibri"/>
      <w:sz w:val="20"/>
    </w:rPr>
  </w:style>
  <w:style w:type="character" w:customStyle="1" w:styleId="EndNoteBibliographyTitle0">
    <w:name w:val="EndNote Bibliography Title 字符"/>
    <w:basedOn w:val="DefaultParagraphFont"/>
    <w:link w:val="EndNoteBibliographyTitle"/>
    <w:qFormat/>
    <w:rPr>
      <w:rFonts w:ascii="Calibri" w:hAnsi="Calibri" w:cs="Calibri"/>
      <w:sz w:val="20"/>
      <w:szCs w:val="24"/>
    </w:rPr>
  </w:style>
  <w:style w:type="table" w:customStyle="1" w:styleId="1">
    <w:name w:val="网格型1"/>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PlaceholderText">
    <w:name w:val="Placeholder Text"/>
    <w:basedOn w:val="DefaultParagraphFont"/>
    <w:uiPriority w:val="99"/>
    <w:semiHidden/>
    <w:qFormat/>
    <w:rPr>
      <w:color w:val="808080"/>
    </w:rPr>
  </w:style>
  <w:style w:type="character" w:styleId="PageNumber">
    <w:name w:val="page number"/>
    <w:basedOn w:val="DefaultParagraphFont"/>
    <w:uiPriority w:val="99"/>
    <w:unhideWhenUsed/>
    <w:rsid w:val="00A47897"/>
  </w:style>
  <w:style w:type="character" w:styleId="LineNumber">
    <w:name w:val="line number"/>
    <w:basedOn w:val="DefaultParagraphFont"/>
    <w:uiPriority w:val="99"/>
    <w:semiHidden/>
    <w:unhideWhenUsed/>
    <w:rsid w:val="00A4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F6B5A-1799-4171-808D-D58D6FC2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3258</Words>
  <Characters>18577</Characters>
  <Application>Microsoft Office Word</Application>
  <DocSecurity>0</DocSecurity>
  <Lines>154</Lines>
  <Paragraphs>43</Paragraphs>
  <ScaleCrop>false</ScaleCrop>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佳佳</dc:creator>
  <cp:lastModifiedBy>Lara Stead</cp:lastModifiedBy>
  <cp:revision>9</cp:revision>
  <dcterms:created xsi:type="dcterms:W3CDTF">2022-01-07T16:08:00Z</dcterms:created>
  <dcterms:modified xsi:type="dcterms:W3CDTF">2022-01-18T11:59:00Z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605D90D80F0F4E5E9B583669C775F27E</vt:lpwstr>
  </property>
</Properties>
</file>