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Default="00654E8F" w:rsidP="0001436A">
      <w:pPr>
        <w:pStyle w:val="SupplementaryMaterial"/>
        <w:rPr>
          <w:color w:val="0D0D0D" w:themeColor="text1" w:themeTint="F2"/>
        </w:rPr>
      </w:pPr>
      <w:r w:rsidRPr="00C02A11">
        <w:rPr>
          <w:color w:val="0D0D0D" w:themeColor="text1" w:themeTint="F2"/>
        </w:rPr>
        <w:t>Supplementary Material</w:t>
      </w:r>
    </w:p>
    <w:p w:rsidR="00264EEE" w:rsidRDefault="00264EEE" w:rsidP="00264EEE">
      <w:pPr>
        <w:spacing w:before="60" w:after="60"/>
        <w:rPr>
          <w:color w:val="0D0D0D" w:themeColor="text1" w:themeTint="F2"/>
        </w:rPr>
      </w:pPr>
      <w:r>
        <w:rPr>
          <w:color w:val="0D0D0D" w:themeColor="text1" w:themeTint="F2"/>
        </w:rPr>
        <w:t>Higher photochemical quenching and better maintenance of CO</w:t>
      </w:r>
      <w:r w:rsidRPr="004E6CF7">
        <w:rPr>
          <w:color w:val="0D0D0D" w:themeColor="text1" w:themeTint="F2"/>
          <w:vertAlign w:val="subscript"/>
        </w:rPr>
        <w:t>2</w:t>
      </w:r>
      <w:r>
        <w:rPr>
          <w:color w:val="0D0D0D" w:themeColor="text1" w:themeTint="F2"/>
        </w:rPr>
        <w:t xml:space="preserve"> fixation are key traits for PUE in the wheat breeding line, RAC875.</w:t>
      </w:r>
    </w:p>
    <w:p w:rsidR="008E4458" w:rsidRPr="00963CF3" w:rsidRDefault="008E4458" w:rsidP="008E4458">
      <w:pPr>
        <w:widowControl w:val="0"/>
        <w:rPr>
          <w:color w:val="0D0D0D" w:themeColor="text1" w:themeTint="F2"/>
          <w:vertAlign w:val="superscript"/>
        </w:rPr>
      </w:pPr>
      <w:r w:rsidRPr="00963CF3">
        <w:rPr>
          <w:color w:val="0D0D0D" w:themeColor="text1" w:themeTint="F2"/>
        </w:rPr>
        <w:t>Van Lam Nguyen</w:t>
      </w:r>
      <w:r w:rsidRPr="00963CF3">
        <w:rPr>
          <w:color w:val="0D0D0D" w:themeColor="text1" w:themeTint="F2"/>
          <w:vertAlign w:val="superscript"/>
        </w:rPr>
        <w:t>1</w:t>
      </w:r>
      <w:r w:rsidRPr="00963CF3">
        <w:rPr>
          <w:color w:val="0D0D0D" w:themeColor="text1" w:themeTint="F2"/>
        </w:rPr>
        <w:t>, Lachlan Palmer</w:t>
      </w:r>
      <w:r w:rsidRPr="00963CF3">
        <w:rPr>
          <w:color w:val="0D0D0D" w:themeColor="text1" w:themeTint="F2"/>
          <w:vertAlign w:val="superscript"/>
        </w:rPr>
        <w:t>1</w:t>
      </w:r>
      <w:r w:rsidRPr="00963CF3">
        <w:rPr>
          <w:color w:val="0D0D0D" w:themeColor="text1" w:themeTint="F2"/>
        </w:rPr>
        <w:t xml:space="preserve"> and James Stangoulis</w:t>
      </w:r>
      <w:r w:rsidRPr="00963CF3">
        <w:rPr>
          <w:color w:val="0D0D0D" w:themeColor="text1" w:themeTint="F2"/>
          <w:vertAlign w:val="superscript"/>
        </w:rPr>
        <w:t>1*</w:t>
      </w:r>
    </w:p>
    <w:p w:rsidR="008E4458" w:rsidRPr="00963CF3" w:rsidRDefault="008E4458" w:rsidP="008E4458">
      <w:pPr>
        <w:widowControl w:val="0"/>
        <w:rPr>
          <w:b/>
          <w:color w:val="0D0D0D" w:themeColor="text1" w:themeTint="F2"/>
          <w:vertAlign w:val="superscript"/>
        </w:rPr>
      </w:pPr>
    </w:p>
    <w:p w:rsidR="008E4458" w:rsidRPr="00963CF3" w:rsidRDefault="008E4458" w:rsidP="008E4458">
      <w:pPr>
        <w:widowControl w:val="0"/>
        <w:rPr>
          <w:color w:val="0D0D0D" w:themeColor="text1" w:themeTint="F2"/>
        </w:rPr>
      </w:pPr>
      <w:r w:rsidRPr="00963CF3">
        <w:rPr>
          <w:color w:val="0D0D0D" w:themeColor="text1" w:themeTint="F2"/>
          <w:vertAlign w:val="superscript"/>
        </w:rPr>
        <w:t>1</w:t>
      </w:r>
      <w:r w:rsidRPr="00963CF3">
        <w:rPr>
          <w:color w:val="0D0D0D" w:themeColor="text1" w:themeTint="F2"/>
        </w:rPr>
        <w:t>College of Science and Engineering, Flinders University, Sturt Rd, Bedford Park SA 5042, Australia.</w:t>
      </w:r>
    </w:p>
    <w:p w:rsidR="008E4458" w:rsidRPr="00963CF3" w:rsidRDefault="008E4458" w:rsidP="008E4458">
      <w:pPr>
        <w:shd w:val="clear" w:color="auto" w:fill="FFFFFF"/>
        <w:textAlignment w:val="baseline"/>
        <w:rPr>
          <w:color w:val="0D0D0D" w:themeColor="text1" w:themeTint="F2"/>
        </w:rPr>
      </w:pPr>
    </w:p>
    <w:p w:rsidR="008E4458" w:rsidRPr="00963CF3" w:rsidRDefault="008E4458" w:rsidP="008E4458">
      <w:pPr>
        <w:widowControl w:val="0"/>
        <w:rPr>
          <w:b/>
          <w:color w:val="0D0D0D" w:themeColor="text1" w:themeTint="F2"/>
        </w:rPr>
      </w:pPr>
      <w:r w:rsidRPr="00963CF3">
        <w:rPr>
          <w:b/>
          <w:color w:val="0D0D0D" w:themeColor="text1" w:themeTint="F2"/>
          <w:vertAlign w:val="superscript"/>
        </w:rPr>
        <w:t>*</w:t>
      </w:r>
      <w:r w:rsidRPr="00963CF3">
        <w:rPr>
          <w:b/>
          <w:color w:val="0D0D0D" w:themeColor="text1" w:themeTint="F2"/>
        </w:rPr>
        <w:t xml:space="preserve">Correspondence: </w:t>
      </w:r>
    </w:p>
    <w:p w:rsidR="008E4458" w:rsidRPr="00963CF3" w:rsidRDefault="008E4458" w:rsidP="008E4458">
      <w:pPr>
        <w:widowControl w:val="0"/>
        <w:rPr>
          <w:color w:val="0D0D0D" w:themeColor="text1" w:themeTint="F2"/>
        </w:rPr>
      </w:pPr>
      <w:r w:rsidRPr="00963CF3">
        <w:rPr>
          <w:color w:val="0D0D0D" w:themeColor="text1" w:themeTint="F2"/>
        </w:rPr>
        <w:t>James Stangoulis</w:t>
      </w:r>
    </w:p>
    <w:p w:rsidR="008E4458" w:rsidRPr="00963CF3" w:rsidRDefault="008E4458" w:rsidP="008E4458">
      <w:pPr>
        <w:rPr>
          <w:rStyle w:val="Hyperlink"/>
          <w:color w:val="0D0D0D" w:themeColor="text1" w:themeTint="F2"/>
          <w:bdr w:val="none" w:sz="0" w:space="0" w:color="auto" w:frame="1"/>
        </w:rPr>
      </w:pPr>
      <w:r w:rsidRPr="00963CF3">
        <w:rPr>
          <w:color w:val="0D0D0D" w:themeColor="text1" w:themeTint="F2"/>
        </w:rPr>
        <w:t xml:space="preserve">Email: </w:t>
      </w:r>
      <w:r w:rsidRPr="00963CF3">
        <w:rPr>
          <w:rStyle w:val="Hyperlink"/>
          <w:color w:val="0D0D0D" w:themeColor="text1" w:themeTint="F2"/>
          <w:bdr w:val="none" w:sz="0" w:space="0" w:color="auto" w:frame="1"/>
        </w:rPr>
        <w:t>james.stangoulis@flinders.edu.au</w:t>
      </w:r>
    </w:p>
    <w:p w:rsidR="008E4458" w:rsidRPr="00963CF3" w:rsidRDefault="008E4458" w:rsidP="008E4458">
      <w:pPr>
        <w:widowControl w:val="0"/>
        <w:rPr>
          <w:color w:val="0D0D0D" w:themeColor="text1" w:themeTint="F2"/>
        </w:rPr>
      </w:pPr>
      <w:r w:rsidRPr="00963CF3">
        <w:rPr>
          <w:color w:val="0D0D0D" w:themeColor="text1" w:themeTint="F2"/>
        </w:rPr>
        <w:t xml:space="preserve">Postal address: </w:t>
      </w:r>
      <w:r w:rsidRPr="00963CF3">
        <w:rPr>
          <w:rStyle w:val="post-office-box"/>
          <w:color w:val="0D0D0D" w:themeColor="text1" w:themeTint="F2"/>
          <w:bdr w:val="none" w:sz="0" w:space="0" w:color="auto" w:frame="1"/>
        </w:rPr>
        <w:t>GPO Box 2100, Adelaide 5001, South Australia</w:t>
      </w:r>
    </w:p>
    <w:p w:rsidR="008E4458" w:rsidRPr="00963CF3" w:rsidRDefault="008E4458" w:rsidP="008E4458">
      <w:pPr>
        <w:spacing w:before="60" w:after="60"/>
        <w:rPr>
          <w:b/>
          <w:bCs/>
          <w:color w:val="0D0D0D" w:themeColor="text1" w:themeTint="F2"/>
        </w:rPr>
      </w:pPr>
    </w:p>
    <w:p w:rsidR="008E4458" w:rsidRDefault="008E4458" w:rsidP="008E4458">
      <w:pPr>
        <w:pStyle w:val="Title"/>
      </w:pPr>
    </w:p>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Default="008E4458" w:rsidP="008E4458"/>
    <w:p w:rsidR="008E4458" w:rsidRPr="008E4458" w:rsidRDefault="008E4458" w:rsidP="008E4458"/>
    <w:p w:rsidR="004E55DE" w:rsidRPr="00C02A11" w:rsidRDefault="00654E8F" w:rsidP="004E55DE">
      <w:pPr>
        <w:pStyle w:val="Heading1"/>
        <w:rPr>
          <w:color w:val="0D0D0D" w:themeColor="text1" w:themeTint="F2"/>
        </w:rPr>
      </w:pPr>
      <w:r w:rsidRPr="00C02A11">
        <w:rPr>
          <w:color w:val="0D0D0D" w:themeColor="text1" w:themeTint="F2"/>
        </w:rPr>
        <w:lastRenderedPageBreak/>
        <w:t xml:space="preserve">Supplementary </w:t>
      </w:r>
      <w:r w:rsidR="004E55DE" w:rsidRPr="00C02A11">
        <w:rPr>
          <w:color w:val="0D0D0D" w:themeColor="text1" w:themeTint="F2"/>
        </w:rPr>
        <w:t>figures</w:t>
      </w:r>
    </w:p>
    <w:p w:rsidR="004E55DE" w:rsidRPr="00C02A11" w:rsidRDefault="004E55DE" w:rsidP="004E55DE">
      <w:pPr>
        <w:spacing w:before="60" w:after="60"/>
        <w:jc w:val="center"/>
        <w:rPr>
          <w:noProof/>
          <w:color w:val="0D0D0D" w:themeColor="text1" w:themeTint="F2"/>
        </w:rPr>
      </w:pPr>
      <w:r w:rsidRPr="00C02A11">
        <w:rPr>
          <w:noProof/>
          <w:color w:val="0D0D0D" w:themeColor="text1" w:themeTint="F2"/>
        </w:rPr>
        <w:drawing>
          <wp:inline distT="0" distB="0" distL="0" distR="0">
            <wp:extent cx="3365500" cy="2525274"/>
            <wp:effectExtent l="0" t="0" r="0" b="2540"/>
            <wp:docPr id="3" name="Picture 3" descr="A picture containing plan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wall, indoor&#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79903" cy="2536081"/>
                    </a:xfrm>
                    <a:prstGeom prst="rect">
                      <a:avLst/>
                    </a:prstGeom>
                  </pic:spPr>
                </pic:pic>
              </a:graphicData>
            </a:graphic>
          </wp:inline>
        </w:drawing>
      </w:r>
    </w:p>
    <w:p w:rsidR="004E55DE" w:rsidRPr="00C02A11" w:rsidRDefault="004E55DE" w:rsidP="004E55DE">
      <w:pPr>
        <w:spacing w:before="60" w:after="60"/>
        <w:jc w:val="center"/>
        <w:rPr>
          <w:noProof/>
          <w:color w:val="0D0D0D" w:themeColor="text1" w:themeTint="F2"/>
        </w:rPr>
      </w:pPr>
    </w:p>
    <w:p w:rsidR="004E55DE" w:rsidRPr="00C02A11" w:rsidRDefault="004E55DE" w:rsidP="004E55DE">
      <w:pPr>
        <w:spacing w:before="60" w:after="60"/>
        <w:jc w:val="center"/>
        <w:rPr>
          <w:noProof/>
          <w:color w:val="0D0D0D" w:themeColor="text1" w:themeTint="F2"/>
        </w:rPr>
      </w:pPr>
      <w:r w:rsidRPr="00C02A11">
        <w:rPr>
          <w:b/>
          <w:bCs/>
          <w:noProof/>
          <w:color w:val="0D0D0D" w:themeColor="text1" w:themeTint="F2"/>
        </w:rPr>
        <w:t>Figure 1 S.</w:t>
      </w:r>
      <w:r w:rsidRPr="00C02A11">
        <w:rPr>
          <w:noProof/>
          <w:color w:val="0D0D0D" w:themeColor="text1" w:themeTint="F2"/>
        </w:rPr>
        <w:t xml:space="preserve"> Gas exchange measurement by LI-6800 portable photosynthesis system</w:t>
      </w:r>
    </w:p>
    <w:p w:rsidR="004E55DE" w:rsidRPr="00C02A11" w:rsidRDefault="004E55DE" w:rsidP="004E55DE">
      <w:pPr>
        <w:spacing w:before="60" w:after="60"/>
        <w:jc w:val="center"/>
        <w:rPr>
          <w:noProof/>
          <w:color w:val="0D0D0D" w:themeColor="text1" w:themeTint="F2"/>
        </w:rPr>
      </w:pPr>
    </w:p>
    <w:p w:rsidR="004E55DE" w:rsidRPr="00C02A11" w:rsidRDefault="004E55DE" w:rsidP="004E55DE">
      <w:pPr>
        <w:spacing w:before="60" w:after="60"/>
        <w:jc w:val="center"/>
        <w:rPr>
          <w:b/>
          <w:bCs/>
          <w:color w:val="0D0D0D" w:themeColor="text1" w:themeTint="F2"/>
        </w:rPr>
      </w:pPr>
      <w:r w:rsidRPr="00C02A11">
        <w:rPr>
          <w:b/>
          <w:bCs/>
          <w:noProof/>
          <w:color w:val="0D0D0D" w:themeColor="text1" w:themeTint="F2"/>
        </w:rPr>
        <w:drawing>
          <wp:inline distT="0" distB="0" distL="0" distR="0">
            <wp:extent cx="5289550" cy="3974215"/>
            <wp:effectExtent l="0" t="0" r="0" b="1270"/>
            <wp:docPr id="11" name="Picture 11" descr="A picture containing plant, indoor,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ant, indoor, arranged, several&#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1317" cy="3983056"/>
                    </a:xfrm>
                    <a:prstGeom prst="rect">
                      <a:avLst/>
                    </a:prstGeom>
                  </pic:spPr>
                </pic:pic>
              </a:graphicData>
            </a:graphic>
          </wp:inline>
        </w:drawing>
      </w:r>
    </w:p>
    <w:p w:rsidR="004E55DE" w:rsidRPr="00C02A11" w:rsidRDefault="004E55DE" w:rsidP="004E55DE">
      <w:pPr>
        <w:spacing w:before="60" w:after="60"/>
        <w:jc w:val="center"/>
        <w:rPr>
          <w:b/>
          <w:bCs/>
          <w:color w:val="0D0D0D" w:themeColor="text1" w:themeTint="F2"/>
        </w:rPr>
      </w:pPr>
    </w:p>
    <w:p w:rsidR="004E55DE" w:rsidRPr="00C02A11" w:rsidRDefault="004E55DE" w:rsidP="004E55DE">
      <w:pPr>
        <w:spacing w:before="60" w:after="60"/>
        <w:jc w:val="center"/>
        <w:rPr>
          <w:color w:val="0D0D0D" w:themeColor="text1" w:themeTint="F2"/>
        </w:rPr>
      </w:pPr>
      <w:r w:rsidRPr="00C02A11">
        <w:rPr>
          <w:b/>
          <w:bCs/>
          <w:color w:val="0D0D0D" w:themeColor="text1" w:themeTint="F2"/>
        </w:rPr>
        <w:t>Figure 2 S</w:t>
      </w:r>
      <w:r w:rsidRPr="00C02A11">
        <w:rPr>
          <w:color w:val="0D0D0D" w:themeColor="text1" w:themeTint="F2"/>
        </w:rPr>
        <w:t>. Plant growth at the vegetative stage (34 and 41 DAS). R: RAC875, W: Wyalkatchem, P10 and P30: P supply at 10 and 30 mg P/kgsoil.</w:t>
      </w:r>
    </w:p>
    <w:p w:rsidR="004E55DE" w:rsidRPr="00C02A11" w:rsidRDefault="004E55DE" w:rsidP="004E55DE">
      <w:pPr>
        <w:spacing w:before="60" w:after="60"/>
        <w:jc w:val="center"/>
        <w:rPr>
          <w:color w:val="0D0D0D" w:themeColor="text1" w:themeTint="F2"/>
        </w:rPr>
      </w:pPr>
    </w:p>
    <w:p w:rsidR="004E55DE" w:rsidRPr="00C02A11" w:rsidRDefault="004E55DE" w:rsidP="004E55DE">
      <w:pPr>
        <w:spacing w:before="60" w:after="60"/>
        <w:jc w:val="center"/>
        <w:rPr>
          <w:color w:val="0D0D0D" w:themeColor="text1" w:themeTint="F2"/>
        </w:rPr>
      </w:pPr>
    </w:p>
    <w:p w:rsidR="004E55DE" w:rsidRPr="00C02A11" w:rsidRDefault="004E55DE" w:rsidP="004E55DE">
      <w:pPr>
        <w:spacing w:before="60" w:after="60"/>
        <w:jc w:val="center"/>
        <w:rPr>
          <w:color w:val="0D0D0D" w:themeColor="text1" w:themeTint="F2"/>
        </w:rPr>
      </w:pPr>
      <w:r w:rsidRPr="00C02A11">
        <w:rPr>
          <w:noProof/>
          <w:color w:val="0D0D0D" w:themeColor="text1" w:themeTint="F2"/>
        </w:rPr>
        <w:drawing>
          <wp:inline distT="0" distB="0" distL="0" distR="0">
            <wp:extent cx="5731510" cy="2398395"/>
            <wp:effectExtent l="0" t="0" r="0" b="1905"/>
            <wp:docPr id="12" name="Picture 12" descr="A group of plants in p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lants in pots&#10;&#10;Description automatically generated with low confidenc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398395"/>
                    </a:xfrm>
                    <a:prstGeom prst="rect">
                      <a:avLst/>
                    </a:prstGeom>
                  </pic:spPr>
                </pic:pic>
              </a:graphicData>
            </a:graphic>
          </wp:inline>
        </w:drawing>
      </w:r>
    </w:p>
    <w:p w:rsidR="004E55DE" w:rsidRPr="00C02A11" w:rsidRDefault="004E55DE" w:rsidP="004E55DE">
      <w:pPr>
        <w:spacing w:before="60" w:after="60"/>
        <w:jc w:val="center"/>
        <w:rPr>
          <w:color w:val="0D0D0D" w:themeColor="text1" w:themeTint="F2"/>
        </w:rPr>
      </w:pPr>
      <w:r w:rsidRPr="00C02A11">
        <w:rPr>
          <w:b/>
          <w:bCs/>
          <w:color w:val="0D0D0D" w:themeColor="text1" w:themeTint="F2"/>
        </w:rPr>
        <w:t>Figure 3 S</w:t>
      </w:r>
      <w:r w:rsidRPr="00C02A11">
        <w:rPr>
          <w:color w:val="0D0D0D" w:themeColor="text1" w:themeTint="F2"/>
        </w:rPr>
        <w:t>. Plant growth at the booting stage (55 DAS for RAC875 and 69 DAS for Wyalkatchem). R: RAC875, W: Wyalkatchem, P10 and P30: P supply at 10 and 30 mg P/kgsoil.</w:t>
      </w:r>
    </w:p>
    <w:p w:rsidR="004E55DE" w:rsidRPr="00C02A11" w:rsidRDefault="004E55DE" w:rsidP="004E55DE">
      <w:pPr>
        <w:spacing w:before="60" w:after="60"/>
        <w:jc w:val="center"/>
        <w:rPr>
          <w:color w:val="0D0D0D" w:themeColor="text1" w:themeTint="F2"/>
        </w:rPr>
      </w:pPr>
    </w:p>
    <w:p w:rsidR="00C02A11" w:rsidRPr="00C02A11" w:rsidRDefault="00654E8F" w:rsidP="00C02A11">
      <w:pPr>
        <w:pStyle w:val="Heading1"/>
        <w:rPr>
          <w:color w:val="0D0D0D" w:themeColor="text1" w:themeTint="F2"/>
        </w:rPr>
      </w:pPr>
      <w:r w:rsidRPr="00C02A11">
        <w:rPr>
          <w:color w:val="0D0D0D" w:themeColor="text1" w:themeTint="F2"/>
        </w:rPr>
        <w:t>Supplementary Tables</w:t>
      </w:r>
    </w:p>
    <w:p w:rsidR="00C02A11" w:rsidRPr="00292D63" w:rsidRDefault="00C02A11" w:rsidP="00C02A11">
      <w:pPr>
        <w:spacing w:before="60" w:after="60"/>
        <w:jc w:val="both"/>
        <w:rPr>
          <w:rFonts w:cs="Times New Roman"/>
          <w:bCs/>
          <w:color w:val="0D0D0D" w:themeColor="text1" w:themeTint="F2"/>
          <w:szCs w:val="24"/>
        </w:rPr>
      </w:pPr>
      <w:r w:rsidRPr="00292D63">
        <w:rPr>
          <w:rFonts w:cs="Times New Roman"/>
          <w:b/>
          <w:color w:val="0D0D0D" w:themeColor="text1" w:themeTint="F2"/>
          <w:szCs w:val="24"/>
        </w:rPr>
        <w:t>Table 1 S.</w:t>
      </w:r>
      <w:r w:rsidRPr="00292D63">
        <w:rPr>
          <w:rStyle w:val="fontstyle01"/>
          <w:rFonts w:ascii="Times New Roman" w:hAnsi="Times New Roman" w:cs="Times New Roman"/>
          <w:color w:val="0D0D0D" w:themeColor="text1" w:themeTint="F2"/>
          <w:sz w:val="24"/>
          <w:szCs w:val="24"/>
        </w:rPr>
        <w:t>Analysis of variance, simple interaction and simple effect for effects of genotype, P supply and growth stage on tiller number. P10 and P30: P supply at 10 mg and 30 mg P/kg soil; DAS: day after sowing.</w:t>
      </w:r>
    </w:p>
    <w:tbl>
      <w:tblPr>
        <w:tblStyle w:val="TableGrid"/>
        <w:tblW w:w="9016" w:type="dxa"/>
        <w:tblLook w:val="04A0"/>
      </w:tblPr>
      <w:tblGrid>
        <w:gridCol w:w="2547"/>
        <w:gridCol w:w="1134"/>
        <w:gridCol w:w="1045"/>
        <w:gridCol w:w="1430"/>
        <w:gridCol w:w="1430"/>
        <w:gridCol w:w="1430"/>
      </w:tblGrid>
      <w:tr w:rsidR="00C02A11" w:rsidRPr="00C02A11" w:rsidTr="008F0D5A">
        <w:trPr>
          <w:tblHeader/>
        </w:trPr>
        <w:tc>
          <w:tcPr>
            <w:tcW w:w="2547"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Source</w:t>
            </w:r>
          </w:p>
        </w:tc>
        <w:tc>
          <w:tcPr>
            <w:tcW w:w="1134"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SS</w:t>
            </w:r>
          </w:p>
        </w:tc>
        <w:tc>
          <w:tcPr>
            <w:tcW w:w="1045" w:type="dxa"/>
            <w:vAlign w:val="center"/>
          </w:tcPr>
          <w:p w:rsidR="00C02A11" w:rsidRPr="00C02A11" w:rsidRDefault="00C02A11" w:rsidP="008F0D5A">
            <w:pPr>
              <w:spacing w:before="40" w:after="40"/>
              <w:jc w:val="center"/>
              <w:rPr>
                <w:b/>
                <w:bCs/>
                <w:color w:val="0D0D0D" w:themeColor="text1" w:themeTint="F2"/>
                <w:sz w:val="20"/>
                <w:szCs w:val="20"/>
              </w:rPr>
            </w:pPr>
            <w:r w:rsidRPr="00C02A11">
              <w:rPr>
                <w:b/>
                <w:bCs/>
                <w:color w:val="0D0D0D" w:themeColor="text1" w:themeTint="F2"/>
                <w:sz w:val="20"/>
                <w:szCs w:val="20"/>
              </w:rPr>
              <w:t>df</w:t>
            </w:r>
          </w:p>
        </w:tc>
        <w:tc>
          <w:tcPr>
            <w:tcW w:w="1430"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MS</w:t>
            </w:r>
          </w:p>
        </w:tc>
        <w:tc>
          <w:tcPr>
            <w:tcW w:w="1430"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F</w:t>
            </w:r>
          </w:p>
        </w:tc>
        <w:tc>
          <w:tcPr>
            <w:tcW w:w="1430"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Sig</w:t>
            </w:r>
          </w:p>
        </w:tc>
      </w:tr>
      <w:tr w:rsidR="00C02A11" w:rsidRPr="00C02A11" w:rsidTr="008F0D5A">
        <w:tc>
          <w:tcPr>
            <w:tcW w:w="2547" w:type="dxa"/>
            <w:vAlign w:val="center"/>
          </w:tcPr>
          <w:p w:rsidR="00C02A11" w:rsidRPr="00C02A11" w:rsidRDefault="00C02A11" w:rsidP="008F0D5A">
            <w:pPr>
              <w:spacing w:before="40" w:after="40"/>
              <w:rPr>
                <w:i/>
                <w:iCs/>
                <w:color w:val="0D0D0D" w:themeColor="text1" w:themeTint="F2"/>
                <w:sz w:val="20"/>
                <w:szCs w:val="20"/>
              </w:rPr>
            </w:pPr>
            <w:r w:rsidRPr="00C02A11">
              <w:rPr>
                <w:color w:val="0D0D0D" w:themeColor="text1" w:themeTint="F2"/>
                <w:sz w:val="20"/>
                <w:szCs w:val="20"/>
              </w:rPr>
              <w:t>Genotype (G)</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1177</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1177</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524.976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&lt;0.001</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supply (P)</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383</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383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170.713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&lt;0.001</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Growth stage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8712</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1452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647.918</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&lt;0.001</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21</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9.566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0.0027</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1406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234.3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104.558</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&lt;0.001</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x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433</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72.2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32.228</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&lt;0.001</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x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32</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5.3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2.361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0.0037</w:t>
            </w:r>
          </w:p>
        </w:tc>
      </w:tr>
      <w:tr w:rsidR="00C02A11" w:rsidRPr="00C02A11" w:rsidTr="008F0D5A">
        <w:tc>
          <w:tcPr>
            <w:tcW w:w="2547" w:type="dxa"/>
            <w:vAlign w:val="center"/>
          </w:tcPr>
          <w:p w:rsidR="00C02A11" w:rsidRPr="00C02A11" w:rsidRDefault="00C02A11" w:rsidP="008F0D5A">
            <w:pPr>
              <w:spacing w:before="40" w:after="40"/>
              <w:rPr>
                <w:b/>
                <w:bCs/>
                <w:i/>
                <w:iCs/>
                <w:color w:val="0D0D0D" w:themeColor="text1" w:themeTint="F2"/>
                <w:sz w:val="20"/>
                <w:szCs w:val="20"/>
              </w:rPr>
            </w:pPr>
            <w:r w:rsidRPr="00C02A11">
              <w:rPr>
                <w:b/>
                <w:bCs/>
                <w:i/>
                <w:iCs/>
                <w:color w:val="0D0D0D" w:themeColor="text1" w:themeTint="F2"/>
                <w:sz w:val="20"/>
                <w:szCs w:val="20"/>
              </w:rPr>
              <w:t>G x P at each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5" w:type="dxa"/>
            <w:vAlign w:val="center"/>
          </w:tcPr>
          <w:p w:rsidR="00C02A11" w:rsidRPr="00C02A11" w:rsidRDefault="00C02A11" w:rsidP="008F0D5A">
            <w:pPr>
              <w:spacing w:before="40" w:after="40"/>
              <w:jc w:val="center"/>
              <w:rPr>
                <w:color w:val="0D0D0D" w:themeColor="text1" w:themeTint="F2"/>
                <w:sz w:val="20"/>
                <w:szCs w:val="20"/>
              </w:rPr>
            </w:pP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13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0.11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23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3.06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3.06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1.39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25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1.563</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1.563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0.71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27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4.09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30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0.11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34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0.11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 = 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16.36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w:t>
            </w:r>
          </w:p>
        </w:tc>
      </w:tr>
      <w:tr w:rsidR="00C02A11" w:rsidRPr="00C02A11" w:rsidTr="008F0D5A">
        <w:tc>
          <w:tcPr>
            <w:tcW w:w="2547" w:type="dxa"/>
            <w:vAlign w:val="center"/>
          </w:tcPr>
          <w:p w:rsidR="00C02A11" w:rsidRPr="00C02A11" w:rsidRDefault="00C02A11" w:rsidP="008F0D5A">
            <w:pPr>
              <w:spacing w:before="40" w:after="40"/>
              <w:rPr>
                <w:b/>
                <w:bCs/>
                <w:i/>
                <w:iCs/>
                <w:color w:val="0D0D0D" w:themeColor="text1" w:themeTint="F2"/>
                <w:sz w:val="20"/>
                <w:szCs w:val="20"/>
              </w:rPr>
            </w:pPr>
            <w:r w:rsidRPr="00C02A11">
              <w:rPr>
                <w:b/>
                <w:bCs/>
                <w:i/>
                <w:iCs/>
                <w:color w:val="0D0D0D" w:themeColor="text1" w:themeTint="F2"/>
                <w:sz w:val="20"/>
                <w:szCs w:val="20"/>
              </w:rPr>
              <w:t>G at each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5" w:type="dxa"/>
            <w:vAlign w:val="center"/>
          </w:tcPr>
          <w:p w:rsidR="00C02A11" w:rsidRPr="00C02A11" w:rsidRDefault="00C02A11" w:rsidP="008F0D5A">
            <w:pPr>
              <w:spacing w:before="40" w:after="40"/>
              <w:jc w:val="center"/>
              <w:rPr>
                <w:color w:val="0D0D0D" w:themeColor="text1" w:themeTint="F2"/>
                <w:sz w:val="20"/>
                <w:szCs w:val="20"/>
              </w:rPr>
            </w:pP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13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1.82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23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33.06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33.06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15.03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25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27.562</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27.562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12.53</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lastRenderedPageBreak/>
              <w:t>G at GS = 27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16.36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 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30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144</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144</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65.45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34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175.56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175.56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79.8</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 = 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2162.2</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2162.2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982.82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b/>
                <w:bCs/>
                <w:i/>
                <w:iCs/>
                <w:color w:val="0D0D0D" w:themeColor="text1" w:themeTint="F2"/>
                <w:sz w:val="20"/>
                <w:szCs w:val="20"/>
              </w:rPr>
            </w:pPr>
            <w:r w:rsidRPr="00C02A11">
              <w:rPr>
                <w:b/>
                <w:bCs/>
                <w:i/>
                <w:iCs/>
                <w:color w:val="0D0D0D" w:themeColor="text1" w:themeTint="F2"/>
                <w:sz w:val="20"/>
                <w:szCs w:val="20"/>
              </w:rPr>
              <w:t>P at each GS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5" w:type="dxa"/>
            <w:vAlign w:val="center"/>
          </w:tcPr>
          <w:p w:rsidR="00C02A11" w:rsidRPr="00C02A11" w:rsidRDefault="00C02A11" w:rsidP="008F0D5A">
            <w:pPr>
              <w:spacing w:before="40" w:after="40"/>
              <w:jc w:val="center"/>
              <w:rPr>
                <w:color w:val="0D0D0D" w:themeColor="text1" w:themeTint="F2"/>
                <w:sz w:val="20"/>
                <w:szCs w:val="20"/>
              </w:rPr>
            </w:pP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13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0.11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23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14.06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14.06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6.39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25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3.062</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3.062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1.39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27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2.84</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30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72.25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72.25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32.84</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34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95.06</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95.06</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43.21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GS = 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625</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625</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284.09</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b/>
                <w:bCs/>
                <w:i/>
                <w:iCs/>
                <w:color w:val="0D0D0D" w:themeColor="text1" w:themeTint="F2"/>
                <w:sz w:val="20"/>
                <w:szCs w:val="20"/>
              </w:rPr>
            </w:pPr>
            <w:r w:rsidRPr="00C02A11">
              <w:rPr>
                <w:b/>
                <w:bCs/>
                <w:i/>
                <w:iCs/>
                <w:color w:val="0D0D0D" w:themeColor="text1" w:themeTint="F2"/>
                <w:sz w:val="20"/>
                <w:szCs w:val="20"/>
              </w:rPr>
              <w:t>G at P (GS=51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5" w:type="dxa"/>
            <w:vAlign w:val="center"/>
          </w:tcPr>
          <w:p w:rsidR="00C02A11" w:rsidRPr="00C02A11" w:rsidRDefault="00C02A11" w:rsidP="008F0D5A">
            <w:pPr>
              <w:spacing w:before="40" w:after="40"/>
              <w:jc w:val="center"/>
              <w:rPr>
                <w:color w:val="0D0D0D" w:themeColor="text1" w:themeTint="F2"/>
                <w:sz w:val="20"/>
                <w:szCs w:val="20"/>
              </w:rPr>
            </w:pP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P10 (GS=51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820.1</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820.1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372.77</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P30 (GS=51 DAS)</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1378.1</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1378.1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626.41</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54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Error</w:t>
            </w:r>
          </w:p>
        </w:tc>
        <w:tc>
          <w:tcPr>
            <w:tcW w:w="113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188</w:t>
            </w:r>
          </w:p>
        </w:tc>
        <w:tc>
          <w:tcPr>
            <w:tcW w:w="1045"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84</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2.2</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4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bl>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vertAlign w:val="superscript"/>
        </w:rPr>
        <w:t>†</w:t>
      </w:r>
      <w:r w:rsidRPr="00C02A11">
        <w:rPr>
          <w:color w:val="0D0D0D" w:themeColor="text1" w:themeTint="F2"/>
          <w:sz w:val="20"/>
          <w:szCs w:val="20"/>
        </w:rPr>
        <w:t>F</w:t>
      </w:r>
      <w:r w:rsidRPr="00C02A11">
        <w:rPr>
          <w:color w:val="0D0D0D" w:themeColor="text1" w:themeTint="F2"/>
          <w:sz w:val="20"/>
          <w:szCs w:val="20"/>
          <w:vertAlign w:val="subscript"/>
        </w:rPr>
        <w:t>(0.05/6, 1, 84)</w:t>
      </w:r>
      <w:r w:rsidRPr="00C02A11">
        <w:rPr>
          <w:color w:val="0D0D0D" w:themeColor="text1" w:themeTint="F2"/>
          <w:sz w:val="20"/>
          <w:szCs w:val="20"/>
        </w:rPr>
        <w:t xml:space="preserve"> = 7.30 (Family error rate critical value)</w:t>
      </w:r>
    </w:p>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vertAlign w:val="superscript"/>
        </w:rPr>
        <w:t>‡</w:t>
      </w:r>
      <w:r w:rsidRPr="00C02A11">
        <w:rPr>
          <w:color w:val="0D0D0D" w:themeColor="text1" w:themeTint="F2"/>
          <w:sz w:val="20"/>
          <w:szCs w:val="20"/>
        </w:rPr>
        <w:t>F</w:t>
      </w:r>
      <w:r w:rsidRPr="00C02A11">
        <w:rPr>
          <w:color w:val="0D0D0D" w:themeColor="text1" w:themeTint="F2"/>
          <w:sz w:val="20"/>
          <w:szCs w:val="20"/>
          <w:vertAlign w:val="subscript"/>
        </w:rPr>
        <w:t>(0.35/10, 1, 84)</w:t>
      </w:r>
      <w:r w:rsidRPr="00C02A11">
        <w:rPr>
          <w:color w:val="0D0D0D" w:themeColor="text1" w:themeTint="F2"/>
          <w:sz w:val="20"/>
          <w:szCs w:val="20"/>
        </w:rPr>
        <w:t xml:space="preserve"> = 4.59 (Dun</w:t>
      </w:r>
      <w:r w:rsidR="00731390">
        <w:rPr>
          <w:color w:val="0D0D0D" w:themeColor="text1" w:themeTint="F2"/>
          <w:sz w:val="20"/>
          <w:szCs w:val="20"/>
        </w:rPr>
        <w:t>n</w:t>
      </w:r>
      <w:r w:rsidRPr="00C02A11">
        <w:rPr>
          <w:color w:val="0D0D0D" w:themeColor="text1" w:themeTint="F2"/>
          <w:sz w:val="20"/>
          <w:szCs w:val="20"/>
        </w:rPr>
        <w:t>’s  critical value)</w:t>
      </w:r>
    </w:p>
    <w:p w:rsidR="00C02A11" w:rsidRPr="00C02A11" w:rsidRDefault="00C02A11" w:rsidP="00C02A11">
      <w:pPr>
        <w:spacing w:before="60" w:after="60"/>
        <w:rPr>
          <w:color w:val="0D0D0D" w:themeColor="text1" w:themeTint="F2"/>
        </w:rPr>
      </w:pPr>
    </w:p>
    <w:p w:rsidR="00C02A11" w:rsidRPr="00C02A11" w:rsidRDefault="00C02A11" w:rsidP="00C02A11">
      <w:pPr>
        <w:spacing w:before="60" w:after="60"/>
        <w:jc w:val="both"/>
        <w:rPr>
          <w:bCs/>
          <w:color w:val="0D0D0D" w:themeColor="text1" w:themeTint="F2"/>
          <w:szCs w:val="24"/>
        </w:rPr>
      </w:pPr>
      <w:r w:rsidRPr="00C02A11">
        <w:rPr>
          <w:b/>
          <w:color w:val="0D0D0D" w:themeColor="text1" w:themeTint="F2"/>
          <w:szCs w:val="24"/>
        </w:rPr>
        <w:t>Table 2 S.</w:t>
      </w:r>
      <w:r w:rsidRPr="00C02A11">
        <w:rPr>
          <w:bCs/>
          <w:color w:val="0D0D0D" w:themeColor="text1" w:themeTint="F2"/>
          <w:szCs w:val="24"/>
        </w:rPr>
        <w:t xml:space="preserve"> Two-way ANOVA </w:t>
      </w:r>
      <w:r w:rsidRPr="00C02A11">
        <w:rPr>
          <w:rStyle w:val="fontstyle01"/>
          <w:color w:val="0D0D0D" w:themeColor="text1" w:themeTint="F2"/>
          <w:sz w:val="24"/>
          <w:szCs w:val="24"/>
        </w:rPr>
        <w:t>and simple effect</w:t>
      </w:r>
      <w:r w:rsidRPr="00C02A11">
        <w:rPr>
          <w:bCs/>
          <w:color w:val="0D0D0D" w:themeColor="text1" w:themeTint="F2"/>
          <w:szCs w:val="24"/>
        </w:rPr>
        <w:t xml:space="preserve"> analysis </w:t>
      </w:r>
      <w:r w:rsidRPr="00C02A11">
        <w:rPr>
          <w:rStyle w:val="fontstyle01"/>
          <w:color w:val="0D0D0D" w:themeColor="text1" w:themeTint="F2"/>
          <w:sz w:val="24"/>
          <w:szCs w:val="24"/>
        </w:rPr>
        <w:t xml:space="preserve">for the effects of genotype, </w:t>
      </w:r>
      <w:r w:rsidRPr="00C02A11">
        <w:rPr>
          <w:bCs/>
          <w:color w:val="0D0D0D" w:themeColor="text1" w:themeTint="F2"/>
          <w:szCs w:val="24"/>
        </w:rPr>
        <w:t xml:space="preserve">P supply on the productive tiller number and the ratio of productive tillers to the total tiller number, leaf number per main tiller at 69 DAS, and the grain yield. Simple effect was analysed using Phia package in r. </w:t>
      </w:r>
      <w:r w:rsidRPr="00C02A11">
        <w:rPr>
          <w:rStyle w:val="fontstyle01"/>
          <w:color w:val="0D0D0D" w:themeColor="text1" w:themeTint="F2"/>
          <w:sz w:val="24"/>
          <w:szCs w:val="24"/>
        </w:rPr>
        <w:t>P10 and P30: P supply at 10 mg and 30 mg P/kg soil.</w:t>
      </w:r>
    </w:p>
    <w:tbl>
      <w:tblPr>
        <w:tblStyle w:val="TableGrid"/>
        <w:tblW w:w="0" w:type="auto"/>
        <w:tblLook w:val="04A0"/>
      </w:tblPr>
      <w:tblGrid>
        <w:gridCol w:w="2405"/>
        <w:gridCol w:w="1630"/>
        <w:gridCol w:w="1630"/>
        <w:gridCol w:w="1630"/>
        <w:gridCol w:w="1631"/>
      </w:tblGrid>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Source</w:t>
            </w:r>
          </w:p>
        </w:tc>
        <w:tc>
          <w:tcPr>
            <w:tcW w:w="1630" w:type="dxa"/>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P value</w:t>
            </w:r>
          </w:p>
        </w:tc>
        <w:tc>
          <w:tcPr>
            <w:tcW w:w="1630" w:type="dxa"/>
          </w:tcPr>
          <w:p w:rsidR="00C02A11" w:rsidRPr="00C02A11" w:rsidRDefault="00C02A11" w:rsidP="008F0D5A">
            <w:pPr>
              <w:spacing w:before="40" w:after="40"/>
              <w:rPr>
                <w:b/>
                <w:bCs/>
                <w:color w:val="0D0D0D" w:themeColor="text1" w:themeTint="F2"/>
                <w:sz w:val="20"/>
                <w:szCs w:val="20"/>
              </w:rPr>
            </w:pPr>
          </w:p>
        </w:tc>
        <w:tc>
          <w:tcPr>
            <w:tcW w:w="1630" w:type="dxa"/>
          </w:tcPr>
          <w:p w:rsidR="00C02A11" w:rsidRPr="00C02A11" w:rsidRDefault="00C02A11" w:rsidP="008F0D5A">
            <w:pPr>
              <w:spacing w:before="40" w:after="40"/>
              <w:rPr>
                <w:b/>
                <w:bCs/>
                <w:color w:val="0D0D0D" w:themeColor="text1" w:themeTint="F2"/>
                <w:sz w:val="20"/>
                <w:szCs w:val="20"/>
              </w:rPr>
            </w:pPr>
          </w:p>
        </w:tc>
        <w:tc>
          <w:tcPr>
            <w:tcW w:w="1631" w:type="dxa"/>
          </w:tcPr>
          <w:p w:rsidR="00C02A11" w:rsidRPr="00C02A11" w:rsidRDefault="00C02A11" w:rsidP="008F0D5A">
            <w:pPr>
              <w:spacing w:before="40" w:after="40"/>
              <w:rPr>
                <w:b/>
                <w:bCs/>
                <w:color w:val="0D0D0D" w:themeColor="text1" w:themeTint="F2"/>
                <w:sz w:val="20"/>
                <w:szCs w:val="20"/>
              </w:rPr>
            </w:pP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Productive tiller number</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Productive tiller/total tiller</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Leaf number/mail tiller</w:t>
            </w:r>
          </w:p>
        </w:tc>
        <w:tc>
          <w:tcPr>
            <w:tcW w:w="1631"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Grain yield</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(Genotype)</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(P supply)</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P&lt;0.002</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P=0.474</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P=0.244</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P=0.346</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P=0.346</w:t>
            </w:r>
          </w:p>
        </w:tc>
      </w:tr>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i/>
                <w:iCs/>
                <w:color w:val="0D0D0D" w:themeColor="text1" w:themeTint="F2"/>
                <w:sz w:val="20"/>
                <w:szCs w:val="20"/>
              </w:rPr>
              <w:t>G at each P supply</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P10</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P=0.002</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P=0029</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P30</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P=0.021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P&lt;0.001</w:t>
            </w:r>
          </w:p>
        </w:tc>
        <w:tc>
          <w:tcPr>
            <w:tcW w:w="1631"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P=0.276</w:t>
            </w:r>
          </w:p>
        </w:tc>
      </w:tr>
    </w:tbl>
    <w:p w:rsidR="00C02A11" w:rsidRPr="00C02A11" w:rsidRDefault="00C02A11" w:rsidP="00C02A11">
      <w:pPr>
        <w:spacing w:before="60" w:after="60"/>
        <w:rPr>
          <w:b/>
          <w:color w:val="0D0D0D" w:themeColor="text1" w:themeTint="F2"/>
          <w:u w:val="single"/>
        </w:rPr>
      </w:pPr>
    </w:p>
    <w:p w:rsidR="00C02A11" w:rsidRPr="00C02A11" w:rsidRDefault="00C02A11" w:rsidP="00C02A11">
      <w:pPr>
        <w:spacing w:before="60" w:after="60"/>
        <w:rPr>
          <w:color w:val="0D0D0D" w:themeColor="text1" w:themeTint="F2"/>
          <w:sz w:val="20"/>
          <w:szCs w:val="20"/>
        </w:rPr>
      </w:pPr>
    </w:p>
    <w:p w:rsidR="00C02A11" w:rsidRPr="00C02A11" w:rsidRDefault="00C02A11" w:rsidP="00C02A11">
      <w:pPr>
        <w:spacing w:before="60" w:after="60"/>
        <w:jc w:val="both"/>
        <w:rPr>
          <w:rFonts w:cs="Times New Roman"/>
          <w:bCs/>
          <w:color w:val="0D0D0D" w:themeColor="text1" w:themeTint="F2"/>
          <w:szCs w:val="24"/>
        </w:rPr>
      </w:pPr>
      <w:r w:rsidRPr="00C02A11">
        <w:rPr>
          <w:rFonts w:cs="Times New Roman"/>
          <w:b/>
          <w:color w:val="0D0D0D" w:themeColor="text1" w:themeTint="F2"/>
          <w:szCs w:val="24"/>
        </w:rPr>
        <w:t>Table 3 S.</w:t>
      </w:r>
      <w:r w:rsidRPr="00C02A11">
        <w:rPr>
          <w:rStyle w:val="fontstyle01"/>
          <w:rFonts w:ascii="Times New Roman" w:hAnsi="Times New Roman" w:cs="Times New Roman"/>
          <w:color w:val="0D0D0D" w:themeColor="text1" w:themeTint="F2"/>
          <w:sz w:val="24"/>
          <w:szCs w:val="24"/>
        </w:rPr>
        <w:t xml:space="preserve">Analysis of variance, simple interaction and simple effect for effects of genotype, P supply and growth stage on intracellular </w:t>
      </w:r>
      <w:r w:rsidRPr="00C02A11">
        <w:rPr>
          <w:rFonts w:cs="Times New Roman"/>
          <w:color w:val="0D0D0D" w:themeColor="text1" w:themeTint="F2"/>
          <w:szCs w:val="24"/>
        </w:rPr>
        <w:t>CO</w:t>
      </w:r>
      <w:r w:rsidRPr="00C02A11">
        <w:rPr>
          <w:rFonts w:cs="Times New Roman"/>
          <w:color w:val="0D0D0D" w:themeColor="text1" w:themeTint="F2"/>
          <w:szCs w:val="24"/>
          <w:vertAlign w:val="subscript"/>
        </w:rPr>
        <w:t>2</w:t>
      </w:r>
      <w:r w:rsidRPr="00C02A11">
        <w:rPr>
          <w:rFonts w:cs="Times New Roman"/>
          <w:color w:val="0D0D0D" w:themeColor="text1" w:themeTint="F2"/>
          <w:szCs w:val="24"/>
        </w:rPr>
        <w:t xml:space="preserve">concentration at </w:t>
      </w:r>
      <w:r w:rsidR="00100453">
        <w:rPr>
          <w:rFonts w:cs="Times New Roman"/>
          <w:color w:val="0D0D0D" w:themeColor="text1" w:themeTint="F2"/>
          <w:szCs w:val="24"/>
        </w:rPr>
        <w:t xml:space="preserve">the </w:t>
      </w:r>
      <w:r w:rsidRPr="00C02A11">
        <w:rPr>
          <w:rFonts w:cs="Times New Roman"/>
          <w:color w:val="0D0D0D" w:themeColor="text1" w:themeTint="F2"/>
          <w:szCs w:val="24"/>
        </w:rPr>
        <w:t>vegetative stage</w:t>
      </w:r>
      <w:r w:rsidRPr="00C02A11">
        <w:rPr>
          <w:rStyle w:val="fontstyle01"/>
          <w:rFonts w:ascii="Times New Roman" w:hAnsi="Times New Roman" w:cs="Times New Roman"/>
          <w:color w:val="0D0D0D" w:themeColor="text1" w:themeTint="F2"/>
          <w:sz w:val="24"/>
          <w:szCs w:val="24"/>
        </w:rPr>
        <w:t>. P10 and P30: P supply at 10 mg and 30 mg P/kg soil; DAS: day after sowing.</w:t>
      </w:r>
    </w:p>
    <w:tbl>
      <w:tblPr>
        <w:tblStyle w:val="TableGrid"/>
        <w:tblW w:w="9016" w:type="dxa"/>
        <w:tblLook w:val="04A0"/>
      </w:tblPr>
      <w:tblGrid>
        <w:gridCol w:w="2989"/>
        <w:gridCol w:w="1387"/>
        <w:gridCol w:w="1044"/>
        <w:gridCol w:w="1387"/>
        <w:gridCol w:w="1105"/>
        <w:gridCol w:w="1104"/>
      </w:tblGrid>
      <w:tr w:rsidR="00C02A11" w:rsidRPr="00C02A11" w:rsidTr="008F0D5A">
        <w:trPr>
          <w:tblHeader/>
        </w:trPr>
        <w:tc>
          <w:tcPr>
            <w:tcW w:w="2989"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Source</w:t>
            </w:r>
          </w:p>
        </w:tc>
        <w:tc>
          <w:tcPr>
            <w:tcW w:w="1387"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SS</w:t>
            </w:r>
          </w:p>
        </w:tc>
        <w:tc>
          <w:tcPr>
            <w:tcW w:w="1044" w:type="dxa"/>
            <w:vAlign w:val="center"/>
          </w:tcPr>
          <w:p w:rsidR="00C02A11" w:rsidRPr="00C02A11" w:rsidRDefault="00C02A11" w:rsidP="008F0D5A">
            <w:pPr>
              <w:spacing w:before="40" w:after="40"/>
              <w:jc w:val="center"/>
              <w:rPr>
                <w:b/>
                <w:bCs/>
                <w:color w:val="0D0D0D" w:themeColor="text1" w:themeTint="F2"/>
                <w:sz w:val="20"/>
                <w:szCs w:val="20"/>
              </w:rPr>
            </w:pPr>
            <w:r w:rsidRPr="00C02A11">
              <w:rPr>
                <w:b/>
                <w:bCs/>
                <w:color w:val="0D0D0D" w:themeColor="text1" w:themeTint="F2"/>
                <w:sz w:val="20"/>
                <w:szCs w:val="20"/>
              </w:rPr>
              <w:t>df</w:t>
            </w:r>
          </w:p>
        </w:tc>
        <w:tc>
          <w:tcPr>
            <w:tcW w:w="1387"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MS</w:t>
            </w:r>
          </w:p>
        </w:tc>
        <w:tc>
          <w:tcPr>
            <w:tcW w:w="11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F</w:t>
            </w:r>
          </w:p>
        </w:tc>
        <w:tc>
          <w:tcPr>
            <w:tcW w:w="1104"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Sig</w:t>
            </w:r>
          </w:p>
        </w:tc>
      </w:tr>
      <w:tr w:rsidR="00C02A11" w:rsidRPr="00C02A11" w:rsidTr="008F0D5A">
        <w:tc>
          <w:tcPr>
            <w:tcW w:w="2989" w:type="dxa"/>
            <w:vAlign w:val="center"/>
          </w:tcPr>
          <w:p w:rsidR="00C02A11" w:rsidRPr="00C02A11" w:rsidRDefault="00C02A11" w:rsidP="008F0D5A">
            <w:pPr>
              <w:spacing w:before="40" w:after="40"/>
              <w:rPr>
                <w:i/>
                <w:iCs/>
                <w:color w:val="0D0D0D" w:themeColor="text1" w:themeTint="F2"/>
                <w:sz w:val="20"/>
                <w:szCs w:val="20"/>
              </w:rPr>
            </w:pPr>
            <w:r w:rsidRPr="00C02A11">
              <w:rPr>
                <w:color w:val="0D0D0D" w:themeColor="text1" w:themeTint="F2"/>
                <w:sz w:val="20"/>
                <w:szCs w:val="20"/>
              </w:rPr>
              <w:t>Genotype (G)</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608.2</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608.2</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7.116</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0.014</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lastRenderedPageBreak/>
              <w:t>P supply (P)</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44</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44</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0.515</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0.48</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Growth stage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0.982</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253.7</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253.7</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2.968</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0.092</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471.2</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471.2</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5.513</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0.028</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x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3.7</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3.7</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0.043</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0.836</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x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2.4</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2.4</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0.028</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0.87</w:t>
            </w:r>
          </w:p>
        </w:tc>
      </w:tr>
      <w:tr w:rsidR="00C02A11" w:rsidRPr="00C02A11" w:rsidTr="008F0D5A">
        <w:tc>
          <w:tcPr>
            <w:tcW w:w="2989" w:type="dxa"/>
            <w:vAlign w:val="center"/>
          </w:tcPr>
          <w:p w:rsidR="00C02A11" w:rsidRPr="00C02A11" w:rsidRDefault="00C02A11" w:rsidP="008F0D5A">
            <w:pPr>
              <w:spacing w:before="40" w:after="40"/>
              <w:rPr>
                <w:b/>
                <w:bCs/>
                <w:i/>
                <w:iCs/>
                <w:color w:val="0D0D0D" w:themeColor="text1" w:themeTint="F2"/>
                <w:sz w:val="20"/>
                <w:szCs w:val="20"/>
              </w:rPr>
            </w:pPr>
            <w:r w:rsidRPr="00C02A11">
              <w:rPr>
                <w:color w:val="0D0D0D" w:themeColor="text1" w:themeTint="F2"/>
                <w:sz w:val="20"/>
                <w:szCs w:val="20"/>
              </w:rPr>
              <w:t>G x P at each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 </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GS=34 DAS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108.1</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108.1</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1.26</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 at GS=41 DAS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157.9</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157.9</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1.85</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989" w:type="dxa"/>
            <w:vAlign w:val="center"/>
          </w:tcPr>
          <w:p w:rsidR="00C02A11" w:rsidRPr="00C02A11" w:rsidRDefault="00C02A11" w:rsidP="008F0D5A">
            <w:pPr>
              <w:spacing w:before="40" w:after="40"/>
              <w:rPr>
                <w:b/>
                <w:bCs/>
                <w:i/>
                <w:iCs/>
                <w:color w:val="0D0D0D" w:themeColor="text1" w:themeTint="F2"/>
                <w:sz w:val="20"/>
                <w:szCs w:val="20"/>
              </w:rPr>
            </w:pPr>
            <w:r w:rsidRPr="00C02A11">
              <w:rPr>
                <w:color w:val="0D0D0D" w:themeColor="text1" w:themeTint="F2"/>
                <w:sz w:val="20"/>
                <w:szCs w:val="20"/>
              </w:rPr>
              <w:t>G at each GS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 </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GS=34 DAS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4.4</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4.4</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0.05</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ns</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at GS=41 DAS</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1075.1</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1</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1075.1</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12.58</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sig († ‡)</w:t>
            </w:r>
          </w:p>
        </w:tc>
      </w:tr>
      <w:tr w:rsidR="00C02A11" w:rsidRPr="00C02A11" w:rsidTr="008F0D5A">
        <w:tc>
          <w:tcPr>
            <w:tcW w:w="2989"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Residual</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2051.4</w:t>
            </w:r>
          </w:p>
        </w:tc>
        <w:tc>
          <w:tcPr>
            <w:tcW w:w="1044" w:type="dxa"/>
            <w:vAlign w:val="center"/>
          </w:tcPr>
          <w:p w:rsidR="00C02A11" w:rsidRPr="00C02A11" w:rsidRDefault="00C02A11" w:rsidP="008F0D5A">
            <w:pPr>
              <w:spacing w:before="40" w:after="40"/>
              <w:jc w:val="center"/>
              <w:rPr>
                <w:color w:val="0D0D0D" w:themeColor="text1" w:themeTint="F2"/>
                <w:sz w:val="20"/>
                <w:szCs w:val="20"/>
              </w:rPr>
            </w:pPr>
            <w:r w:rsidRPr="00C02A11">
              <w:rPr>
                <w:color w:val="0D0D0D" w:themeColor="text1" w:themeTint="F2"/>
                <w:sz w:val="20"/>
                <w:szCs w:val="20"/>
              </w:rPr>
              <w:t>24</w:t>
            </w:r>
          </w:p>
        </w:tc>
        <w:tc>
          <w:tcPr>
            <w:tcW w:w="1387"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85.475</w:t>
            </w:r>
          </w:p>
        </w:tc>
        <w:tc>
          <w:tcPr>
            <w:tcW w:w="11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104"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bl>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vertAlign w:val="superscript"/>
        </w:rPr>
        <w:t>†</w:t>
      </w:r>
      <w:r w:rsidRPr="00C02A11">
        <w:rPr>
          <w:color w:val="0D0D0D" w:themeColor="text1" w:themeTint="F2"/>
          <w:sz w:val="20"/>
          <w:szCs w:val="20"/>
        </w:rPr>
        <w:t>F</w:t>
      </w:r>
      <w:r w:rsidRPr="00C02A11">
        <w:rPr>
          <w:color w:val="0D0D0D" w:themeColor="text1" w:themeTint="F2"/>
          <w:sz w:val="20"/>
          <w:szCs w:val="20"/>
          <w:vertAlign w:val="subscript"/>
        </w:rPr>
        <w:t>(0.05/2, 1, 24)</w:t>
      </w:r>
      <w:r w:rsidRPr="00C02A11">
        <w:rPr>
          <w:color w:val="0D0D0D" w:themeColor="text1" w:themeTint="F2"/>
          <w:sz w:val="20"/>
          <w:szCs w:val="20"/>
        </w:rPr>
        <w:t xml:space="preserve"> = 5.72 (Family error rate critical value)</w:t>
      </w:r>
    </w:p>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vertAlign w:val="superscript"/>
        </w:rPr>
        <w:t>‡</w:t>
      </w:r>
      <w:r w:rsidRPr="00C02A11">
        <w:rPr>
          <w:color w:val="0D0D0D" w:themeColor="text1" w:themeTint="F2"/>
          <w:sz w:val="20"/>
          <w:szCs w:val="20"/>
        </w:rPr>
        <w:t>F</w:t>
      </w:r>
      <w:r w:rsidRPr="00C02A11">
        <w:rPr>
          <w:color w:val="0D0D0D" w:themeColor="text1" w:themeTint="F2"/>
          <w:sz w:val="20"/>
          <w:szCs w:val="20"/>
          <w:vertAlign w:val="subscript"/>
        </w:rPr>
        <w:t>(0.35/6, 1, 24)</w:t>
      </w:r>
      <w:r w:rsidRPr="00C02A11">
        <w:rPr>
          <w:color w:val="0D0D0D" w:themeColor="text1" w:themeTint="F2"/>
          <w:sz w:val="20"/>
          <w:szCs w:val="20"/>
        </w:rPr>
        <w:t xml:space="preserve"> = 3.95 (Dun</w:t>
      </w:r>
      <w:r w:rsidR="00731390">
        <w:rPr>
          <w:color w:val="0D0D0D" w:themeColor="text1" w:themeTint="F2"/>
          <w:sz w:val="20"/>
          <w:szCs w:val="20"/>
        </w:rPr>
        <w:t>n</w:t>
      </w:r>
      <w:r w:rsidRPr="00C02A11">
        <w:rPr>
          <w:color w:val="0D0D0D" w:themeColor="text1" w:themeTint="F2"/>
          <w:sz w:val="20"/>
          <w:szCs w:val="20"/>
        </w:rPr>
        <w:t>’s  critical value)</w:t>
      </w:r>
    </w:p>
    <w:p w:rsidR="00C02A11" w:rsidRPr="00C02A11" w:rsidRDefault="00C02A11" w:rsidP="00C02A11">
      <w:pPr>
        <w:spacing w:before="60" w:after="60"/>
        <w:rPr>
          <w:color w:val="0D0D0D" w:themeColor="text1" w:themeTint="F2"/>
        </w:rPr>
      </w:pPr>
    </w:p>
    <w:p w:rsidR="00C02A11" w:rsidRPr="00C02A11" w:rsidRDefault="00C02A11" w:rsidP="00C02A11">
      <w:pPr>
        <w:spacing w:before="60" w:after="60"/>
        <w:rPr>
          <w:color w:val="0D0D0D" w:themeColor="text1" w:themeTint="F2"/>
        </w:rPr>
      </w:pPr>
    </w:p>
    <w:p w:rsidR="00C02A11" w:rsidRPr="00C02A11" w:rsidRDefault="00C02A11" w:rsidP="00C02A11">
      <w:pPr>
        <w:spacing w:before="60" w:after="60"/>
        <w:jc w:val="both"/>
        <w:rPr>
          <w:rFonts w:cs="Times New Roman"/>
          <w:bCs/>
          <w:color w:val="0D0D0D" w:themeColor="text1" w:themeTint="F2"/>
          <w:szCs w:val="24"/>
        </w:rPr>
      </w:pPr>
      <w:r w:rsidRPr="00C02A11">
        <w:rPr>
          <w:rFonts w:cs="Times New Roman"/>
          <w:b/>
          <w:color w:val="0D0D0D" w:themeColor="text1" w:themeTint="F2"/>
          <w:szCs w:val="24"/>
        </w:rPr>
        <w:t>Table 4 S.</w:t>
      </w:r>
      <w:r w:rsidRPr="00C02A11">
        <w:rPr>
          <w:rFonts w:cs="Times New Roman"/>
          <w:bCs/>
          <w:color w:val="0D0D0D" w:themeColor="text1" w:themeTint="F2"/>
          <w:szCs w:val="24"/>
        </w:rPr>
        <w:t xml:space="preserve"> The ratio of photosynthetic rate at low P to adequate P for each genotype at </w:t>
      </w:r>
      <w:r w:rsidR="00100453">
        <w:rPr>
          <w:rFonts w:cs="Times New Roman"/>
          <w:bCs/>
          <w:color w:val="0D0D0D" w:themeColor="text1" w:themeTint="F2"/>
          <w:szCs w:val="24"/>
        </w:rPr>
        <w:t xml:space="preserve">the </w:t>
      </w:r>
      <w:r w:rsidRPr="00C02A11">
        <w:rPr>
          <w:rFonts w:cs="Times New Roman"/>
          <w:bCs/>
          <w:color w:val="0D0D0D" w:themeColor="text1" w:themeTint="F2"/>
          <w:szCs w:val="24"/>
        </w:rPr>
        <w:t>vegetative and booting stage</w:t>
      </w:r>
      <w:r w:rsidRPr="00C02A11">
        <w:rPr>
          <w:rStyle w:val="fontstyle01"/>
          <w:rFonts w:ascii="Times New Roman" w:hAnsi="Times New Roman" w:cs="Times New Roman"/>
          <w:color w:val="0D0D0D" w:themeColor="text1" w:themeTint="F2"/>
          <w:sz w:val="24"/>
          <w:szCs w:val="24"/>
        </w:rPr>
        <w:t>. P10 (low P) and P30 (adequate P): P supply at 10 mg and 30 mg P/kg soil.</w:t>
      </w:r>
    </w:p>
    <w:tbl>
      <w:tblPr>
        <w:tblStyle w:val="TableGrid"/>
        <w:tblW w:w="0" w:type="auto"/>
        <w:tblLook w:val="04A0"/>
      </w:tblPr>
      <w:tblGrid>
        <w:gridCol w:w="2405"/>
        <w:gridCol w:w="1630"/>
        <w:gridCol w:w="1630"/>
      </w:tblGrid>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Genotype</w:t>
            </w:r>
          </w:p>
        </w:tc>
        <w:tc>
          <w:tcPr>
            <w:tcW w:w="1630" w:type="dxa"/>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Pn</w:t>
            </w:r>
          </w:p>
        </w:tc>
        <w:tc>
          <w:tcPr>
            <w:tcW w:w="1630" w:type="dxa"/>
          </w:tcPr>
          <w:p w:rsidR="00C02A11" w:rsidRPr="00C02A11" w:rsidRDefault="00C02A11" w:rsidP="008F0D5A">
            <w:pPr>
              <w:spacing w:before="40" w:after="40"/>
              <w:rPr>
                <w:b/>
                <w:bCs/>
                <w:color w:val="0D0D0D" w:themeColor="text1" w:themeTint="F2"/>
                <w:sz w:val="20"/>
                <w:szCs w:val="20"/>
              </w:rPr>
            </w:pP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sz w:val="20"/>
                <w:szCs w:val="20"/>
              </w:rPr>
              <w:t>Vegetative</w:t>
            </w: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sz w:val="20"/>
                <w:szCs w:val="20"/>
              </w:rPr>
              <w:t>Booting</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RAC875</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0.83</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0.90</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Wyalkatchem</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0.89</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0.83</w:t>
            </w:r>
          </w:p>
        </w:tc>
      </w:tr>
    </w:tbl>
    <w:p w:rsidR="00C02A11" w:rsidRPr="00C02A11" w:rsidRDefault="00C02A11" w:rsidP="00C02A11">
      <w:pPr>
        <w:spacing w:before="60" w:after="60"/>
        <w:rPr>
          <w:color w:val="0D0D0D" w:themeColor="text1" w:themeTint="F2"/>
        </w:rPr>
      </w:pPr>
    </w:p>
    <w:p w:rsidR="00C02A11" w:rsidRPr="00C02A11" w:rsidRDefault="00C02A11" w:rsidP="00C02A11">
      <w:pPr>
        <w:spacing w:before="60" w:after="60"/>
        <w:rPr>
          <w:rFonts w:cs="Times New Roman"/>
          <w:bCs/>
          <w:color w:val="0D0D0D" w:themeColor="text1" w:themeTint="F2"/>
          <w:szCs w:val="24"/>
        </w:rPr>
      </w:pPr>
      <w:r w:rsidRPr="00C02A11">
        <w:rPr>
          <w:rFonts w:cs="Times New Roman"/>
          <w:b/>
          <w:color w:val="0D0D0D" w:themeColor="text1" w:themeTint="F2"/>
          <w:szCs w:val="24"/>
        </w:rPr>
        <w:t>Table 5 S.</w:t>
      </w:r>
      <w:r w:rsidRPr="00C02A11">
        <w:rPr>
          <w:rFonts w:cs="Times New Roman"/>
          <w:bCs/>
          <w:color w:val="0D0D0D" w:themeColor="text1" w:themeTint="F2"/>
          <w:szCs w:val="24"/>
        </w:rPr>
        <w:t xml:space="preserve"> Two-way ANOVA </w:t>
      </w:r>
      <w:r w:rsidRPr="00C02A11">
        <w:rPr>
          <w:rStyle w:val="fontstyle01"/>
          <w:rFonts w:ascii="Times New Roman" w:hAnsi="Times New Roman" w:cs="Times New Roman"/>
          <w:color w:val="0D0D0D" w:themeColor="text1" w:themeTint="F2"/>
          <w:sz w:val="24"/>
          <w:szCs w:val="24"/>
        </w:rPr>
        <w:t>and simple effect</w:t>
      </w:r>
      <w:r w:rsidRPr="00C02A11">
        <w:rPr>
          <w:rFonts w:cs="Times New Roman"/>
          <w:bCs/>
          <w:color w:val="0D0D0D" w:themeColor="text1" w:themeTint="F2"/>
          <w:szCs w:val="24"/>
        </w:rPr>
        <w:t xml:space="preserve"> analysis </w:t>
      </w:r>
      <w:r w:rsidRPr="00C02A11">
        <w:rPr>
          <w:rStyle w:val="fontstyle01"/>
          <w:rFonts w:ascii="Times New Roman" w:hAnsi="Times New Roman" w:cs="Times New Roman"/>
          <w:color w:val="0D0D0D" w:themeColor="text1" w:themeTint="F2"/>
          <w:sz w:val="24"/>
          <w:szCs w:val="24"/>
        </w:rPr>
        <w:t xml:space="preserve">for the effects of genotype, </w:t>
      </w:r>
      <w:r w:rsidRPr="00C02A11">
        <w:rPr>
          <w:rFonts w:cs="Times New Roman"/>
          <w:bCs/>
          <w:color w:val="0D0D0D" w:themeColor="text1" w:themeTint="F2"/>
          <w:szCs w:val="24"/>
        </w:rPr>
        <w:t>P supply on F</w:t>
      </w:r>
      <w:r w:rsidRPr="00C02A11">
        <w:rPr>
          <w:rFonts w:cs="Times New Roman"/>
          <w:bCs/>
          <w:color w:val="0D0D0D" w:themeColor="text1" w:themeTint="F2"/>
          <w:szCs w:val="24"/>
          <w:vertAlign w:val="subscript"/>
        </w:rPr>
        <w:t>o</w:t>
      </w:r>
      <w:r w:rsidRPr="00C02A11">
        <w:rPr>
          <w:rFonts w:cs="Times New Roman"/>
          <w:bCs/>
          <w:color w:val="0D0D0D" w:themeColor="text1" w:themeTint="F2"/>
          <w:szCs w:val="24"/>
        </w:rPr>
        <w:t>, F</w:t>
      </w:r>
      <w:r w:rsidRPr="00C02A11">
        <w:rPr>
          <w:rFonts w:cs="Times New Roman"/>
          <w:bCs/>
          <w:color w:val="0D0D0D" w:themeColor="text1" w:themeTint="F2"/>
          <w:szCs w:val="24"/>
          <w:vertAlign w:val="subscript"/>
        </w:rPr>
        <w:t>m</w:t>
      </w:r>
      <w:r w:rsidRPr="00C02A11">
        <w:rPr>
          <w:rFonts w:cs="Times New Roman"/>
          <w:bCs/>
          <w:color w:val="0D0D0D" w:themeColor="text1" w:themeTint="F2"/>
          <w:szCs w:val="24"/>
        </w:rPr>
        <w:t xml:space="preserve"> and F</w:t>
      </w:r>
      <w:r w:rsidRPr="00C02A11">
        <w:rPr>
          <w:rFonts w:cs="Times New Roman"/>
          <w:bCs/>
          <w:color w:val="0D0D0D" w:themeColor="text1" w:themeTint="F2"/>
          <w:szCs w:val="24"/>
          <w:vertAlign w:val="subscript"/>
        </w:rPr>
        <w:t>v</w:t>
      </w:r>
      <w:r w:rsidRPr="00C02A11">
        <w:rPr>
          <w:rFonts w:cs="Times New Roman"/>
          <w:bCs/>
          <w:color w:val="0D0D0D" w:themeColor="text1" w:themeTint="F2"/>
          <w:szCs w:val="24"/>
        </w:rPr>
        <w:t xml:space="preserve"> at booting stage. Simple effect was analysed using Phia package in r. </w:t>
      </w:r>
    </w:p>
    <w:tbl>
      <w:tblPr>
        <w:tblStyle w:val="TableGrid"/>
        <w:tblW w:w="0" w:type="auto"/>
        <w:tblLook w:val="04A0"/>
      </w:tblPr>
      <w:tblGrid>
        <w:gridCol w:w="2405"/>
        <w:gridCol w:w="1630"/>
        <w:gridCol w:w="1630"/>
        <w:gridCol w:w="1630"/>
      </w:tblGrid>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Source</w:t>
            </w:r>
          </w:p>
        </w:tc>
        <w:tc>
          <w:tcPr>
            <w:tcW w:w="1630" w:type="dxa"/>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P value</w:t>
            </w:r>
          </w:p>
        </w:tc>
        <w:tc>
          <w:tcPr>
            <w:tcW w:w="1630" w:type="dxa"/>
          </w:tcPr>
          <w:p w:rsidR="00C02A11" w:rsidRPr="00C02A11" w:rsidRDefault="00C02A11" w:rsidP="008F0D5A">
            <w:pPr>
              <w:spacing w:before="40" w:after="40"/>
              <w:rPr>
                <w:b/>
                <w:bCs/>
                <w:color w:val="0D0D0D" w:themeColor="text1" w:themeTint="F2"/>
                <w:sz w:val="20"/>
                <w:szCs w:val="20"/>
              </w:rPr>
            </w:pPr>
          </w:p>
        </w:tc>
        <w:tc>
          <w:tcPr>
            <w:tcW w:w="1630" w:type="dxa"/>
          </w:tcPr>
          <w:p w:rsidR="00C02A11" w:rsidRPr="00C02A11" w:rsidRDefault="00C02A11" w:rsidP="008F0D5A">
            <w:pPr>
              <w:spacing w:before="40" w:after="40"/>
              <w:rPr>
                <w:b/>
                <w:bCs/>
                <w:color w:val="0D0D0D" w:themeColor="text1" w:themeTint="F2"/>
                <w:sz w:val="20"/>
                <w:szCs w:val="20"/>
              </w:rPr>
            </w:pP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rPr>
              <w:t>F</w:t>
            </w:r>
            <w:r w:rsidRPr="00C02A11">
              <w:rPr>
                <w:bCs/>
                <w:color w:val="0D0D0D" w:themeColor="text1" w:themeTint="F2"/>
                <w:vertAlign w:val="subscript"/>
              </w:rPr>
              <w:t>o</w:t>
            </w: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rPr>
              <w:t>F</w:t>
            </w:r>
            <w:r w:rsidRPr="00C02A11">
              <w:rPr>
                <w:bCs/>
                <w:color w:val="0D0D0D" w:themeColor="text1" w:themeTint="F2"/>
                <w:vertAlign w:val="subscript"/>
              </w:rPr>
              <w:t>m</w:t>
            </w: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rPr>
              <w:t>F</w:t>
            </w:r>
            <w:r w:rsidRPr="00C02A11">
              <w:rPr>
                <w:bCs/>
                <w:color w:val="0D0D0D" w:themeColor="text1" w:themeTint="F2"/>
                <w:vertAlign w:val="subscript"/>
              </w:rPr>
              <w:t>v</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Genotype (G)</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P&lt;0.001</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P&lt;0.001</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P&lt;0.001</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supply (P)</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P=0.246</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P=0.058</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P&lt;0.042</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P=0.010</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P=0.003</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18"/>
                <w:szCs w:val="18"/>
              </w:rPr>
              <w:t>P=0.003</w:t>
            </w:r>
          </w:p>
        </w:tc>
      </w:tr>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i/>
                <w:iCs/>
                <w:color w:val="0D0D0D" w:themeColor="text1" w:themeTint="F2"/>
                <w:sz w:val="20"/>
                <w:szCs w:val="20"/>
              </w:rPr>
              <w:t>P at each genotype</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xml:space="preserve">P at RAC875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P=0.021</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P=0.003</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P=0.002</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Wyalkatchem</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P=0.219</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P=0.294</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P=0.331</w:t>
            </w:r>
          </w:p>
        </w:tc>
      </w:tr>
    </w:tbl>
    <w:p w:rsidR="00C02A11" w:rsidRDefault="00C02A11" w:rsidP="00C02A11">
      <w:pPr>
        <w:spacing w:before="60" w:after="60"/>
        <w:rPr>
          <w:color w:val="0D0D0D" w:themeColor="text1" w:themeTint="F2"/>
          <w:sz w:val="20"/>
          <w:szCs w:val="20"/>
        </w:rPr>
      </w:pPr>
    </w:p>
    <w:p w:rsidR="00F267D1" w:rsidRDefault="00F267D1" w:rsidP="00C02A11">
      <w:pPr>
        <w:spacing w:before="60" w:after="60"/>
        <w:rPr>
          <w:color w:val="0D0D0D" w:themeColor="text1" w:themeTint="F2"/>
          <w:sz w:val="20"/>
          <w:szCs w:val="20"/>
        </w:rPr>
      </w:pPr>
    </w:p>
    <w:p w:rsidR="00F267D1" w:rsidRDefault="00F267D1" w:rsidP="00C02A11">
      <w:pPr>
        <w:spacing w:before="60" w:after="60"/>
        <w:rPr>
          <w:color w:val="0D0D0D" w:themeColor="text1" w:themeTint="F2"/>
          <w:sz w:val="20"/>
          <w:szCs w:val="20"/>
        </w:rPr>
      </w:pPr>
    </w:p>
    <w:p w:rsidR="00023038" w:rsidRDefault="00023038" w:rsidP="00C02A11">
      <w:pPr>
        <w:spacing w:before="60" w:after="60"/>
        <w:rPr>
          <w:color w:val="0D0D0D" w:themeColor="text1" w:themeTint="F2"/>
          <w:sz w:val="20"/>
          <w:szCs w:val="20"/>
        </w:rPr>
      </w:pPr>
    </w:p>
    <w:p w:rsidR="00023038" w:rsidRDefault="00023038" w:rsidP="00C02A11">
      <w:pPr>
        <w:spacing w:before="60" w:after="60"/>
        <w:rPr>
          <w:color w:val="0D0D0D" w:themeColor="text1" w:themeTint="F2"/>
          <w:sz w:val="20"/>
          <w:szCs w:val="20"/>
        </w:rPr>
      </w:pPr>
    </w:p>
    <w:p w:rsidR="00F267D1" w:rsidRPr="00C02A11" w:rsidRDefault="00F267D1" w:rsidP="00C02A11">
      <w:pPr>
        <w:spacing w:before="60" w:after="60"/>
        <w:rPr>
          <w:color w:val="0D0D0D" w:themeColor="text1" w:themeTint="F2"/>
          <w:sz w:val="20"/>
          <w:szCs w:val="20"/>
        </w:rPr>
      </w:pPr>
    </w:p>
    <w:p w:rsidR="00C02A11" w:rsidRPr="00C02A11" w:rsidRDefault="00C02A11" w:rsidP="00C02A11">
      <w:pPr>
        <w:spacing w:before="60" w:after="60"/>
        <w:rPr>
          <w:rFonts w:cs="Times New Roman"/>
          <w:bCs/>
          <w:color w:val="0D0D0D" w:themeColor="text1" w:themeTint="F2"/>
          <w:szCs w:val="24"/>
        </w:rPr>
      </w:pPr>
      <w:r w:rsidRPr="00C02A11">
        <w:rPr>
          <w:rFonts w:cs="Times New Roman"/>
          <w:b/>
          <w:color w:val="0D0D0D" w:themeColor="text1" w:themeTint="F2"/>
          <w:szCs w:val="24"/>
        </w:rPr>
        <w:lastRenderedPageBreak/>
        <w:t>Table 6 S.</w:t>
      </w:r>
      <w:r w:rsidRPr="00C02A11">
        <w:rPr>
          <w:rFonts w:cs="Times New Roman"/>
          <w:bCs/>
          <w:color w:val="0D0D0D" w:themeColor="text1" w:themeTint="F2"/>
          <w:szCs w:val="24"/>
        </w:rPr>
        <w:t xml:space="preserve"> Two-way ANOVA </w:t>
      </w:r>
      <w:r w:rsidRPr="00C02A11">
        <w:rPr>
          <w:rStyle w:val="fontstyle01"/>
          <w:rFonts w:ascii="Times New Roman" w:hAnsi="Times New Roman" w:cs="Times New Roman"/>
          <w:color w:val="0D0D0D" w:themeColor="text1" w:themeTint="F2"/>
          <w:sz w:val="24"/>
          <w:szCs w:val="24"/>
        </w:rPr>
        <w:t>and simple effect</w:t>
      </w:r>
      <w:r w:rsidRPr="00C02A11">
        <w:rPr>
          <w:rFonts w:cs="Times New Roman"/>
          <w:bCs/>
          <w:color w:val="0D0D0D" w:themeColor="text1" w:themeTint="F2"/>
          <w:szCs w:val="24"/>
        </w:rPr>
        <w:t xml:space="preserve"> analysis </w:t>
      </w:r>
      <w:r w:rsidRPr="00C02A11">
        <w:rPr>
          <w:rStyle w:val="fontstyle01"/>
          <w:rFonts w:ascii="Times New Roman" w:hAnsi="Times New Roman" w:cs="Times New Roman"/>
          <w:color w:val="0D0D0D" w:themeColor="text1" w:themeTint="F2"/>
          <w:sz w:val="24"/>
          <w:szCs w:val="24"/>
        </w:rPr>
        <w:t xml:space="preserve">for the effects of genotype, </w:t>
      </w:r>
      <w:r w:rsidRPr="00C02A11">
        <w:rPr>
          <w:rFonts w:cs="Times New Roman"/>
          <w:bCs/>
          <w:color w:val="0D0D0D" w:themeColor="text1" w:themeTint="F2"/>
          <w:szCs w:val="24"/>
        </w:rPr>
        <w:t xml:space="preserve">P supply on NQP at booting stage. Simple effect was analysed using Phia package in r. </w:t>
      </w:r>
    </w:p>
    <w:tbl>
      <w:tblPr>
        <w:tblStyle w:val="TableGrid"/>
        <w:tblW w:w="0" w:type="auto"/>
        <w:tblLook w:val="04A0"/>
      </w:tblPr>
      <w:tblGrid>
        <w:gridCol w:w="2405"/>
        <w:gridCol w:w="1630"/>
      </w:tblGrid>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Source</w:t>
            </w:r>
          </w:p>
        </w:tc>
        <w:tc>
          <w:tcPr>
            <w:tcW w:w="1630" w:type="dxa"/>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P value</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p>
        </w:tc>
        <w:tc>
          <w:tcPr>
            <w:tcW w:w="1630" w:type="dxa"/>
          </w:tcPr>
          <w:p w:rsidR="00C02A11" w:rsidRPr="00C02A11" w:rsidRDefault="00C02A11" w:rsidP="008F0D5A">
            <w:pPr>
              <w:spacing w:before="40" w:after="40"/>
              <w:rPr>
                <w:color w:val="0D0D0D" w:themeColor="text1" w:themeTint="F2"/>
                <w:sz w:val="20"/>
                <w:szCs w:val="20"/>
              </w:rPr>
            </w:pPr>
            <w:r w:rsidRPr="00C02A11">
              <w:rPr>
                <w:bCs/>
                <w:color w:val="0D0D0D" w:themeColor="text1" w:themeTint="F2"/>
                <w:sz w:val="20"/>
                <w:szCs w:val="20"/>
              </w:rPr>
              <w:t>NPQ</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Genotype (G)</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P=0.287</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supply (P)</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P=0.131</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G x P</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P=0.094</w:t>
            </w:r>
          </w:p>
        </w:tc>
      </w:tr>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i/>
                <w:iCs/>
                <w:color w:val="0D0D0D" w:themeColor="text1" w:themeTint="F2"/>
                <w:sz w:val="20"/>
                <w:szCs w:val="20"/>
              </w:rPr>
              <w:t>P at each genotype</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 xml:space="preserve">P at RAC875 </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P=0.890</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 at Wyalkatchem</w:t>
            </w:r>
          </w:p>
        </w:tc>
        <w:tc>
          <w:tcPr>
            <w:tcW w:w="1630"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P=0.063</w:t>
            </w:r>
          </w:p>
        </w:tc>
      </w:tr>
    </w:tbl>
    <w:p w:rsidR="00C02A11" w:rsidRPr="00C02A11" w:rsidRDefault="00C02A11" w:rsidP="00C02A11">
      <w:pPr>
        <w:spacing w:before="60" w:after="60"/>
        <w:rPr>
          <w:color w:val="0D0D0D" w:themeColor="text1" w:themeTint="F2"/>
        </w:rPr>
      </w:pPr>
    </w:p>
    <w:p w:rsidR="00C02A11" w:rsidRPr="00C02A11" w:rsidRDefault="00C02A11" w:rsidP="00C02A11">
      <w:pPr>
        <w:spacing w:before="60" w:after="60"/>
        <w:rPr>
          <w:color w:val="0D0D0D" w:themeColor="text1" w:themeTint="F2"/>
        </w:rPr>
      </w:pPr>
    </w:p>
    <w:p w:rsidR="00C02A11" w:rsidRPr="00C02A11" w:rsidRDefault="00C02A11" w:rsidP="00C02A11">
      <w:pPr>
        <w:spacing w:before="60" w:after="60"/>
        <w:rPr>
          <w:rFonts w:cs="Times New Roman"/>
          <w:bCs/>
          <w:color w:val="0D0D0D" w:themeColor="text1" w:themeTint="F2"/>
          <w:szCs w:val="24"/>
        </w:rPr>
      </w:pPr>
      <w:r w:rsidRPr="00C02A11">
        <w:rPr>
          <w:rFonts w:cs="Times New Roman"/>
          <w:b/>
          <w:color w:val="0D0D0D" w:themeColor="text1" w:themeTint="F2"/>
          <w:szCs w:val="24"/>
        </w:rPr>
        <w:t>Table 7 S.</w:t>
      </w:r>
      <w:r w:rsidRPr="00C02A11">
        <w:rPr>
          <w:rFonts w:cs="Times New Roman"/>
          <w:bCs/>
          <w:color w:val="0D0D0D" w:themeColor="text1" w:themeTint="F2"/>
          <w:szCs w:val="24"/>
        </w:rPr>
        <w:t xml:space="preserve"> The ratio of NPQ to adequate P for each genotype at vegetative and booting stage</w:t>
      </w:r>
      <w:r w:rsidRPr="00C02A11">
        <w:rPr>
          <w:rStyle w:val="fontstyle01"/>
          <w:rFonts w:ascii="Times New Roman" w:hAnsi="Times New Roman" w:cs="Times New Roman"/>
          <w:color w:val="0D0D0D" w:themeColor="text1" w:themeTint="F2"/>
          <w:sz w:val="24"/>
          <w:szCs w:val="24"/>
        </w:rPr>
        <w:t>. P10 (low P) and P30 (adequate P): P supply at 10 mg and 30 mg P/kg soil.</w:t>
      </w:r>
    </w:p>
    <w:tbl>
      <w:tblPr>
        <w:tblStyle w:val="TableGrid"/>
        <w:tblW w:w="0" w:type="auto"/>
        <w:tblLook w:val="04A0"/>
      </w:tblPr>
      <w:tblGrid>
        <w:gridCol w:w="2405"/>
        <w:gridCol w:w="1630"/>
      </w:tblGrid>
      <w:tr w:rsidR="00C02A11" w:rsidRPr="00C02A11" w:rsidTr="008F0D5A">
        <w:tc>
          <w:tcPr>
            <w:tcW w:w="2405" w:type="dxa"/>
            <w:vAlign w:val="center"/>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Genotype</w:t>
            </w:r>
          </w:p>
        </w:tc>
        <w:tc>
          <w:tcPr>
            <w:tcW w:w="1630" w:type="dxa"/>
          </w:tcPr>
          <w:p w:rsidR="00C02A11" w:rsidRPr="00C02A11" w:rsidRDefault="00C02A11" w:rsidP="008F0D5A">
            <w:pPr>
              <w:spacing w:before="40" w:after="40"/>
              <w:rPr>
                <w:b/>
                <w:bCs/>
                <w:color w:val="0D0D0D" w:themeColor="text1" w:themeTint="F2"/>
                <w:sz w:val="20"/>
                <w:szCs w:val="20"/>
              </w:rPr>
            </w:pPr>
            <w:r w:rsidRPr="00C02A11">
              <w:rPr>
                <w:b/>
                <w:bCs/>
                <w:color w:val="0D0D0D" w:themeColor="text1" w:themeTint="F2"/>
                <w:sz w:val="20"/>
                <w:szCs w:val="20"/>
              </w:rPr>
              <w:t>NPQ</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RAC875</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0.97</w:t>
            </w:r>
          </w:p>
        </w:tc>
      </w:tr>
      <w:tr w:rsidR="00C02A11" w:rsidRPr="00C02A11" w:rsidTr="008F0D5A">
        <w:tc>
          <w:tcPr>
            <w:tcW w:w="2405" w:type="dxa"/>
            <w:vAlign w:val="center"/>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Wyalkatchem</w:t>
            </w:r>
          </w:p>
        </w:tc>
        <w:tc>
          <w:tcPr>
            <w:tcW w:w="1630" w:type="dxa"/>
          </w:tcPr>
          <w:p w:rsidR="00C02A11" w:rsidRPr="00C02A11" w:rsidRDefault="00C02A11" w:rsidP="008F0D5A">
            <w:pPr>
              <w:spacing w:before="40" w:after="40"/>
              <w:rPr>
                <w:color w:val="0D0D0D" w:themeColor="text1" w:themeTint="F2"/>
                <w:sz w:val="20"/>
                <w:szCs w:val="20"/>
              </w:rPr>
            </w:pPr>
            <w:r w:rsidRPr="00C02A11">
              <w:rPr>
                <w:color w:val="0D0D0D" w:themeColor="text1" w:themeTint="F2"/>
                <w:sz w:val="20"/>
                <w:szCs w:val="20"/>
              </w:rPr>
              <w:t>1.52</w:t>
            </w:r>
          </w:p>
        </w:tc>
      </w:tr>
    </w:tbl>
    <w:p w:rsidR="00C02A11" w:rsidRPr="00C02A11" w:rsidRDefault="00C02A11" w:rsidP="00C02A11">
      <w:pPr>
        <w:spacing w:before="60" w:after="60"/>
        <w:rPr>
          <w:color w:val="0D0D0D" w:themeColor="text1" w:themeTint="F2"/>
          <w:sz w:val="20"/>
          <w:szCs w:val="20"/>
        </w:rPr>
      </w:pPr>
    </w:p>
    <w:p w:rsidR="00C02A11" w:rsidRPr="00C02A11" w:rsidRDefault="00C02A11" w:rsidP="00C02A11">
      <w:pPr>
        <w:spacing w:before="60" w:after="60"/>
        <w:rPr>
          <w:color w:val="0D0D0D" w:themeColor="text1" w:themeTint="F2"/>
          <w:sz w:val="20"/>
          <w:szCs w:val="20"/>
        </w:rPr>
      </w:pPr>
    </w:p>
    <w:p w:rsidR="00C02A11" w:rsidRPr="00C02A11" w:rsidRDefault="00C02A11" w:rsidP="00C02A11">
      <w:pPr>
        <w:spacing w:before="60" w:after="60"/>
        <w:rPr>
          <w:color w:val="0D0D0D" w:themeColor="text1" w:themeTint="F2"/>
        </w:rPr>
      </w:pPr>
    </w:p>
    <w:p w:rsidR="00C02A11" w:rsidRPr="00C02A11" w:rsidRDefault="00C02A11" w:rsidP="00C02A11">
      <w:pPr>
        <w:spacing w:before="60" w:after="60"/>
        <w:rPr>
          <w:bCs/>
          <w:color w:val="0D0D0D" w:themeColor="text1" w:themeTint="F2"/>
        </w:rPr>
      </w:pPr>
      <w:r w:rsidRPr="00C02A11">
        <w:rPr>
          <w:b/>
          <w:color w:val="0D0D0D" w:themeColor="text1" w:themeTint="F2"/>
        </w:rPr>
        <w:t xml:space="preserve">Table 8 S. </w:t>
      </w:r>
      <w:r w:rsidRPr="00C02A11">
        <w:rPr>
          <w:bCs/>
          <w:color w:val="0D0D0D" w:themeColor="text1" w:themeTint="F2"/>
        </w:rPr>
        <w:t>Effect of P supply on harvest index (HI) in two wheat genotypes</w:t>
      </w:r>
    </w:p>
    <w:tbl>
      <w:tblPr>
        <w:tblStyle w:val="TableGrid"/>
        <w:tblW w:w="6663" w:type="dxa"/>
        <w:tblLayout w:type="fixed"/>
        <w:tblLook w:val="04A0"/>
      </w:tblPr>
      <w:tblGrid>
        <w:gridCol w:w="1560"/>
        <w:gridCol w:w="2126"/>
        <w:gridCol w:w="2977"/>
      </w:tblGrid>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P treatment (mg P kg</w:t>
            </w:r>
            <w:r w:rsidRPr="00C02A11">
              <w:rPr>
                <w:color w:val="0D0D0D" w:themeColor="text1" w:themeTint="F2"/>
                <w:sz w:val="20"/>
                <w:szCs w:val="20"/>
                <w:vertAlign w:val="superscript"/>
              </w:rPr>
              <w:t>-1</w:t>
            </w:r>
            <w:r w:rsidRPr="00C02A11">
              <w:rPr>
                <w:color w:val="0D0D0D" w:themeColor="text1" w:themeTint="F2"/>
                <w:sz w:val="20"/>
                <w:szCs w:val="20"/>
              </w:rPr>
              <w:t xml:space="preserve"> soil)</w:t>
            </w:r>
          </w:p>
        </w:tc>
        <w:tc>
          <w:tcPr>
            <w:tcW w:w="2126" w:type="dxa"/>
          </w:tcPr>
          <w:p w:rsidR="00C02A11" w:rsidRPr="00C02A11" w:rsidRDefault="00C02A11" w:rsidP="00C02A11">
            <w:pPr>
              <w:spacing w:before="60" w:after="60"/>
              <w:rPr>
                <w:color w:val="0D0D0D" w:themeColor="text1" w:themeTint="F2"/>
                <w:sz w:val="20"/>
                <w:szCs w:val="20"/>
              </w:rPr>
            </w:pP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Harvest index (%)</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10</w:t>
            </w:r>
          </w:p>
        </w:tc>
        <w:tc>
          <w:tcPr>
            <w:tcW w:w="2126"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RAC875</w:t>
            </w: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36.43 ± 0.62</w:t>
            </w:r>
            <w:r w:rsidRPr="00C02A11">
              <w:rPr>
                <w:color w:val="0D0D0D" w:themeColor="text1" w:themeTint="F2"/>
                <w:sz w:val="20"/>
                <w:szCs w:val="20"/>
                <w:vertAlign w:val="superscript"/>
              </w:rPr>
              <w:t>a</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p>
        </w:tc>
        <w:tc>
          <w:tcPr>
            <w:tcW w:w="2126"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Wyalkatchem</w:t>
            </w:r>
          </w:p>
        </w:tc>
        <w:tc>
          <w:tcPr>
            <w:tcW w:w="2977" w:type="dxa"/>
          </w:tcPr>
          <w:p w:rsidR="00C02A11" w:rsidRPr="00C02A11" w:rsidRDefault="00C02A11" w:rsidP="00C02A11">
            <w:pPr>
              <w:spacing w:before="60" w:after="60"/>
              <w:rPr>
                <w:color w:val="0D0D0D" w:themeColor="text1" w:themeTint="F2"/>
                <w:sz w:val="20"/>
                <w:szCs w:val="20"/>
                <w:vertAlign w:val="superscript"/>
              </w:rPr>
            </w:pPr>
            <w:r w:rsidRPr="00C02A11">
              <w:rPr>
                <w:color w:val="0D0D0D" w:themeColor="text1" w:themeTint="F2"/>
                <w:sz w:val="20"/>
                <w:szCs w:val="20"/>
              </w:rPr>
              <w:t>28.79 ± 1.31</w:t>
            </w:r>
            <w:r w:rsidRPr="00C02A11">
              <w:rPr>
                <w:color w:val="0D0D0D" w:themeColor="text1" w:themeTint="F2"/>
                <w:sz w:val="20"/>
                <w:szCs w:val="20"/>
                <w:vertAlign w:val="superscript"/>
              </w:rPr>
              <w:t>b</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30</w:t>
            </w:r>
          </w:p>
        </w:tc>
        <w:tc>
          <w:tcPr>
            <w:tcW w:w="2126"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RAC875</w:t>
            </w: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34.46 ± 0.09</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p>
        </w:tc>
        <w:tc>
          <w:tcPr>
            <w:tcW w:w="2126"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Wyalkatchem</w:t>
            </w: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31.76 ± 2.35</w:t>
            </w:r>
          </w:p>
        </w:tc>
      </w:tr>
      <w:tr w:rsidR="00C02A11" w:rsidRPr="00C02A11" w:rsidTr="00C02A11">
        <w:tc>
          <w:tcPr>
            <w:tcW w:w="1560" w:type="dxa"/>
          </w:tcPr>
          <w:p w:rsidR="00C02A11" w:rsidRPr="00C02A11" w:rsidRDefault="00C02A11" w:rsidP="00C02A11">
            <w:pPr>
              <w:spacing w:before="60" w:after="60"/>
              <w:rPr>
                <w:i/>
                <w:iCs/>
                <w:color w:val="0D0D0D" w:themeColor="text1" w:themeTint="F2"/>
                <w:sz w:val="20"/>
                <w:szCs w:val="20"/>
              </w:rPr>
            </w:pPr>
            <w:r w:rsidRPr="00C02A11">
              <w:rPr>
                <w:i/>
                <w:iCs/>
                <w:color w:val="0D0D0D" w:themeColor="text1" w:themeTint="F2"/>
                <w:sz w:val="20"/>
                <w:szCs w:val="20"/>
              </w:rPr>
              <w:t>P value</w:t>
            </w:r>
          </w:p>
        </w:tc>
        <w:tc>
          <w:tcPr>
            <w:tcW w:w="2126" w:type="dxa"/>
          </w:tcPr>
          <w:p w:rsidR="00C02A11" w:rsidRPr="00C02A11" w:rsidRDefault="00C02A11" w:rsidP="00C02A11">
            <w:pPr>
              <w:spacing w:before="60" w:after="60"/>
              <w:rPr>
                <w:color w:val="0D0D0D" w:themeColor="text1" w:themeTint="F2"/>
                <w:sz w:val="20"/>
                <w:szCs w:val="20"/>
              </w:rPr>
            </w:pPr>
          </w:p>
        </w:tc>
        <w:tc>
          <w:tcPr>
            <w:tcW w:w="2977" w:type="dxa"/>
          </w:tcPr>
          <w:p w:rsidR="00C02A11" w:rsidRPr="00C02A11" w:rsidRDefault="00C02A11" w:rsidP="00C02A11">
            <w:pPr>
              <w:spacing w:before="60" w:after="60"/>
              <w:rPr>
                <w:color w:val="0D0D0D" w:themeColor="text1" w:themeTint="F2"/>
                <w:sz w:val="20"/>
                <w:szCs w:val="20"/>
              </w:rPr>
            </w:pP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Genotype (G)</w:t>
            </w:r>
          </w:p>
        </w:tc>
        <w:tc>
          <w:tcPr>
            <w:tcW w:w="2126" w:type="dxa"/>
          </w:tcPr>
          <w:p w:rsidR="00C02A11" w:rsidRPr="00C02A11" w:rsidRDefault="00C02A11" w:rsidP="00C02A11">
            <w:pPr>
              <w:spacing w:before="60" w:after="60"/>
              <w:rPr>
                <w:color w:val="0D0D0D" w:themeColor="text1" w:themeTint="F2"/>
                <w:sz w:val="20"/>
                <w:szCs w:val="20"/>
              </w:rPr>
            </w:pP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P&lt;0.001</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P supply (P)</w:t>
            </w:r>
          </w:p>
        </w:tc>
        <w:tc>
          <w:tcPr>
            <w:tcW w:w="2126" w:type="dxa"/>
          </w:tcPr>
          <w:p w:rsidR="00C02A11" w:rsidRPr="00C02A11" w:rsidRDefault="00C02A11" w:rsidP="00C02A11">
            <w:pPr>
              <w:spacing w:before="60" w:after="60"/>
              <w:rPr>
                <w:color w:val="0D0D0D" w:themeColor="text1" w:themeTint="F2"/>
                <w:sz w:val="20"/>
                <w:szCs w:val="20"/>
              </w:rPr>
            </w:pP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P=0.997</w:t>
            </w:r>
          </w:p>
        </w:tc>
      </w:tr>
      <w:tr w:rsidR="00C02A11" w:rsidRPr="00C02A11" w:rsidTr="00C02A11">
        <w:tc>
          <w:tcPr>
            <w:tcW w:w="1560"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G × P</w:t>
            </w:r>
          </w:p>
        </w:tc>
        <w:tc>
          <w:tcPr>
            <w:tcW w:w="2126" w:type="dxa"/>
          </w:tcPr>
          <w:p w:rsidR="00C02A11" w:rsidRPr="00C02A11" w:rsidRDefault="00C02A11" w:rsidP="00C02A11">
            <w:pPr>
              <w:spacing w:before="60" w:after="60"/>
              <w:rPr>
                <w:color w:val="0D0D0D" w:themeColor="text1" w:themeTint="F2"/>
                <w:sz w:val="20"/>
                <w:szCs w:val="20"/>
              </w:rPr>
            </w:pPr>
          </w:p>
        </w:tc>
        <w:tc>
          <w:tcPr>
            <w:tcW w:w="2977" w:type="dxa"/>
          </w:tcPr>
          <w:p w:rsidR="00C02A11" w:rsidRPr="00C02A11" w:rsidRDefault="00C02A11" w:rsidP="00C02A11">
            <w:pPr>
              <w:spacing w:before="60" w:after="60"/>
              <w:rPr>
                <w:color w:val="0D0D0D" w:themeColor="text1" w:themeTint="F2"/>
                <w:sz w:val="20"/>
                <w:szCs w:val="20"/>
              </w:rPr>
            </w:pPr>
            <w:r w:rsidRPr="00C02A11">
              <w:rPr>
                <w:color w:val="0D0D0D" w:themeColor="text1" w:themeTint="F2"/>
                <w:sz w:val="20"/>
                <w:szCs w:val="20"/>
              </w:rPr>
              <w:t>P=0.002</w:t>
            </w:r>
          </w:p>
        </w:tc>
      </w:tr>
    </w:tbl>
    <w:p w:rsidR="00DE23E8" w:rsidRPr="00C02A11" w:rsidRDefault="00C02A11" w:rsidP="000F4835">
      <w:pPr>
        <w:spacing w:before="60" w:after="60"/>
        <w:rPr>
          <w:color w:val="0D0D0D" w:themeColor="text1" w:themeTint="F2"/>
        </w:rPr>
      </w:pPr>
      <w:r w:rsidRPr="00C02A11">
        <w:rPr>
          <w:color w:val="0D0D0D" w:themeColor="text1" w:themeTint="F2"/>
        </w:rPr>
        <w:t>Different letters show significantly different between two genotypes within the same P supply (P&lt;0.05).</w:t>
      </w:r>
    </w:p>
    <w:sectPr w:rsidR="00DE23E8" w:rsidRPr="00C02A11" w:rsidSect="00CB11E4">
      <w:headerReference w:type="even" r:id="rId11"/>
      <w:footerReference w:type="even" r:id="rId12"/>
      <w:footerReference w:type="default" r:id="rId13"/>
      <w:headerReference w:type="first" r:id="rId14"/>
      <w:pgSz w:w="12240" w:h="15840"/>
      <w:pgMar w:top="1140" w:right="1179" w:bottom="1140" w:left="1281" w:header="720" w:footer="720" w:gutter="0"/>
      <w:lnNumType w:countBy="0" w:restart="continuous"/>
      <w:cols w:space="720"/>
      <w:titlePg/>
      <w:docGrid w:linePitch="360"/>
      <w:sectPrChange w:id="0" w:author="Fathima" w:date="2022-01-17T13:47:00Z">
        <w:sectPr w:rsidR="00DE23E8" w:rsidRPr="00C02A11" w:rsidSect="00CB11E4">
          <w:lnNumType w:countBy="1"/>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DCA" w:rsidRDefault="00BD0DCA" w:rsidP="00117666">
      <w:pPr>
        <w:spacing w:after="0"/>
      </w:pPr>
      <w:r>
        <w:separator/>
      </w:r>
    </w:p>
  </w:endnote>
  <w:endnote w:type="continuationSeparator" w:id="1">
    <w:p w:rsidR="00BD0DCA" w:rsidRDefault="00BD0DCA"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863180fb">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453B48">
    <w:pPr>
      <w:rPr>
        <w:color w:val="C00000"/>
        <w:szCs w:val="24"/>
      </w:rPr>
    </w:pPr>
    <w:r w:rsidRPr="00453B48">
      <w:rPr>
        <w:noProof/>
        <w:lang w:val="en-GB" w:eastAsia="en-GB"/>
      </w:rPr>
      <w:pict>
        <v:shapetype id="_x0000_t202" coordsize="21600,21600" o:spt="202" path="m,l,21600r21600,l21600,xe">
          <v:stroke joinstyle="miter"/>
          <v:path gradientshapeok="t" o:connecttype="rect"/>
        </v:shapetype>
        <v:shape id="Text Box 1" o:spid="_x0000_s1026" type="#_x0000_t202" style="position:absolute;margin-left:146.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QUFBQUFBQQ0NCkFJMEVB&#10;QUJrY25=&#10;" filled="f" stroked="f" strokeweight=".5pt">
          <v:textbox style="mso-fit-shape-to-text:t">
            <w:txbxContent>
              <w:p w:rsidR="00995F6A" w:rsidRPr="00577C4C" w:rsidRDefault="00453B4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170918">
                  <w:rPr>
                    <w:noProof/>
                    <w:color w:val="000000" w:themeColor="text1"/>
                    <w:szCs w:val="40"/>
                  </w:rPr>
                  <w:t>6</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453B48">
    <w:pPr>
      <w:rPr>
        <w:b/>
        <w:sz w:val="20"/>
        <w:szCs w:val="24"/>
      </w:rPr>
    </w:pPr>
    <w:r w:rsidRPr="00453B48">
      <w:rPr>
        <w:noProof/>
        <w:lang w:val="en-GB" w:eastAsia="en-GB"/>
      </w:rPr>
      <w:pict>
        <v:shapetype id="_x0000_t202" coordsize="21600,21600" o:spt="202" path="m,l,21600r21600,l21600,xe">
          <v:stroke joinstyle="miter"/>
          <v:path gradientshapeok="t" o:connecttype="rect"/>
        </v:shapetype>
        <v:shape id="Text Box 56" o:spid="_x0000_s1027" type="#_x0000_t202" style="position:absolute;margin-left:146.4pt;margin-top:0;width:118.8pt;height:31.15pt;z-index:251646976;visibility:visible;mso-position-horizontal:right;mso-position-horizontal-relative:margin;mso-position-vertical:top;mso-position-vertical-relative:bottom-margin-area;mso-width-relative:margin;mso-height-relative:margin" filled="f" stroked="f" strokeweight=".5pt">
          <v:textbox style="mso-fit-shape-to-text:t">
            <w:txbxContent>
              <w:p w:rsidR="00995F6A" w:rsidRPr="00577C4C" w:rsidRDefault="00453B4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170918">
                  <w:rPr>
                    <w:noProof/>
                    <w:color w:val="000000" w:themeColor="text1"/>
                    <w:szCs w:val="40"/>
                  </w:rPr>
                  <w:t>5</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DCA" w:rsidRDefault="00BD0DCA" w:rsidP="00117666">
      <w:pPr>
        <w:spacing w:after="0"/>
      </w:pPr>
      <w:r>
        <w:separator/>
      </w:r>
    </w:p>
  </w:footnote>
  <w:footnote w:type="continuationSeparator" w:id="1">
    <w:p w:rsidR="00BD0DCA" w:rsidRDefault="00BD0DCA"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Default="0093429D" w:rsidP="0093429D">
    <w:r w:rsidRPr="005A1D84">
      <w:rPr>
        <w:b/>
        <w:noProof/>
        <w:color w:val="A6A6A6" w:themeColor="background1" w:themeShade="A6"/>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 Lam Nguyen">
    <w15:presenceInfo w15:providerId="AD" w15:userId="S::nguy0253@flinders.edu.au::32365ea7-754b-42b3-a9a3-5800be24920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8"/>
  <w:attachedTemplate r:id="rId1"/>
  <w:trackRevisions/>
  <w:defaultTabStop w:val="720"/>
  <w:evenAndOddHeaders/>
  <w:drawingGridHorizontalSpacing w:val="12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ED20B5"/>
    <w:rsid w:val="0001436A"/>
    <w:rsid w:val="00023038"/>
    <w:rsid w:val="00034304"/>
    <w:rsid w:val="00035434"/>
    <w:rsid w:val="00052A14"/>
    <w:rsid w:val="00077D53"/>
    <w:rsid w:val="000F4835"/>
    <w:rsid w:val="00100453"/>
    <w:rsid w:val="00105FD9"/>
    <w:rsid w:val="00117666"/>
    <w:rsid w:val="001549D3"/>
    <w:rsid w:val="00160065"/>
    <w:rsid w:val="00170918"/>
    <w:rsid w:val="00177D84"/>
    <w:rsid w:val="00264EEE"/>
    <w:rsid w:val="00267D18"/>
    <w:rsid w:val="00274347"/>
    <w:rsid w:val="002868E2"/>
    <w:rsid w:val="002869C3"/>
    <w:rsid w:val="00292D63"/>
    <w:rsid w:val="002936E4"/>
    <w:rsid w:val="002B4A57"/>
    <w:rsid w:val="002C74CA"/>
    <w:rsid w:val="003123F4"/>
    <w:rsid w:val="003544FB"/>
    <w:rsid w:val="003C0045"/>
    <w:rsid w:val="003D2F2D"/>
    <w:rsid w:val="003D5A84"/>
    <w:rsid w:val="00401590"/>
    <w:rsid w:val="0044544F"/>
    <w:rsid w:val="00447801"/>
    <w:rsid w:val="00452E9C"/>
    <w:rsid w:val="00453B48"/>
    <w:rsid w:val="004735C8"/>
    <w:rsid w:val="004947A6"/>
    <w:rsid w:val="004961FF"/>
    <w:rsid w:val="004E55DE"/>
    <w:rsid w:val="00517A89"/>
    <w:rsid w:val="005250F2"/>
    <w:rsid w:val="00535AA7"/>
    <w:rsid w:val="00593EEA"/>
    <w:rsid w:val="005A5EEE"/>
    <w:rsid w:val="00621303"/>
    <w:rsid w:val="006375C7"/>
    <w:rsid w:val="00654E8F"/>
    <w:rsid w:val="00660D05"/>
    <w:rsid w:val="006820B1"/>
    <w:rsid w:val="006B7D14"/>
    <w:rsid w:val="00701727"/>
    <w:rsid w:val="0070566C"/>
    <w:rsid w:val="00714C50"/>
    <w:rsid w:val="00725A7D"/>
    <w:rsid w:val="00731390"/>
    <w:rsid w:val="007501BE"/>
    <w:rsid w:val="0076591D"/>
    <w:rsid w:val="00790BB3"/>
    <w:rsid w:val="007C206C"/>
    <w:rsid w:val="007E3676"/>
    <w:rsid w:val="00817DD6"/>
    <w:rsid w:val="0083759F"/>
    <w:rsid w:val="00885156"/>
    <w:rsid w:val="008E4458"/>
    <w:rsid w:val="009151AA"/>
    <w:rsid w:val="0093429D"/>
    <w:rsid w:val="00943573"/>
    <w:rsid w:val="00964134"/>
    <w:rsid w:val="00970F7D"/>
    <w:rsid w:val="00994A3D"/>
    <w:rsid w:val="009C2B12"/>
    <w:rsid w:val="00A174D9"/>
    <w:rsid w:val="00A17D8A"/>
    <w:rsid w:val="00AA4D24"/>
    <w:rsid w:val="00AB6715"/>
    <w:rsid w:val="00B1671E"/>
    <w:rsid w:val="00B25EB8"/>
    <w:rsid w:val="00B37F4D"/>
    <w:rsid w:val="00BD0DCA"/>
    <w:rsid w:val="00C02A11"/>
    <w:rsid w:val="00C52A7B"/>
    <w:rsid w:val="00C56BAF"/>
    <w:rsid w:val="00C679AA"/>
    <w:rsid w:val="00C75972"/>
    <w:rsid w:val="00CB11E4"/>
    <w:rsid w:val="00CD066B"/>
    <w:rsid w:val="00CE4FEE"/>
    <w:rsid w:val="00D060CF"/>
    <w:rsid w:val="00DB59C3"/>
    <w:rsid w:val="00DC259A"/>
    <w:rsid w:val="00DE23E8"/>
    <w:rsid w:val="00E52377"/>
    <w:rsid w:val="00E537AD"/>
    <w:rsid w:val="00E64E17"/>
    <w:rsid w:val="00E866C9"/>
    <w:rsid w:val="00E93753"/>
    <w:rsid w:val="00EA1E00"/>
    <w:rsid w:val="00EA3D3C"/>
    <w:rsid w:val="00EC090A"/>
    <w:rsid w:val="00ED20B5"/>
    <w:rsid w:val="00F267D1"/>
    <w:rsid w:val="00F46900"/>
    <w:rsid w:val="00F61D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eastAsiaTheme="minorEastAsia"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fontstyle01">
    <w:name w:val="fontstyle01"/>
    <w:basedOn w:val="DefaultParagraphFont"/>
    <w:rsid w:val="00C02A11"/>
    <w:rPr>
      <w:rFonts w:ascii="AdvOT863180fb" w:hAnsi="AdvOT863180fb" w:hint="default"/>
      <w:b w:val="0"/>
      <w:bCs w:val="0"/>
      <w:i w:val="0"/>
      <w:iCs w:val="0"/>
      <w:color w:val="000000"/>
      <w:sz w:val="14"/>
      <w:szCs w:val="14"/>
    </w:rPr>
  </w:style>
  <w:style w:type="character" w:customStyle="1" w:styleId="post-office-box">
    <w:name w:val="post-office-box"/>
    <w:basedOn w:val="DefaultParagraphFont"/>
    <w:rsid w:val="008E4458"/>
  </w:style>
  <w:style w:type="paragraph" w:styleId="Revision">
    <w:name w:val="Revision"/>
    <w:hidden/>
    <w:uiPriority w:val="99"/>
    <w:semiHidden/>
    <w:rsid w:val="00731390"/>
    <w:pPr>
      <w:spacing w:after="0" w:line="240" w:lineRule="auto"/>
    </w:pPr>
    <w:rPr>
      <w:rFonts w:ascii="Times New Roman" w:eastAsiaTheme="minorEastAsia" w:hAnsi="Times New Roman"/>
      <w:sz w:val="24"/>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Fathima</cp:lastModifiedBy>
  <cp:revision>2</cp:revision>
  <cp:lastPrinted>2013-10-03T12:51:00Z</cp:lastPrinted>
  <dcterms:created xsi:type="dcterms:W3CDTF">2022-01-17T08:17:00Z</dcterms:created>
  <dcterms:modified xsi:type="dcterms:W3CDTF">2022-01-17T08:17:00Z</dcterms:modified>
</cp:coreProperties>
</file>