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53575" w14:textId="77777777" w:rsidR="00AB4CE2" w:rsidRDefault="00D70CA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Supplementary material for:</w:t>
      </w:r>
    </w:p>
    <w:p w14:paraId="051092A3" w14:textId="77777777" w:rsidR="00AB4CE2" w:rsidRDefault="00D70CA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Undirected sucrose efflux-mitigation by the FT-like SP6A preferentially enhances tuber resource partitioning </w:t>
      </w:r>
    </w:p>
    <w:p w14:paraId="67D6357A" w14:textId="77777777" w:rsidR="00AB4CE2" w:rsidRDefault="00D70CA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</w:rPr>
        <w:t>Bas van den Herik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1</w:t>
      </w:r>
      <w:r>
        <w:rPr>
          <w:rFonts w:ascii="Times New Roman" w:hAnsi="Times New Roman" w:cs="Times New Roman"/>
          <w:sz w:val="32"/>
          <w:szCs w:val="32"/>
        </w:rPr>
        <w:t>, Kirsten ten Tusscher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1*</w:t>
      </w:r>
    </w:p>
    <w:p w14:paraId="1FCE875A" w14:textId="77777777" w:rsidR="00AB4CE2" w:rsidRDefault="00AB4CE2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12B4F1A" w14:textId="77777777" w:rsidR="00AB4CE2" w:rsidRDefault="00D70CA6"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Computational Developmental Biology, Utrecht University, </w:t>
      </w:r>
      <w:r>
        <w:rPr>
          <w:rFonts w:ascii="Times New Roman" w:hAnsi="Times New Roman" w:cs="Times New Roman"/>
          <w:color w:val="000000"/>
        </w:rPr>
        <w:t>Utrecht, The Netherlands</w:t>
      </w:r>
    </w:p>
    <w:p w14:paraId="05867642" w14:textId="77777777" w:rsidR="00AB4CE2" w:rsidRDefault="00AB4CE2">
      <w:pPr>
        <w:pStyle w:val="Standard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12738557" w14:textId="77777777" w:rsidR="00AB4CE2" w:rsidRDefault="00D70CA6">
      <w:pPr>
        <w:pStyle w:val="Standard"/>
      </w:pPr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*Corresponding author: Kirsten ten </w:t>
      </w:r>
      <w:proofErr w:type="spellStart"/>
      <w:r>
        <w:rPr>
          <w:rFonts w:ascii="Times New Roman" w:eastAsiaTheme="minorHAnsi" w:hAnsi="Times New Roman" w:cs="Times New Roman"/>
          <w:kern w:val="0"/>
          <w:lang w:eastAsia="en-US" w:bidi="ar-SA"/>
        </w:rPr>
        <w:t>Tusscher</w:t>
      </w:r>
      <w:proofErr w:type="spellEnd"/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, </w:t>
      </w:r>
      <w:hyperlink r:id="rId4">
        <w:r>
          <w:rPr>
            <w:rStyle w:val="ListLabel1"/>
          </w:rPr>
          <w:t>K.H.W.J.tenTusscher@uu.nl</w:t>
        </w:r>
      </w:hyperlink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, Computational Developmental Biology Group, Department of Biology, Faculty of Science, Utrecht 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University, </w:t>
      </w:r>
      <w:proofErr w:type="spellStart"/>
      <w:r>
        <w:rPr>
          <w:rFonts w:ascii="Times New Roman" w:eastAsiaTheme="minorHAnsi" w:hAnsi="Times New Roman" w:cs="Times New Roman"/>
          <w:kern w:val="0"/>
          <w:lang w:eastAsia="en-US" w:bidi="ar-SA"/>
        </w:rPr>
        <w:t>Padualaan</w:t>
      </w:r>
      <w:proofErr w:type="spellEnd"/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8, 3584 CH Utrecht, the Netherlands, +31302533637</w:t>
      </w:r>
    </w:p>
    <w:p w14:paraId="74CF1964" w14:textId="77777777" w:rsidR="00AB4CE2" w:rsidRDefault="00D70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br w:type="page"/>
      </w:r>
    </w:p>
    <w:p w14:paraId="480E19C6" w14:textId="77777777" w:rsidR="00AB4CE2" w:rsidRDefault="00D70CA6">
      <w:pPr>
        <w:suppressAutoHyphens w:val="0"/>
        <w:spacing w:after="0" w:line="240" w:lineRule="auto"/>
        <w:rPr>
          <w:rFonts w:ascii="Times New Roman" w:eastAsia="Songti SC" w:hAnsi="Times New Roman" w:cs="Times New Roman"/>
          <w:kern w:val="2"/>
          <w:sz w:val="24"/>
          <w:szCs w:val="24"/>
          <w:lang w:val="en-US" w:eastAsia="zh-CN" w:bidi="hi-IN"/>
        </w:rPr>
      </w:pPr>
      <w:r>
        <w:rPr>
          <w:noProof/>
        </w:rPr>
        <w:lastRenderedPageBreak/>
        <w:drawing>
          <wp:inline distT="0" distB="3810" distL="0" distR="0" wp14:anchorId="59E29B21" wp14:editId="656616C7">
            <wp:extent cx="5760720" cy="3482340"/>
            <wp:effectExtent l="0" t="0" r="0" b="0"/>
            <wp:docPr id="1" name="Picture 7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8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F91ED" w14:textId="77777777" w:rsidR="00AB4CE2" w:rsidRDefault="00D70CA6">
      <w:pPr>
        <w:suppressAutoHyphens w:val="0"/>
        <w:spacing w:after="0" w:line="240" w:lineRule="auto"/>
        <w:rPr>
          <w:rFonts w:ascii="Times New Roman" w:eastAsia="Songti SC" w:hAnsi="Times New Roman" w:cs="Times New Roman"/>
          <w:kern w:val="2"/>
          <w:sz w:val="24"/>
          <w:szCs w:val="24"/>
          <w:lang w:val="en-US" w:eastAsia="zh-CN" w:bidi="hi-IN"/>
        </w:rPr>
      </w:pPr>
      <w:r>
        <w:rPr>
          <w:rFonts w:ascii="Times New Roman" w:eastAsia="Songti SC" w:hAnsi="Times New Roman" w:cs="Times New Roman"/>
          <w:b/>
          <w:bCs/>
          <w:kern w:val="2"/>
          <w:sz w:val="24"/>
          <w:szCs w:val="24"/>
          <w:lang w:val="en-US" w:eastAsia="zh-CN" w:bidi="hi-IN"/>
        </w:rPr>
        <w:t xml:space="preserve">Figure S1. </w:t>
      </w:r>
      <w:r>
        <w:rPr>
          <w:rFonts w:ascii="Times New Roman" w:eastAsia="Songti SC" w:hAnsi="Times New Roman" w:cs="Times New Roman"/>
          <w:kern w:val="2"/>
          <w:sz w:val="24"/>
          <w:szCs w:val="24"/>
          <w:lang w:val="en-US" w:eastAsia="zh-CN" w:bidi="hi-IN"/>
        </w:rPr>
        <w:t>Relative viscosity (compared to a viscosity of 3MPa s for Magnuson et al, and the viscosity at 1M for Morison) as used in the VKR (red line) and biophysically detailed (</w:t>
      </w:r>
      <w:r>
        <w:rPr>
          <w:rFonts w:ascii="Times New Roman" w:eastAsia="Songti SC" w:hAnsi="Times New Roman" w:cs="Times New Roman"/>
          <w:kern w:val="2"/>
          <w:sz w:val="24"/>
          <w:szCs w:val="24"/>
          <w:lang w:val="en-US" w:eastAsia="zh-CN" w:bidi="hi-IN"/>
        </w:rPr>
        <w:t xml:space="preserve">blue line) models. </w:t>
      </w:r>
    </w:p>
    <w:p w14:paraId="6A8E187F" w14:textId="77777777" w:rsidR="00AB4CE2" w:rsidRDefault="00D70CA6">
      <w:pPr>
        <w:spacing w:after="0" w:line="240" w:lineRule="auto"/>
        <w:rPr>
          <w:rFonts w:ascii="Times New Roman" w:eastAsia="Songti SC" w:hAnsi="Times New Roman" w:cs="Times New Roman"/>
          <w:kern w:val="2"/>
          <w:sz w:val="24"/>
          <w:szCs w:val="24"/>
          <w:lang w:val="en-US" w:eastAsia="zh-CN" w:bidi="hi-IN"/>
        </w:rPr>
      </w:pPr>
      <w:r>
        <w:br w:type="page"/>
      </w:r>
    </w:p>
    <w:p w14:paraId="684EB373" w14:textId="77777777" w:rsidR="00AB4CE2" w:rsidRDefault="00D70CA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1884CFAC" wp14:editId="3A1FCB3B">
            <wp:extent cx="4305300" cy="3231515"/>
            <wp:effectExtent l="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23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73186" w14:textId="77777777" w:rsidR="00AB4CE2" w:rsidRDefault="00D70CA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Figure S2. Effect of a non-zero shared pathway resistance. </w:t>
      </w:r>
      <w:r>
        <w:rPr>
          <w:rFonts w:ascii="Times New Roman" w:hAnsi="Times New Roman" w:cs="Times New Roman"/>
          <w:sz w:val="24"/>
          <w:szCs w:val="24"/>
          <w:lang w:val="en-US"/>
        </w:rPr>
        <w:t>Bold lines depict a simulation of the biophysically detailed model without a shared pathway with standard sink characteristics. Dashed lines depict a simulation in which a 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hared pathway of 0.25m was included. </w:t>
      </w:r>
    </w:p>
    <w:p w14:paraId="7C43A6FC" w14:textId="77777777" w:rsidR="00AB4CE2" w:rsidRDefault="00D70CA6">
      <w:pPr>
        <w:spacing w:after="0" w:line="240" w:lineRule="auto"/>
        <w:rPr>
          <w:rFonts w:ascii="Times New Roman" w:eastAsia="Songti SC" w:hAnsi="Times New Roman" w:cs="Times New Roman"/>
          <w:i/>
          <w:iCs/>
          <w:kern w:val="2"/>
          <w:sz w:val="24"/>
          <w:szCs w:val="24"/>
          <w:lang w:val="en-US" w:eastAsia="zh-CN" w:bidi="hi-IN"/>
        </w:rPr>
      </w:pPr>
      <w:r>
        <w:br w:type="page"/>
      </w:r>
    </w:p>
    <w:p w14:paraId="4A6A126C" w14:textId="77777777" w:rsidR="00AB4CE2" w:rsidRDefault="00D70CA6">
      <w:pPr>
        <w:rPr>
          <w:rFonts w:ascii="Times New Roman" w:hAnsi="Times New Roman" w:cs="Times New Roman"/>
          <w:lang w:val="en-US"/>
        </w:rPr>
      </w:pPr>
      <w:r>
        <w:rPr>
          <w:noProof/>
        </w:rPr>
        <w:lastRenderedPageBreak/>
        <w:drawing>
          <wp:anchor distT="0" distB="0" distL="0" distR="0" simplePos="0" relativeHeight="2" behindDoc="0" locked="0" layoutInCell="1" allowOverlap="1" wp14:anchorId="70C476CA" wp14:editId="3C0E13DA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720" cy="4319270"/>
            <wp:effectExtent l="0" t="0" r="0" b="0"/>
            <wp:wrapSquare wrapText="largest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Fig S3. Delivery yield (v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young leaves (A) and roots/tubers (B) for the same simulations as shown in Fig. 7B. Delivery yield is defined as sink unloading over total loading rate. For no radial efflux </w:t>
      </w:r>
      <w:r>
        <w:rPr>
          <w:rFonts w:ascii="Times New Roman" w:hAnsi="Times New Roman" w:cs="Times New Roman"/>
          <w:sz w:val="24"/>
          <w:szCs w:val="24"/>
          <w:lang w:val="en-US"/>
        </w:rPr>
        <w:t>this is equal to the partitioning coefficient, but when including radial loss these two measures differ. Delivery yield specifically shows delivered sucrose to a sink, relative to total sucrose loading, instead of relative to total sucrose unloading at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sink. For the loss scenario, it can clearly be seen that for low loading rates no sucrose reaches the root/tuber sinks and almost non reaches the leaves, making that the partitioning coefficient gives an incomplete representation of the situation.</w:t>
      </w:r>
    </w:p>
    <w:p w14:paraId="6251A342" w14:textId="77777777" w:rsidR="00AB4CE2" w:rsidRDefault="00AB4CE2">
      <w:pPr>
        <w:rPr>
          <w:rFonts w:ascii="Times New Roman" w:hAnsi="Times New Roman" w:cs="Times New Roman"/>
          <w:lang w:val="en-US"/>
        </w:rPr>
      </w:pPr>
    </w:p>
    <w:p w14:paraId="70F0F5A3" w14:textId="77777777" w:rsidR="00AB4CE2" w:rsidRDefault="00D70CA6">
      <w:pPr>
        <w:rPr>
          <w:rFonts w:ascii="Times New Roman" w:hAnsi="Times New Roman" w:cs="Times New Roman"/>
          <w:lang w:val="en-US"/>
        </w:rPr>
      </w:pPr>
      <w:r>
        <w:rPr>
          <w:noProof/>
        </w:rPr>
        <w:lastRenderedPageBreak/>
        <w:drawing>
          <wp:inline distT="0" distB="0" distL="0" distR="0" wp14:anchorId="031C5E67" wp14:editId="725E3E7A">
            <wp:extent cx="5760720" cy="4319270"/>
            <wp:effectExtent l="0" t="0" r="0" b="0"/>
            <wp:docPr id="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Fig 4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Partitioning towards roots/tubers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smaller pathway length differences (0.1m/0.15m instead of 0.1m/0.3m, orange line) and without evaporation in the leaf sinks (green line). The blue line shows conditions as used in fig. 7B, i.e., with 0.3m distance of </w:t>
      </w:r>
      <w:r>
        <w:rPr>
          <w:rFonts w:ascii="Times New Roman" w:hAnsi="Times New Roman" w:cs="Times New Roman"/>
          <w:sz w:val="24"/>
          <w:szCs w:val="24"/>
          <w:lang w:val="en-US"/>
        </w:rPr>
        <w:t>roots/tubers and evaporation in the leaf sink.</w:t>
      </w:r>
    </w:p>
    <w:p w14:paraId="670C662C" w14:textId="77777777" w:rsidR="00AB4CE2" w:rsidRDefault="00D70CA6">
      <w:pPr>
        <w:rPr>
          <w:rFonts w:ascii="Times New Roman" w:hAnsi="Times New Roman" w:cs="Times New Roman"/>
          <w:color w:val="FF0000"/>
          <w:lang w:val="en-US"/>
        </w:rPr>
      </w:pPr>
      <w:r>
        <w:br w:type="page"/>
      </w:r>
    </w:p>
    <w:p w14:paraId="61B89ED8" w14:textId="77777777" w:rsidR="00AB4CE2" w:rsidRDefault="00D70CA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5080" distL="0" distR="0" wp14:anchorId="248FBCD8" wp14:editId="394C71E0">
            <wp:extent cx="5760720" cy="4033520"/>
            <wp:effectExtent l="0" t="0" r="0" b="0"/>
            <wp:docPr id="5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6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Fig. S5.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Delivery yield (v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young leaves (A) and roots/tubers (B) for the same simulations as shown in Fig. 7C. Increased sink-strength of tubers makes that not only the partitioning towards tubers </w:t>
      </w:r>
      <w:r>
        <w:rPr>
          <w:rFonts w:ascii="Times New Roman" w:hAnsi="Times New Roman" w:cs="Times New Roman"/>
          <w:sz w:val="24"/>
          <w:szCs w:val="24"/>
          <w:lang w:val="en-US"/>
        </w:rPr>
        <w:t>increased, but also total sucrose delivery becomes dominant.</w:t>
      </w:r>
    </w:p>
    <w:p w14:paraId="02B29DCA" w14:textId="77777777" w:rsidR="00AB4CE2" w:rsidRDefault="00D70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br w:type="page"/>
      </w:r>
    </w:p>
    <w:p w14:paraId="195BEF47" w14:textId="77777777" w:rsidR="00AB4CE2" w:rsidRDefault="00D70CA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3175" wp14:anchorId="44B97C2F" wp14:editId="1ADE00CD">
            <wp:extent cx="5330825" cy="4002405"/>
            <wp:effectExtent l="0" t="0" r="0" b="0"/>
            <wp:docPr id="6" name="Picture 8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825" cy="400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746AA" w14:textId="77777777" w:rsidR="00AB4CE2" w:rsidRDefault="00D70CA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Fig. S6. Time dynamics of the adaptation of partitioning to changed sink-conditions.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 t=180 min sink unloading rate was changed from equal for both sinks (12.5nmol/s) to 2.5nmol/s for sink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1 (solid lines) whereas sink 2 was kept equal at 12.5nmol/s (dashed line). Adaptation to this sink change took approximately 2 hours for high loading rates, and about 1 hour for low loading rates. For lower loading rates the adaptation time was shorter due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strong influence of the weakest sink prioritization.</w:t>
      </w:r>
    </w:p>
    <w:p w14:paraId="075EF0BB" w14:textId="77777777" w:rsidR="00AB4CE2" w:rsidRDefault="00AB4CE2">
      <w:pPr>
        <w:rPr>
          <w:rFonts w:ascii="Times New Roman" w:hAnsi="Times New Roman" w:cs="Times New Roman"/>
          <w:color w:val="FF0000"/>
          <w:lang w:val="en-US"/>
        </w:rPr>
      </w:pPr>
    </w:p>
    <w:p w14:paraId="6045EAE8" w14:textId="77777777" w:rsidR="00AB4CE2" w:rsidRDefault="00AB4CE2">
      <w:pPr>
        <w:rPr>
          <w:rFonts w:ascii="Times New Roman" w:hAnsi="Times New Roman" w:cs="Times New Roman"/>
          <w:color w:val="FF0000"/>
          <w:lang w:val="en-US"/>
        </w:rPr>
      </w:pPr>
    </w:p>
    <w:p w14:paraId="7551B03A" w14:textId="77777777" w:rsidR="00AB4CE2" w:rsidRDefault="00AB4CE2"/>
    <w:sectPr w:rsidR="00AB4CE2">
      <w:pgSz w:w="11906" w:h="16838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2"/>
    <w:rsid w:val="00AB4CE2"/>
    <w:rsid w:val="00D7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9276B"/>
  <w15:docId w15:val="{33A69B6C-6D74-46C2-BC83-BAB47E7A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144"/>
    <w:pPr>
      <w:suppressAutoHyphens/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FE7144"/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FE7144"/>
    <w:rPr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qFormat/>
    <w:rsid w:val="00FE7144"/>
    <w:rPr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967E5E"/>
    <w:rPr>
      <w:color w:val="808080"/>
    </w:rPr>
  </w:style>
  <w:style w:type="character" w:customStyle="1" w:styleId="ListLabel1">
    <w:name w:val="ListLabel 1"/>
    <w:qFormat/>
    <w:rPr>
      <w:rFonts w:ascii="Times New Roman" w:eastAsiaTheme="minorHAnsi" w:hAnsi="Times New Roman" w:cs="Times New Roman"/>
      <w:kern w:val="0"/>
      <w:lang w:eastAsia="en-US" w:bidi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FE7144"/>
    <w:pPr>
      <w:spacing w:line="240" w:lineRule="auto"/>
    </w:pPr>
    <w:rPr>
      <w:szCs w:val="20"/>
    </w:rPr>
  </w:style>
  <w:style w:type="paragraph" w:styleId="ListParagraph">
    <w:name w:val="List Paragraph"/>
    <w:basedOn w:val="Normal"/>
    <w:uiPriority w:val="34"/>
    <w:qFormat/>
    <w:rsid w:val="007E183D"/>
    <w:pPr>
      <w:ind w:left="720"/>
      <w:contextualSpacing/>
    </w:pPr>
  </w:style>
  <w:style w:type="paragraph" w:customStyle="1" w:styleId="Standard">
    <w:name w:val="Standard"/>
    <w:qFormat/>
    <w:rsid w:val="00974F25"/>
    <w:rPr>
      <w:rFonts w:ascii="Liberation Serif" w:eastAsia="Songti SC" w:hAnsi="Liberation Serif" w:cs="Arial Unicode MS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mailto:K.H.W.J.tenTusscher@uu.nl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van den Herik</dc:creator>
  <dc:description/>
  <cp:lastModifiedBy>Hima Bhatt</cp:lastModifiedBy>
  <cp:revision>2</cp:revision>
  <dcterms:created xsi:type="dcterms:W3CDTF">2022-03-18T08:41:00Z</dcterms:created>
  <dcterms:modified xsi:type="dcterms:W3CDTF">2022-03-18T08:41:00Z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