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keepNext/>
        <w:rPr>
          <w:rFonts w:cs="Times New Roman"/>
          <w:szCs w:val="24"/>
        </w:rPr>
      </w:pPr>
    </w:p>
    <w:p>
      <w:pPr>
        <w:widowControl/>
        <w:spacing w:line="360" w:lineRule="auto"/>
        <w:jc w:val="center"/>
        <w:rPr>
          <w:rFonts w:hint="eastAsia" w:ascii="Times New Roman" w:hAnsi="Times New Roman" w:eastAsia="宋体"/>
          <w:color w:val="000000"/>
          <w:szCs w:val="21"/>
          <w:lang w:eastAsia="zh-CN"/>
        </w:rPr>
      </w:pPr>
      <w:r>
        <w:rPr>
          <w:rFonts w:hint="eastAsia" w:ascii="Times New Roman" w:hAnsi="Times New Roman" w:eastAsia="宋体"/>
          <w:color w:val="000000"/>
          <w:szCs w:val="21"/>
          <w:lang w:eastAsia="zh-CN"/>
        </w:rPr>
        <w:drawing>
          <wp:inline distT="0" distB="0" distL="114300" distR="114300">
            <wp:extent cx="5273675" cy="5273675"/>
            <wp:effectExtent l="0" t="0" r="3175" b="3175"/>
            <wp:docPr id="3" name="图片 1" descr="Fig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Fig S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425"/>
        <w:jc w:val="center"/>
        <w:rPr>
          <w:rFonts w:ascii="Times New Roman" w:hAnsi="Times New Roman"/>
          <w:bCs/>
          <w:color w:val="000000"/>
          <w:sz w:val="21"/>
          <w:szCs w:val="21"/>
        </w:rPr>
      </w:pPr>
      <w:bookmarkStart w:id="0" w:name="_Hlk41559439"/>
      <w:r>
        <w:rPr>
          <w:rFonts w:ascii="Times New Roman" w:hAnsi="Times New Roman"/>
          <w:b/>
          <w:bCs/>
          <w:color w:val="000000"/>
          <w:sz w:val="21"/>
          <w:szCs w:val="21"/>
        </w:rPr>
        <w:t>Figure S1</w:t>
      </w:r>
      <w:bookmarkEnd w:id="0"/>
      <w:r>
        <w:rPr>
          <w:rFonts w:ascii="Times New Roman" w:hAnsi="Times New Roman"/>
          <w:b/>
          <w:bCs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1"/>
          <w:szCs w:val="21"/>
        </w:rPr>
        <w:t>Distribution of 17-mer frequencies in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Times New Roman" w:hAnsi="Times New Roman"/>
          <w:b w:val="0"/>
          <w:bCs/>
          <w:sz w:val="21"/>
          <w:szCs w:val="21"/>
        </w:rPr>
        <w:t>the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>
        <w:rPr>
          <w:rFonts w:ascii="Times New Roman" w:hAnsi="Times New Roman"/>
          <w:b w:val="0"/>
          <w:bCs/>
          <w:i/>
          <w:iCs/>
          <w:color w:val="000000"/>
          <w:sz w:val="21"/>
          <w:szCs w:val="21"/>
        </w:rPr>
        <w:t>Hibiscus mutabilis</w:t>
      </w:r>
      <w:r>
        <w:rPr>
          <w:rFonts w:ascii="Times New Roman" w:hAnsi="Times New Roman"/>
          <w:b w:val="0"/>
          <w:bCs/>
          <w:color w:val="000000"/>
          <w:sz w:val="21"/>
          <w:szCs w:val="21"/>
        </w:rPr>
        <w:t xml:space="preserve"> genome</w:t>
      </w:r>
      <w:r>
        <w:rPr>
          <w:rFonts w:ascii="Times New Roman" w:hAnsi="Times New Roman"/>
          <w:bCs/>
          <w:color w:val="000000"/>
          <w:sz w:val="21"/>
          <w:szCs w:val="21"/>
        </w:rPr>
        <w:t>.</w:t>
      </w:r>
    </w:p>
    <w:p>
      <w:pPr>
        <w:jc w:val="center"/>
      </w:pPr>
    </w:p>
    <w:p>
      <w:pPr>
        <w:jc w:val="center"/>
      </w:pPr>
    </w:p>
    <w:p>
      <w:pPr>
        <w:widowControl/>
        <w:spacing w:line="360" w:lineRule="auto"/>
        <w:jc w:val="center"/>
        <w:rPr>
          <w:rFonts w:hint="eastAsia" w:ascii="Times New Roman" w:hAnsi="Times New Roman" w:eastAsia="宋体"/>
          <w:color w:val="000000"/>
          <w:szCs w:val="21"/>
          <w:lang w:eastAsia="zh-CN"/>
        </w:rPr>
      </w:pPr>
      <w:r>
        <w:rPr>
          <w:rFonts w:hint="eastAsia" w:ascii="Times New Roman" w:hAnsi="Times New Roman" w:eastAsia="宋体"/>
          <w:color w:val="000000"/>
          <w:szCs w:val="21"/>
          <w:lang w:eastAsia="zh-CN"/>
        </w:rPr>
        <w:drawing>
          <wp:inline distT="0" distB="0" distL="114300" distR="114300">
            <wp:extent cx="5272405" cy="3164205"/>
            <wp:effectExtent l="0" t="0" r="4445" b="17145"/>
            <wp:docPr id="2" name="图片 2" descr="Fig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 S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425"/>
        <w:jc w:val="both"/>
        <w:rPr>
          <w:rFonts w:ascii="Times New Roman" w:hAnsi="Times New Roman"/>
          <w:color w:val="000000"/>
          <w:sz w:val="21"/>
          <w:szCs w:val="21"/>
        </w:rPr>
      </w:pPr>
      <w:bookmarkStart w:id="1" w:name="_Hlk42850895"/>
      <w:r>
        <w:rPr>
          <w:rFonts w:ascii="Times New Roman" w:hAnsi="Times New Roman"/>
          <w:b/>
          <w:bCs/>
          <w:color w:val="000000"/>
          <w:sz w:val="21"/>
          <w:szCs w:val="21"/>
        </w:rPr>
        <w:t>Figure S</w:t>
      </w:r>
      <w:bookmarkEnd w:id="1"/>
      <w:r>
        <w:rPr>
          <w:rFonts w:hint="eastAsia" w:ascii="Times New Roman" w:hAnsi="Times New Roman"/>
          <w:b/>
          <w:bCs/>
          <w:color w:val="000000"/>
          <w:sz w:val="21"/>
          <w:szCs w:val="21"/>
        </w:rPr>
        <w:t>2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. Divergence distribution of transposable element (TE) families.</w:t>
      </w:r>
      <w:r>
        <w:rPr>
          <w:rFonts w:ascii="Times New Roman" w:hAnsi="Times New Roman"/>
          <w:color w:val="000000"/>
          <w:sz w:val="21"/>
          <w:szCs w:val="21"/>
        </w:rPr>
        <w:t xml:space="preserve"> Red indicates DNA transposons (DNA), dark yellow indicates long interspersed nuclear elements (LINEs), green indicates long terminal repeats (LTRs), light blue</w:t>
      </w:r>
      <w:r>
        <w:rPr>
          <w:rFonts w:hint="eastAsia"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indicates short interspersed nuclear elements (SINEs), and purple indicates unknown TEs.</w:t>
      </w:r>
    </w:p>
    <w:p>
      <w:pPr>
        <w:keepNext/>
        <w:jc w:val="both"/>
        <w:rPr>
          <w:rFonts w:cs="Times New Roman"/>
          <w:szCs w:val="24"/>
        </w:rPr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tbl>
      <w:tblPr>
        <w:tblStyle w:val="20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91"/>
        <w:gridCol w:w="1760"/>
        <w:gridCol w:w="1080"/>
        <w:gridCol w:w="1764"/>
        <w:gridCol w:w="1499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0" w:type="dxa"/>
            <w:gridSpan w:val="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Table S1. Statistics for K-mer analysis.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Kmer</w:t>
            </w:r>
          </w:p>
        </w:tc>
        <w:tc>
          <w:tcPr>
            <w:tcW w:w="72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Depth</w:t>
            </w:r>
          </w:p>
        </w:tc>
        <w:tc>
          <w:tcPr>
            <w:tcW w:w="176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n_kmer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Genome size (M)</w:t>
            </w:r>
          </w:p>
        </w:tc>
        <w:tc>
          <w:tcPr>
            <w:tcW w:w="194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Revised Genome size (M)</w:t>
            </w:r>
          </w:p>
        </w:tc>
        <w:tc>
          <w:tcPr>
            <w:tcW w:w="146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Heterozygous rate (%)</w:t>
            </w:r>
          </w:p>
        </w:tc>
        <w:tc>
          <w:tcPr>
            <w:tcW w:w="120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Repeat rate 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60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122,166,178,364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3,054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3,032.98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77.73 </w:t>
            </w:r>
          </w:p>
        </w:tc>
      </w:tr>
    </w:tbl>
    <w:p>
      <w:pPr>
        <w:spacing w:before="240"/>
        <w:rPr>
          <w:rFonts w:hint="default" w:eastAsia="宋体"/>
          <w:lang w:val="en-US" w:eastAsia="zh-CN"/>
        </w:rPr>
      </w:pPr>
    </w:p>
    <w:tbl>
      <w:tblPr>
        <w:tblStyle w:val="20"/>
        <w:tblW w:w="7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380"/>
        <w:gridCol w:w="2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Table S2. Quality assessment statistics of the assembled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53"/>
                <w:rFonts w:eastAsia="宋体"/>
                <w:lang w:val="en-US" w:eastAsia="zh-CN" w:bidi="ar"/>
              </w:rPr>
              <w:t>Hibiscus mutabilis</w:t>
            </w:r>
            <w:r>
              <w:rPr>
                <w:rStyle w:val="54"/>
                <w:rFonts w:eastAsia="宋体"/>
                <w:lang w:val="en-US" w:eastAsia="zh-CN" w:bidi="ar"/>
              </w:rPr>
              <w:t xml:space="preserve"> genome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60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Statistic</w:t>
            </w:r>
          </w:p>
        </w:tc>
        <w:tc>
          <w:tcPr>
            <w:tcW w:w="3380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Contig length (bp)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Contig number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2,220,909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Longest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17,052,671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2,676,003,569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Length &gt; 2 kb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5451</w:t>
            </w:r>
          </w:p>
        </w:tc>
      </w:tr>
    </w:tbl>
    <w:p>
      <w:pPr>
        <w:spacing w:before="240"/>
        <w:rPr>
          <w:rFonts w:hint="default" w:eastAsia="宋体"/>
          <w:lang w:val="en-US" w:eastAsia="zh-CN"/>
        </w:rPr>
      </w:pPr>
    </w:p>
    <w:p>
      <w:pPr>
        <w:spacing w:before="240"/>
        <w:rPr>
          <w:rFonts w:hint="default" w:eastAsia="宋体"/>
          <w:lang w:val="en-US" w:eastAsia="zh-CN"/>
        </w:rPr>
      </w:pPr>
    </w:p>
    <w:tbl>
      <w:tblPr>
        <w:tblStyle w:val="20"/>
        <w:tblW w:w="57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070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0" w:type="dxa"/>
            <w:gridSpan w:val="3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Table S3. Statistics of paired-end read mapping.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Sample ID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Percentage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Reads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Mapping rate (%)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Average sequencing depth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Coverage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Coverage at least 4X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Coverage at least 10X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Coverage at least 20X (%)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97.00 </w:t>
            </w:r>
          </w:p>
        </w:tc>
      </w:tr>
    </w:tbl>
    <w:p>
      <w:pPr>
        <w:spacing w:before="240"/>
        <w:rPr>
          <w:rFonts w:hint="default" w:eastAsia="宋体"/>
          <w:lang w:val="en-US" w:eastAsia="zh-CN"/>
        </w:rPr>
      </w:pPr>
    </w:p>
    <w:tbl>
      <w:tblPr>
        <w:tblStyle w:val="20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780"/>
        <w:gridCol w:w="1757"/>
        <w:gridCol w:w="1781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Table S4. CEGMA results for the </w:t>
            </w:r>
            <w:r>
              <w:rPr>
                <w:rStyle w:val="55"/>
                <w:rFonts w:eastAsia="宋体"/>
                <w:lang w:val="en-US" w:eastAsia="zh-CN" w:bidi="ar"/>
              </w:rPr>
              <w:t>Hibiscus mutabilis</w:t>
            </w:r>
            <w:r>
              <w:rPr>
                <w:rStyle w:val="56"/>
                <w:rFonts w:eastAsia="宋体"/>
                <w:lang w:val="en-US" w:eastAsia="zh-CN" w:bidi="ar"/>
              </w:rPr>
              <w:t xml:space="preserve"> genome.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Species</w:t>
            </w:r>
          </w:p>
        </w:tc>
        <w:tc>
          <w:tcPr>
            <w:tcW w:w="0" w:type="auto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Complete</w:t>
            </w:r>
          </w:p>
        </w:tc>
        <w:tc>
          <w:tcPr>
            <w:tcW w:w="0" w:type="auto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Complete + partial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Protein Number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 completeness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Protein Number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 completeness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Hibiscus mutabilis</w:t>
            </w:r>
          </w:p>
        </w:tc>
        <w:tc>
          <w:tcPr>
            <w:tcW w:w="1775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752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95.56 </w:t>
            </w:r>
          </w:p>
        </w:tc>
        <w:tc>
          <w:tcPr>
            <w:tcW w:w="1775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51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4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 protein is classified as complete if the alignment of the predicted protein to the HMM profile represents at least 70% of the original KOG domain; otherwise it is classified as partial. </w:t>
            </w:r>
          </w:p>
        </w:tc>
      </w:tr>
    </w:tbl>
    <w:p>
      <w:pPr>
        <w:spacing w:before="240"/>
        <w:rPr>
          <w:rFonts w:hint="default" w:eastAsia="宋体"/>
          <w:lang w:val="en-US" w:eastAsia="zh-CN"/>
        </w:rPr>
      </w:pPr>
    </w:p>
    <w:p>
      <w:pPr>
        <w:spacing w:before="240"/>
        <w:rPr>
          <w:rFonts w:hint="default" w:eastAsia="宋体"/>
          <w:lang w:val="en-US" w:eastAsia="zh-CN"/>
        </w:rPr>
      </w:pPr>
    </w:p>
    <w:p>
      <w:pPr>
        <w:spacing w:before="240"/>
        <w:rPr>
          <w:rFonts w:hint="default" w:eastAsia="宋体"/>
          <w:lang w:val="en-US" w:eastAsia="zh-CN"/>
        </w:rPr>
      </w:pPr>
    </w:p>
    <w:p>
      <w:pPr>
        <w:spacing w:before="240"/>
        <w:rPr>
          <w:rFonts w:hint="default" w:eastAsia="宋体"/>
          <w:lang w:val="en-US" w:eastAsia="zh-CN"/>
        </w:rPr>
        <w:sectPr>
          <w:headerReference r:id="rId6" w:type="first"/>
          <w:footerReference r:id="rId7" w:type="default"/>
          <w:headerReference r:id="rId5" w:type="even"/>
          <w:footerReference r:id="rId8" w:type="even"/>
          <w:pgSz w:w="12240" w:h="15840"/>
          <w:pgMar w:top="1138" w:right="1181" w:bottom="1138" w:left="1282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60" w:charSpace="0"/>
        </w:sectPr>
      </w:pPr>
    </w:p>
    <w:tbl>
      <w:tblPr>
        <w:tblStyle w:val="20"/>
        <w:tblW w:w="11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10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Table S</w:t>
            </w:r>
            <w:r>
              <w:rPr>
                <w:rFonts w:hint="eastAsia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 BUSCO (Benchmarking Universal Single-Copy Orthologs) results for the </w:t>
            </w:r>
            <w:r>
              <w:rPr>
                <w:rStyle w:val="57"/>
                <w:rFonts w:eastAsia="宋体"/>
                <w:lang w:val="en-US" w:eastAsia="zh-CN" w:bidi="ar"/>
              </w:rPr>
              <w:t>Hibiscus mutabilis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genome.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Species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BUSCO notation assessment results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Hibiscus mutabilis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 92.6% [S 36.0%, D 56.6%], F 1.5%, M 5.9%, n 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C, Complete BUSCOs. S, Complete and single-copy BUSCOs. D, Complete and duplicated BUSCOs. F, Fragmented BUSCOs. M, Missing BUSCOs. n, Total BUSCO groups searched.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rPr>
          <w:rFonts w:hint="default" w:eastAsia="宋体"/>
          <w:lang w:val="en-US" w:eastAsia="zh-CN"/>
        </w:rPr>
      </w:pPr>
    </w:p>
    <w:tbl>
      <w:tblPr>
        <w:tblStyle w:val="20"/>
        <w:tblW w:w="13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243"/>
        <w:gridCol w:w="1698"/>
        <w:gridCol w:w="1734"/>
        <w:gridCol w:w="1531"/>
        <w:gridCol w:w="1734"/>
        <w:gridCol w:w="1698"/>
        <w:gridCol w:w="1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20" w:type="dxa"/>
            <w:gridSpan w:val="8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Table S6. Categories of TEs predicted in the 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Hibiscus mutabilis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genome.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Repbase + De novo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 Proteins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Combined 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Length (bp)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 in Genome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Length (bp)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 in Genome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Length (bp)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 in Genome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DNA transposon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DNA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21,123,777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19,103,585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37,038,850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Retrotransposon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24,769,782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40,812,681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62,060,731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824,053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824,053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1,365,856,884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487,789,567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1,422,404,552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13,718,932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13,718,932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1,420,759,266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546,018,624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1,523,904,923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20" w:type="dxa"/>
            <w:gridSpan w:val="8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Note:  "Unknown" refers to repeats that could not be classified by RepeatMasker.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  <w:sectPr>
          <w:pgSz w:w="15840" w:h="12240" w:orient="landscape"/>
          <w:pgMar w:top="1282" w:right="1138" w:bottom="1181" w:left="1138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60" w:charSpace="0"/>
        </w:sectPr>
      </w:pPr>
    </w:p>
    <w:tbl>
      <w:tblPr>
        <w:tblStyle w:val="20"/>
        <w:tblW w:w="137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175"/>
        <w:gridCol w:w="1684"/>
        <w:gridCol w:w="236"/>
        <w:gridCol w:w="1770"/>
        <w:gridCol w:w="1305"/>
        <w:gridCol w:w="111"/>
        <w:gridCol w:w="897"/>
        <w:gridCol w:w="402"/>
        <w:gridCol w:w="380"/>
        <w:gridCol w:w="782"/>
        <w:gridCol w:w="143"/>
        <w:gridCol w:w="639"/>
        <w:gridCol w:w="707"/>
        <w:gridCol w:w="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13687" w:type="dxa"/>
            <w:gridSpan w:val="14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Table S</w:t>
            </w:r>
            <w:r>
              <w:rPr>
                <w:rFonts w:hint="eastAsia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 General statistics of predicted protein-coding genes.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140" w:hRule="atLeast"/>
        </w:trPr>
        <w:tc>
          <w:tcPr>
            <w:tcW w:w="4631" w:type="dxa"/>
            <w:gridSpan w:val="2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 set</w:t>
            </w:r>
          </w:p>
        </w:tc>
        <w:tc>
          <w:tcPr>
            <w:tcW w:w="1684" w:type="dxa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Number</w:t>
            </w:r>
          </w:p>
        </w:tc>
        <w:tc>
          <w:tcPr>
            <w:tcW w:w="2006" w:type="dxa"/>
            <w:gridSpan w:val="2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Average transcript length (bp)</w:t>
            </w:r>
          </w:p>
        </w:tc>
        <w:tc>
          <w:tcPr>
            <w:tcW w:w="1305" w:type="dxa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Average CDS length (bp)</w:t>
            </w:r>
          </w:p>
        </w:tc>
        <w:tc>
          <w:tcPr>
            <w:tcW w:w="1410" w:type="dxa"/>
            <w:gridSpan w:val="3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Average exon length (bp)</w:t>
            </w:r>
          </w:p>
        </w:tc>
        <w:tc>
          <w:tcPr>
            <w:tcW w:w="1305" w:type="dxa"/>
            <w:gridSpan w:val="3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Average intron length (bp)</w:t>
            </w:r>
          </w:p>
        </w:tc>
        <w:tc>
          <w:tcPr>
            <w:tcW w:w="1346" w:type="dxa"/>
            <w:gridSpan w:val="2"/>
            <w:tcBorders>
              <w:top w:val="single" w:color="000000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Average exons per gene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Style w:val="58"/>
                <w:rFonts w:eastAsia="宋体"/>
                <w:lang w:val="en-US" w:eastAsia="zh-CN" w:bidi="ar"/>
              </w:rPr>
              <w:t>De novo</w:t>
            </w:r>
            <w:r>
              <w:rPr>
                <w:rStyle w:val="59"/>
                <w:rFonts w:eastAsia="宋体"/>
                <w:lang w:val="en-US" w:eastAsia="zh-CN" w:bidi="ar"/>
              </w:rPr>
              <w:t>#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Augustus</w:t>
            </w:r>
          </w:p>
        </w:tc>
        <w:tc>
          <w:tcPr>
            <w:tcW w:w="168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153,217</w:t>
            </w:r>
          </w:p>
        </w:tc>
        <w:tc>
          <w:tcPr>
            <w:tcW w:w="200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1,919.29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874.40</w:t>
            </w: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3.89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224.95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GlimmerHMM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288,025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7,505.89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535.51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198.58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SNAP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291,826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2,710.49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550.67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915.74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GeneID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215,422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4,116.11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675.42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3.83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176.37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1215.95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Genscan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161,173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9,953.25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951.84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5.17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184.17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2159.51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Homolog</w:t>
            </w:r>
            <w:r>
              <w:rPr>
                <w:rStyle w:val="60"/>
                <w:rFonts w:eastAsia="宋体"/>
                <w:lang w:val="en-US" w:eastAsia="zh-CN" w:bidi="ar"/>
              </w:rPr>
              <w:t>$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Arabidopsis thaliana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120,910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1,849.61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877.86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240.58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Corchorus capsularis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87,464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2,753.45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1,154.87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264.70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Durio zibethinus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159,657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1,789.15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861.70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253.71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Gossypium raimondii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110,738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2,366.26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1,048.62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259.05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Herrania umbratica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180,085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1,911.61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843.96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255.31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463.05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Hibiscus syriacus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70,336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2,598.97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1,103.22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4.45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248.11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433.99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Theobroma cacao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120,357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2,241.01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993.45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261.44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RNA_Seq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PASA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107,159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1,915.71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847.78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216.51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24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Cufflinks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136,661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3,796.65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1,750.59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EVM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167,861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2,065.69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835.31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216.60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</w:trPr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Pasa-update*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167,633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2,043.10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834.11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217.48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426.39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15" w:hRule="atLeast"/>
        </w:trPr>
        <w:tc>
          <w:tcPr>
            <w:tcW w:w="4631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Final set*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118,222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2,466.97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992.41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4.53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218.86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#Statistics calculated from the gene set predicted by each method.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$Statistics calculated from the gene set predicted using homologous proteins from each species.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*Statistics calculated based on the </w:t>
            </w:r>
            <w:r>
              <w:rPr>
                <w:rStyle w:val="58"/>
                <w:rFonts w:eastAsia="宋体"/>
                <w:lang w:val="en-US" w:eastAsia="zh-CN" w:bidi="ar"/>
              </w:rPr>
              <w:t>Medicago ruthenica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genome.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  <w:sectPr>
          <w:pgSz w:w="15840" w:h="12240" w:orient="landscape"/>
          <w:pgMar w:top="1282" w:right="1138" w:bottom="1181" w:left="1138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60" w:charSpace="0"/>
        </w:sectPr>
      </w:pPr>
    </w:p>
    <w:tbl>
      <w:tblPr>
        <w:tblStyle w:val="20"/>
        <w:tblW w:w="6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43"/>
        <w:gridCol w:w="2057"/>
        <w:gridCol w:w="2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96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Table S8. General statistics of mapping rates to functional databases of protein-coding genes.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Database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Number Annotated 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Percent Annotated  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NR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113,709</w:t>
            </w: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Swiss-Prot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89,978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84,397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InterPro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94,421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86,066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64,120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Annotated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113,821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118,222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  <w:sectPr>
          <w:pgSz w:w="12240" w:h="15840"/>
          <w:pgMar w:top="1138" w:right="1181" w:bottom="1138" w:left="1282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60" w:charSpace="0"/>
        </w:sectPr>
      </w:pPr>
    </w:p>
    <w:tbl>
      <w:tblPr>
        <w:tblStyle w:val="20"/>
        <w:tblW w:w="12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317"/>
        <w:gridCol w:w="9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Table S9. Program tools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Parameters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wtdbg2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6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max_depth = 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node-drop=0.25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node-len=1536,2048,2560,3072,3548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node-max=400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brute_force=1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kmer=21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LACHESIS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</w:t>
            </w:r>
          </w:p>
        </w:tc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CLUSTER_N = 46;CLUSTER_CONTIGS_WITH_CENS = -1;CLUSTER_MIN_RE_SITES = 927;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CLUSTER_MAX_LINK_DENSITY = 9;CLUSTER_NONINFORMATIVE_RATIO = 0;CLUSTER_DRAW_HEATMAP = 1;CLUSTER_DRAW_DOTPLOT =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racon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v1.3.1</w:t>
            </w:r>
          </w:p>
        </w:tc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default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pilon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  <w:tc>
          <w:tcPr>
            <w:tcW w:w="964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default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  <w:sectPr>
          <w:pgSz w:w="15840" w:h="12240" w:orient="landscape"/>
          <w:pgMar w:top="1282" w:right="1138" w:bottom="1181" w:left="1138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60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. Summary statistics demonstrating the high quality of the Hi-C map of H. mutabilis.</w:t>
      </w:r>
    </w:p>
    <w:tbl>
      <w:tblPr>
        <w:tblStyle w:val="20"/>
        <w:tblpPr w:leftFromText="180" w:rightFromText="180" w:vertAnchor="text" w:horzAnchor="margin" w:tblpXSpec="center" w:tblpY="177"/>
        <w:tblOverlap w:val="never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1431"/>
        <w:gridCol w:w="1530"/>
        <w:gridCol w:w="1449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169" w:type="dxa"/>
            <w:vMerge w:val="restart"/>
            <w:tcBorders>
              <w:top w:val="single" w:color="000000" w:sz="18" w:space="0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  <w:t>Category</w:t>
            </w:r>
          </w:p>
        </w:tc>
        <w:tc>
          <w:tcPr>
            <w:tcW w:w="2961" w:type="dxa"/>
            <w:gridSpan w:val="2"/>
            <w:tcBorders>
              <w:top w:val="single" w:color="000000" w:sz="18" w:space="0"/>
              <w:left w:val="nil"/>
              <w:bottom w:val="single" w:color="auto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  <w:t>Length</w:t>
            </w:r>
          </w:p>
        </w:tc>
        <w:tc>
          <w:tcPr>
            <w:tcW w:w="2772" w:type="dxa"/>
            <w:gridSpan w:val="2"/>
            <w:tcBorders>
              <w:top w:val="single" w:color="000000" w:sz="18" w:space="0"/>
              <w:left w:val="nil"/>
              <w:bottom w:val="single" w:color="auto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  <w:t>Number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16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  <w:t>Contigs            (bp)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  <w:t>Scaffolds              (&gt;100 bp)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  <w:t xml:space="preserve">Contigs     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snapToGrid/>
                <w:color w:val="000000"/>
                <w:sz w:val="21"/>
                <w:szCs w:val="21"/>
                <w:highlight w:val="none"/>
              </w:rPr>
              <w:t>Scaffolds         (&gt;100 bp)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Total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 xml:space="preserve">2,676,003,569 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 xml:space="preserve">2,676,237,573 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 xml:space="preserve">5,598 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 xml:space="preserve">3,254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Max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 xml:space="preserve">17,052,671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 xml:space="preserve">89,504,759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Number ≥2000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-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 xml:space="preserve">5,585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 xml:space="preserve">3,241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169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N50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1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 xml:space="preserve">2,021,431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1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 xml:space="preserve">54,699,351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1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 xml:space="preserve">354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1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61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 xml:space="preserve">20 </w:t>
            </w:r>
          </w:p>
        </w:tc>
      </w:tr>
    </w:tbl>
    <w:p>
      <w:pPr>
        <w:pStyle w:val="6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/>
          <w:b/>
          <w:i w:val="0"/>
          <w:color w:val="000000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S11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. General statistics for non-coding RNAs in the H. mutabilis genome.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04"/>
        <w:gridCol w:w="1908"/>
        <w:gridCol w:w="192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  <w:t>Type</w:t>
            </w:r>
          </w:p>
        </w:tc>
        <w:tc>
          <w:tcPr>
            <w:tcW w:w="1704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  <w:t>Number</w:t>
            </w:r>
          </w:p>
        </w:tc>
        <w:tc>
          <w:tcPr>
            <w:tcW w:w="1908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  <w:t>Total</w:t>
            </w:r>
          </w:p>
          <w:p>
            <w:pPr>
              <w:spacing w:line="240" w:lineRule="auto"/>
              <w:jc w:val="center"/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  <w:t xml:space="preserve">length (bp) </w:t>
            </w:r>
          </w:p>
        </w:tc>
        <w:tc>
          <w:tcPr>
            <w:tcW w:w="1920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  <w:t>Average</w:t>
            </w:r>
          </w:p>
          <w:p>
            <w:pPr>
              <w:spacing w:line="240" w:lineRule="auto"/>
              <w:jc w:val="center"/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  <w:t>length (bp)</w:t>
            </w:r>
          </w:p>
        </w:tc>
        <w:tc>
          <w:tcPr>
            <w:tcW w:w="1607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  <w:t>Percentage of</w:t>
            </w:r>
          </w:p>
          <w:p>
            <w:pPr>
              <w:spacing w:line="240" w:lineRule="auto"/>
              <w:jc w:val="center"/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b/>
                <w:bCs/>
                <w:color w:val="000000"/>
                <w:sz w:val="21"/>
                <w:szCs w:val="21"/>
                <w:highlight w:val="none"/>
                <w:lang w:bidi="en-US"/>
              </w:rPr>
              <w:t>genome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28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>miRNA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>827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 xml:space="preserve">103,898 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 xml:space="preserve">125.63 </w:t>
            </w:r>
          </w:p>
        </w:tc>
        <w:tc>
          <w:tcPr>
            <w:tcW w:w="1607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 xml:space="preserve">0.00388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>tRNA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>3,604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 xml:space="preserve">270,734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 xml:space="preserve">75.12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 xml:space="preserve">0.01012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>rRNA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>3,423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 xml:space="preserve">520,604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 xml:space="preserve">152.09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 xml:space="preserve">0.01946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>snRNA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>9,370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 xml:space="preserve">1,020,234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 xml:space="preserve">108.88 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1"/>
                <w:szCs w:val="21"/>
                <w:highlight w:val="none"/>
                <w:lang w:bidi="en-US"/>
              </w:rPr>
            </w:pPr>
            <w:r>
              <w:rPr>
                <w:color w:val="000000"/>
                <w:sz w:val="21"/>
                <w:szCs w:val="21"/>
                <w:highlight w:val="none"/>
                <w:lang w:bidi="en-US"/>
              </w:rPr>
              <w:t xml:space="preserve">0.03813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S12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Genes used for gene family clustering in each species</w:t>
      </w:r>
    </w:p>
    <w:tbl>
      <w:tblPr>
        <w:tblStyle w:val="21"/>
        <w:tblW w:w="0" w:type="auto"/>
        <w:tblInd w:w="2561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07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815" w:type="dxa"/>
            <w:tcBorders>
              <w:bottom w:val="single" w:color="auto" w:sz="12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Species</w:t>
            </w:r>
          </w:p>
        </w:tc>
        <w:tc>
          <w:tcPr>
            <w:tcW w:w="3075" w:type="dxa"/>
            <w:tcBorders>
              <w:bottom w:val="single" w:color="auto" w:sz="12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Genes Number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i/>
                <w:iCs/>
                <w:vertAlign w:val="baseline"/>
                <w:lang w:val="en-US" w:eastAsia="zh-CN"/>
              </w:rPr>
              <w:t>H.mutabilis</w:t>
            </w:r>
          </w:p>
        </w:tc>
        <w:tc>
          <w:tcPr>
            <w:tcW w:w="3075" w:type="dxa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118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,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222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i/>
                <w:iCs/>
                <w:vertAlign w:val="baseline"/>
                <w:lang w:val="en-US" w:eastAsia="zh-CN"/>
              </w:rPr>
              <w:t>H.syriacus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82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,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773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i/>
                <w:iCs/>
                <w:vertAlign w:val="baseline"/>
                <w:lang w:val="en-US" w:eastAsia="zh-CN"/>
              </w:rPr>
              <w:t>G.raimondii</w:t>
            </w:r>
          </w:p>
        </w:tc>
        <w:tc>
          <w:tcPr>
            <w:tcW w:w="307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35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,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226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rPr>
          <w:rFonts w:hint="default" w:eastAsia="宋体"/>
          <w:lang w:val="en-US" w:eastAsia="zh-CN"/>
        </w:rPr>
      </w:pPr>
      <w:bookmarkStart w:id="2" w:name="_GoBack"/>
      <w:bookmarkEnd w:id="2"/>
    </w:p>
    <w:sectPr>
      <w:pgSz w:w="12240" w:h="15840"/>
      <w:pgMar w:top="1138" w:right="1181" w:bottom="1138" w:left="1282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68F4D28"/>
    <w:rsid w:val="07074686"/>
    <w:rsid w:val="114F7BB0"/>
    <w:rsid w:val="1F946AE2"/>
    <w:rsid w:val="255936BC"/>
    <w:rsid w:val="66D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character" w:customStyle="1" w:styleId="53">
    <w:name w:val="font41"/>
    <w:basedOn w:val="22"/>
    <w:qFormat/>
    <w:uiPriority w:val="0"/>
    <w:rPr>
      <w:rFonts w:hint="default" w:ascii="Times New Roman" w:hAnsi="Times New Roman" w:cs="Times New Roman"/>
      <w:b/>
      <w:bCs/>
      <w:i/>
      <w:iCs/>
      <w:color w:val="000000"/>
      <w:sz w:val="22"/>
      <w:szCs w:val="22"/>
      <w:u w:val="none"/>
    </w:rPr>
  </w:style>
  <w:style w:type="character" w:customStyle="1" w:styleId="54">
    <w:name w:val="font11"/>
    <w:basedOn w:val="2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55">
    <w:name w:val="font51"/>
    <w:basedOn w:val="22"/>
    <w:qFormat/>
    <w:uiPriority w:val="0"/>
    <w:rPr>
      <w:rFonts w:hint="default" w:ascii="Times New Roman" w:hAnsi="Times New Roman" w:cs="Times New Roman"/>
      <w:b/>
      <w:bCs/>
      <w:i/>
      <w:iCs/>
      <w:color w:val="000000"/>
      <w:sz w:val="22"/>
      <w:szCs w:val="22"/>
      <w:u w:val="none"/>
    </w:rPr>
  </w:style>
  <w:style w:type="character" w:customStyle="1" w:styleId="56">
    <w:name w:val="font01"/>
    <w:basedOn w:val="22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57">
    <w:name w:val="font61"/>
    <w:basedOn w:val="22"/>
    <w:qFormat/>
    <w:uiPriority w:val="0"/>
    <w:rPr>
      <w:rFonts w:hint="default" w:ascii="Times New Roman" w:hAnsi="Times New Roman" w:cs="Times New Roman"/>
      <w:b/>
      <w:bCs/>
      <w:i/>
      <w:iCs/>
      <w:color w:val="000000"/>
      <w:sz w:val="22"/>
      <w:szCs w:val="22"/>
      <w:u w:val="none"/>
    </w:rPr>
  </w:style>
  <w:style w:type="character" w:customStyle="1" w:styleId="58">
    <w:name w:val="font81"/>
    <w:basedOn w:val="22"/>
    <w:qFormat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</w:rPr>
  </w:style>
  <w:style w:type="character" w:customStyle="1" w:styleId="59">
    <w:name w:val="font91"/>
    <w:basedOn w:val="22"/>
    <w:qFormat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  <w:vertAlign w:val="superscript"/>
    </w:rPr>
  </w:style>
  <w:style w:type="character" w:customStyle="1" w:styleId="60">
    <w:name w:val="font101"/>
    <w:basedOn w:val="2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paragraph" w:customStyle="1" w:styleId="61">
    <w:name w:val="MDPI_4.2_table_body"/>
    <w:qFormat/>
    <w:uiPriority w:val="0"/>
    <w:pPr>
      <w:adjustRightInd w:val="0"/>
      <w:snapToGrid w:val="0"/>
      <w:spacing w:line="260" w:lineRule="atLeast"/>
      <w:jc w:val="center"/>
    </w:pPr>
    <w:rPr>
      <w:rFonts w:ascii="Palatino Linotype" w:hAnsi="Palatino Linotype" w:eastAsia="Times New Roman" w:cs="Times New Roman"/>
      <w:snapToGrid w:val="0"/>
      <w:color w:val="000000"/>
      <w:lang w:val="en-US" w:eastAsia="de-DE" w:bidi="en-US"/>
    </w:rPr>
  </w:style>
  <w:style w:type="paragraph" w:customStyle="1" w:styleId="62">
    <w:name w:val="MDPI_8.1_theorem"/>
    <w:basedOn w:val="63"/>
    <w:qFormat/>
    <w:uiPriority w:val="0"/>
    <w:rPr>
      <w:i/>
    </w:rPr>
  </w:style>
  <w:style w:type="paragraph" w:customStyle="1" w:styleId="63">
    <w:name w:val="MDPI_3.2_text_no_indent"/>
    <w:basedOn w:val="64"/>
    <w:qFormat/>
    <w:uiPriority w:val="0"/>
    <w:pPr>
      <w:ind w:firstLine="0"/>
    </w:pPr>
  </w:style>
  <w:style w:type="paragraph" w:customStyle="1" w:styleId="64">
    <w:name w:val="MDPI_3.1_text"/>
    <w:qFormat/>
    <w:uiPriority w:val="0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 w:eastAsia="Times New Roman" w:cs="Times New Roman"/>
      <w:snapToGrid w:val="0"/>
      <w:color w:val="000000"/>
      <w:szCs w:val="22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247</Words>
  <Characters>1410</Characters>
  <Lines>11</Lines>
  <Paragraphs>3</Paragraphs>
  <TotalTime>2</TotalTime>
  <ScaleCrop>false</ScaleCrop>
  <LinksUpToDate>false</LinksUpToDate>
  <CharactersWithSpaces>1654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疯雨无阻</cp:lastModifiedBy>
  <cp:lastPrinted>2013-10-03T12:51:00Z</cp:lastPrinted>
  <dcterms:modified xsi:type="dcterms:W3CDTF">2022-01-28T06:10:18Z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5060559DE7D34D7D8A6FC029A7DABF0A</vt:lpwstr>
  </property>
</Properties>
</file>