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6FFA" w14:textId="46B08A69" w:rsidR="004A2FAA" w:rsidRDefault="004A2FAA" w:rsidP="002305D0">
      <w:pPr>
        <w:pStyle w:val="SectionHeading"/>
        <w:spacing w:before="0" w:after="0" w:line="276" w:lineRule="auto"/>
        <w:jc w:val="both"/>
        <w:rPr>
          <w:bCs/>
          <w:szCs w:val="22"/>
        </w:rPr>
      </w:pPr>
      <w:r>
        <w:rPr>
          <w:noProof/>
        </w:rPr>
        <w:drawing>
          <wp:inline distT="0" distB="0" distL="0" distR="0" wp14:anchorId="7DBAA7A5" wp14:editId="5E5660DC">
            <wp:extent cx="5731510" cy="313626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3136265"/>
                    </a:xfrm>
                    <a:prstGeom prst="rect">
                      <a:avLst/>
                    </a:prstGeom>
                  </pic:spPr>
                </pic:pic>
              </a:graphicData>
            </a:graphic>
          </wp:inline>
        </w:drawing>
      </w:r>
    </w:p>
    <w:p w14:paraId="5BCCCA60" w14:textId="3E4F9F36" w:rsidR="002305D0" w:rsidRPr="00C6045B" w:rsidRDefault="002305D0" w:rsidP="002305D0">
      <w:pPr>
        <w:pStyle w:val="SectionHeading"/>
        <w:spacing w:before="0" w:after="0" w:line="276" w:lineRule="auto"/>
        <w:jc w:val="both"/>
        <w:rPr>
          <w:bCs/>
          <w:szCs w:val="22"/>
        </w:rPr>
      </w:pPr>
      <w:r w:rsidRPr="00C6045B">
        <w:rPr>
          <w:bCs/>
          <w:szCs w:val="22"/>
        </w:rPr>
        <w:t xml:space="preserve">Figure </w:t>
      </w:r>
      <w:r w:rsidR="004A2FAA">
        <w:rPr>
          <w:bCs/>
          <w:szCs w:val="22"/>
        </w:rPr>
        <w:t>S1</w:t>
      </w:r>
      <w:r w:rsidRPr="00EE60F6">
        <w:rPr>
          <w:bCs/>
          <w:szCs w:val="22"/>
        </w:rPr>
        <w:t xml:space="preserve">: </w:t>
      </w:r>
      <w:r w:rsidRPr="00EE60F6">
        <w:rPr>
          <w:b w:val="0"/>
          <w:bCs/>
        </w:rPr>
        <w:t>Linear acquisition plots (LAP)</w:t>
      </w:r>
      <w:r>
        <w:rPr>
          <w:b w:val="0"/>
          <w:bCs/>
        </w:rPr>
        <w:t xml:space="preserve"> and</w:t>
      </w:r>
      <w:r w:rsidRPr="00EE60F6">
        <w:rPr>
          <w:b w:val="0"/>
          <w:bCs/>
        </w:rPr>
        <w:t xml:space="preserve"> gradient acquisition plot (GAP) respectively for a representative </w:t>
      </w:r>
      <w:r>
        <w:rPr>
          <w:b w:val="0"/>
          <w:bCs/>
        </w:rPr>
        <w:t>(</w:t>
      </w:r>
      <w:r w:rsidRPr="00EE60F6">
        <w:rPr>
          <w:b w:val="0"/>
          <w:bCs/>
        </w:rPr>
        <w:t>a</w:t>
      </w:r>
      <w:r>
        <w:rPr>
          <w:b w:val="0"/>
          <w:bCs/>
        </w:rPr>
        <w:t>,</w:t>
      </w:r>
      <w:r w:rsidRPr="00EE60F6">
        <w:rPr>
          <w:b w:val="0"/>
          <w:bCs/>
        </w:rPr>
        <w:t xml:space="preserve"> b) background sample </w:t>
      </w:r>
      <w:r>
        <w:rPr>
          <w:b w:val="0"/>
          <w:bCs/>
        </w:rPr>
        <w:t>(c,</w:t>
      </w:r>
      <w:r w:rsidRPr="00EE60F6">
        <w:rPr>
          <w:b w:val="0"/>
          <w:bCs/>
        </w:rPr>
        <w:t xml:space="preserve"> </w:t>
      </w:r>
      <w:r>
        <w:rPr>
          <w:b w:val="0"/>
          <w:bCs/>
        </w:rPr>
        <w:t>d</w:t>
      </w:r>
      <w:r w:rsidRPr="00EE60F6">
        <w:rPr>
          <w:b w:val="0"/>
          <w:bCs/>
        </w:rPr>
        <w:t xml:space="preserve">) hydrocarbon reservoir sandstone sample </w:t>
      </w:r>
      <w:r>
        <w:rPr>
          <w:b w:val="0"/>
          <w:bCs/>
        </w:rPr>
        <w:t>(e,</w:t>
      </w:r>
      <w:r w:rsidRPr="00EE60F6">
        <w:rPr>
          <w:b w:val="0"/>
          <w:bCs/>
        </w:rPr>
        <w:t xml:space="preserve"> </w:t>
      </w:r>
      <w:r>
        <w:rPr>
          <w:b w:val="0"/>
          <w:bCs/>
        </w:rPr>
        <w:t>f</w:t>
      </w:r>
      <w:r w:rsidRPr="00EE60F6">
        <w:rPr>
          <w:b w:val="0"/>
          <w:bCs/>
        </w:rPr>
        <w:t xml:space="preserve">) shale sample </w:t>
      </w:r>
      <w:r w:rsidRPr="00EE60F6">
        <w:rPr>
          <w:b w:val="0"/>
          <w:szCs w:val="22"/>
        </w:rPr>
        <w:t xml:space="preserve">obtained via cumulative log Gaussian analysis </w:t>
      </w:r>
      <w:r>
        <w:rPr>
          <w:rStyle w:val="FootnoteReference"/>
          <w:b w:val="0"/>
          <w:szCs w:val="22"/>
        </w:rPr>
        <w:fldChar w:fldCharType="begin" w:fldLock="1"/>
      </w:r>
      <w:r>
        <w:rPr>
          <w:b w:val="0"/>
          <w:szCs w:val="22"/>
        </w:rPr>
        <w:instrText>ADDIN CSL_CITATION {"citationItems":[{"id":"ITEM-1","itemData":{"DOI":"10.1016/S0012-821X(01)00367-3","ISSN":"0012821X","abstract":"A new method of analysing isothermal remanent magnetisation (IRM) acquisition curves based on cumulative log Gaussian analysis [Robertson and France, Phys. Earth Planet. Inter. 82 (1994) 223-234] is proposed. It is based on the curve fitting of the IRM acquisition curve versus the logarithm of the applied field with: (i) the acquisition curve on a linear scale, (ii) the acquisition curve expressed as a gradient, and (iii) the acquisition curve on a probability scale. Even when a sample is not saturated, its magnetic properties can be defined, although with less certainty. The number of magnetic components required for an optimal fit to a measured IRM acquisition curve is evaluated statistically. The method discriminates on the basis of different mineral coercivity. Therefore, additional rock-magnetic tests are still required to separate minerals with similar coercivities. © 2001 Elsevier Science B.V. All rights reserved.","author":[{"dropping-particle":"","family":"Kruiver","given":"Pauline P.","non-dropping-particle":"","parse-names":false,"suffix":""},{"dropping-particle":"","family":"Dekkers","given":"Mark J.","non-dropping-particle":"","parse-names":false,"suffix":""},{"dropping-particle":"","family":"Heslop","given":"David","non-dropping-particle":"","parse-names":false,"suffix":""}],"container-title":"Earth and Planetary Science Letters","id":"ITEM-1","issue":"3-4","issued":{"date-parts":[["2001"]]},"page":"269-276","title":"Quantification of magnetic coercivity components by the analysis of acquisition curves of isothermal remanent magnetisation","type":"article-journal","volume":"189"},"uris":["http://www.mendeley.com/documents/?uuid=89e4c267-41c4-478a-abe4-7b7f807d1662"]}],"mendeley":{"formattedCitation":"(Kruiver et al., 2001)","plainTextFormattedCitation":"(Kruiver et al., 2001)","previouslyFormattedCitation":"(Kruiver et al., 2001)"},"properties":{"noteIndex":0},"schema":"https://github.com/citation-style-language/schema/raw/master/csl-citation.json"}</w:instrText>
      </w:r>
      <w:r>
        <w:rPr>
          <w:rStyle w:val="FootnoteReference"/>
          <w:b w:val="0"/>
          <w:szCs w:val="22"/>
        </w:rPr>
        <w:fldChar w:fldCharType="separate"/>
      </w:r>
      <w:r w:rsidRPr="008D36D8">
        <w:rPr>
          <w:b w:val="0"/>
          <w:noProof/>
          <w:szCs w:val="22"/>
        </w:rPr>
        <w:t>(Kruiver et al., 2001)</w:t>
      </w:r>
      <w:r>
        <w:rPr>
          <w:rStyle w:val="FootnoteReference"/>
          <w:b w:val="0"/>
          <w:szCs w:val="22"/>
        </w:rPr>
        <w:fldChar w:fldCharType="end"/>
      </w:r>
      <w:r w:rsidRPr="00EE60F6">
        <w:rPr>
          <w:b w:val="0"/>
          <w:szCs w:val="22"/>
        </w:rPr>
        <w:t>.</w:t>
      </w:r>
      <w:r w:rsidRPr="00EE60F6">
        <w:rPr>
          <w:b w:val="0"/>
          <w:bCs/>
        </w:rPr>
        <w:t xml:space="preserve"> </w:t>
      </w:r>
      <w:r w:rsidRPr="00EE60F6">
        <w:rPr>
          <w:b w:val="0"/>
          <w:szCs w:val="22"/>
        </w:rPr>
        <w:t xml:space="preserve">Coercivity values, isothermal remanent magnetization (IRM) contributions, and </w:t>
      </w:r>
      <w:r>
        <w:rPr>
          <w:b w:val="0"/>
          <w:szCs w:val="22"/>
        </w:rPr>
        <w:t>S</w:t>
      </w:r>
      <w:r w:rsidRPr="00EE60F6">
        <w:rPr>
          <w:b w:val="0"/>
          <w:szCs w:val="22"/>
        </w:rPr>
        <w:t>-ratio for these background, hydrocarbon reservoir and shale sampl</w:t>
      </w:r>
      <w:r>
        <w:rPr>
          <w:b w:val="0"/>
          <w:szCs w:val="22"/>
        </w:rPr>
        <w:t>es in Table S1.</w:t>
      </w:r>
    </w:p>
    <w:p w14:paraId="0B94855C" w14:textId="77777777" w:rsidR="002305D0" w:rsidRDefault="002305D0" w:rsidP="00E3393E">
      <w:pPr>
        <w:pStyle w:val="SectionHeading"/>
        <w:spacing w:after="0" w:line="276" w:lineRule="auto"/>
        <w:jc w:val="both"/>
        <w:rPr>
          <w:bCs/>
          <w:szCs w:val="22"/>
        </w:rPr>
      </w:pPr>
    </w:p>
    <w:p w14:paraId="78449625" w14:textId="1D4134C8" w:rsidR="00E3393E" w:rsidRDefault="00E3393E" w:rsidP="00E3393E">
      <w:pPr>
        <w:pStyle w:val="SectionHeading"/>
        <w:spacing w:after="0" w:line="276" w:lineRule="auto"/>
        <w:jc w:val="center"/>
        <w:rPr>
          <w:i/>
          <w:iCs/>
          <w:sz w:val="24"/>
          <w:szCs w:val="24"/>
        </w:rPr>
      </w:pPr>
    </w:p>
    <w:p w14:paraId="69929BBE" w14:textId="386DC5FB" w:rsidR="004A2FAA" w:rsidRDefault="004A2FAA" w:rsidP="00E3393E">
      <w:pPr>
        <w:pStyle w:val="SectionHeading"/>
        <w:spacing w:after="0" w:line="276" w:lineRule="auto"/>
        <w:jc w:val="center"/>
        <w:rPr>
          <w:i/>
          <w:iCs/>
          <w:sz w:val="24"/>
          <w:szCs w:val="24"/>
        </w:rPr>
      </w:pPr>
    </w:p>
    <w:p w14:paraId="6650EE9F" w14:textId="49DF2BB1" w:rsidR="004A2FAA" w:rsidRDefault="004A2FAA" w:rsidP="00E3393E">
      <w:pPr>
        <w:pStyle w:val="SectionHeading"/>
        <w:spacing w:after="0" w:line="276" w:lineRule="auto"/>
        <w:jc w:val="center"/>
        <w:rPr>
          <w:i/>
          <w:iCs/>
          <w:sz w:val="24"/>
          <w:szCs w:val="24"/>
        </w:rPr>
      </w:pPr>
    </w:p>
    <w:p w14:paraId="119C0EA7" w14:textId="2AEADEFB" w:rsidR="004A2FAA" w:rsidRDefault="004A2FAA" w:rsidP="00E3393E">
      <w:pPr>
        <w:pStyle w:val="SectionHeading"/>
        <w:spacing w:after="0" w:line="276" w:lineRule="auto"/>
        <w:jc w:val="center"/>
        <w:rPr>
          <w:i/>
          <w:iCs/>
          <w:sz w:val="24"/>
          <w:szCs w:val="24"/>
        </w:rPr>
      </w:pPr>
    </w:p>
    <w:p w14:paraId="0F791383" w14:textId="32EE3147" w:rsidR="004A2FAA" w:rsidRDefault="004A2FAA" w:rsidP="00E3393E">
      <w:pPr>
        <w:pStyle w:val="SectionHeading"/>
        <w:spacing w:after="0" w:line="276" w:lineRule="auto"/>
        <w:jc w:val="center"/>
        <w:rPr>
          <w:i/>
          <w:iCs/>
          <w:sz w:val="24"/>
          <w:szCs w:val="24"/>
        </w:rPr>
      </w:pPr>
    </w:p>
    <w:p w14:paraId="76E53C78" w14:textId="534DB2F7" w:rsidR="004A2FAA" w:rsidRDefault="004A2FAA" w:rsidP="00E3393E">
      <w:pPr>
        <w:pStyle w:val="SectionHeading"/>
        <w:spacing w:after="0" w:line="276" w:lineRule="auto"/>
        <w:jc w:val="center"/>
        <w:rPr>
          <w:i/>
          <w:iCs/>
          <w:sz w:val="24"/>
          <w:szCs w:val="24"/>
        </w:rPr>
      </w:pPr>
    </w:p>
    <w:p w14:paraId="66D792CF" w14:textId="7727EA4F" w:rsidR="004A2FAA" w:rsidRDefault="004A2FAA" w:rsidP="00E3393E">
      <w:pPr>
        <w:pStyle w:val="SectionHeading"/>
        <w:spacing w:after="0" w:line="276" w:lineRule="auto"/>
        <w:jc w:val="center"/>
        <w:rPr>
          <w:i/>
          <w:iCs/>
          <w:sz w:val="24"/>
          <w:szCs w:val="24"/>
        </w:rPr>
      </w:pPr>
    </w:p>
    <w:p w14:paraId="5154D41B" w14:textId="3E59EFF1" w:rsidR="004A2FAA" w:rsidRDefault="004A2FAA" w:rsidP="00E3393E">
      <w:pPr>
        <w:pStyle w:val="SectionHeading"/>
        <w:spacing w:after="0" w:line="276" w:lineRule="auto"/>
        <w:jc w:val="center"/>
        <w:rPr>
          <w:i/>
          <w:iCs/>
          <w:sz w:val="24"/>
          <w:szCs w:val="24"/>
        </w:rPr>
      </w:pPr>
    </w:p>
    <w:p w14:paraId="1B56CC1E" w14:textId="6BE14D06" w:rsidR="004A2FAA" w:rsidRDefault="004A2FAA" w:rsidP="00E3393E">
      <w:pPr>
        <w:pStyle w:val="SectionHeading"/>
        <w:spacing w:after="0" w:line="276" w:lineRule="auto"/>
        <w:jc w:val="center"/>
        <w:rPr>
          <w:i/>
          <w:iCs/>
          <w:sz w:val="24"/>
          <w:szCs w:val="24"/>
        </w:rPr>
      </w:pPr>
    </w:p>
    <w:p w14:paraId="3D54CCE0" w14:textId="79448437" w:rsidR="004A2FAA" w:rsidRDefault="004A2FAA" w:rsidP="00E3393E">
      <w:pPr>
        <w:pStyle w:val="SectionHeading"/>
        <w:spacing w:after="0" w:line="276" w:lineRule="auto"/>
        <w:jc w:val="center"/>
        <w:rPr>
          <w:i/>
          <w:iCs/>
          <w:sz w:val="24"/>
          <w:szCs w:val="24"/>
        </w:rPr>
      </w:pPr>
    </w:p>
    <w:p w14:paraId="54911FD3" w14:textId="5E7EC694" w:rsidR="004A2FAA" w:rsidRDefault="004A2FAA" w:rsidP="00E3393E">
      <w:pPr>
        <w:pStyle w:val="SectionHeading"/>
        <w:spacing w:after="0" w:line="276" w:lineRule="auto"/>
        <w:jc w:val="center"/>
        <w:rPr>
          <w:i/>
          <w:iCs/>
          <w:sz w:val="24"/>
          <w:szCs w:val="24"/>
        </w:rPr>
      </w:pPr>
    </w:p>
    <w:p w14:paraId="3322BECF" w14:textId="56FECE69" w:rsidR="004A2FAA" w:rsidRDefault="004A2FAA" w:rsidP="00E3393E">
      <w:pPr>
        <w:pStyle w:val="SectionHeading"/>
        <w:spacing w:after="0" w:line="276" w:lineRule="auto"/>
        <w:jc w:val="center"/>
        <w:rPr>
          <w:i/>
          <w:iCs/>
          <w:sz w:val="24"/>
          <w:szCs w:val="24"/>
        </w:rPr>
      </w:pPr>
    </w:p>
    <w:p w14:paraId="5073D8BF" w14:textId="77777777" w:rsidR="004A2FAA" w:rsidRPr="00236BB2" w:rsidRDefault="004A2FAA" w:rsidP="004A2FAA">
      <w:pPr>
        <w:pStyle w:val="SectionHeading"/>
        <w:spacing w:after="0" w:line="276" w:lineRule="auto"/>
        <w:jc w:val="both"/>
        <w:rPr>
          <w:b w:val="0"/>
          <w:szCs w:val="22"/>
        </w:rPr>
      </w:pPr>
      <w:r w:rsidRPr="00236BB2">
        <w:rPr>
          <w:bCs/>
          <w:szCs w:val="22"/>
        </w:rPr>
        <w:lastRenderedPageBreak/>
        <w:t xml:space="preserve">Table </w:t>
      </w:r>
      <w:r>
        <w:rPr>
          <w:bCs/>
          <w:szCs w:val="22"/>
        </w:rPr>
        <w:t>S1</w:t>
      </w:r>
      <w:r w:rsidRPr="00236BB2">
        <w:rPr>
          <w:b w:val="0"/>
          <w:szCs w:val="22"/>
        </w:rPr>
        <w:t xml:space="preserve">: Coercivity values, isothermal remanent magnetization (IRM) contributions, and </w:t>
      </w:r>
      <w:r>
        <w:rPr>
          <w:b w:val="0"/>
          <w:szCs w:val="22"/>
        </w:rPr>
        <w:t>S</w:t>
      </w:r>
      <w:r w:rsidRPr="00236BB2">
        <w:rPr>
          <w:b w:val="0"/>
          <w:szCs w:val="22"/>
        </w:rPr>
        <w:t>-ratio for other background and hydrocarbon reservoir samples.</w:t>
      </w:r>
      <w:r w:rsidRPr="00E04D7A">
        <w:t xml:space="preserve"> </w:t>
      </w:r>
      <w:r w:rsidRPr="00236BB2">
        <w:rPr>
          <w:b w:val="0"/>
          <w:bCs/>
        </w:rPr>
        <w:t>B</w:t>
      </w:r>
      <w:r w:rsidRPr="00236BB2">
        <w:rPr>
          <w:b w:val="0"/>
          <w:bCs/>
          <w:vertAlign w:val="subscript"/>
        </w:rPr>
        <w:t>1/2</w:t>
      </w:r>
      <w:r w:rsidRPr="00236BB2">
        <w:rPr>
          <w:b w:val="0"/>
          <w:bCs/>
        </w:rPr>
        <w:t xml:space="preserve"> </w:t>
      </w:r>
      <w:r>
        <w:rPr>
          <w:b w:val="0"/>
          <w:bCs/>
        </w:rPr>
        <w:t xml:space="preserve">also known as median destructive field (MDF) </w:t>
      </w:r>
      <w:r w:rsidRPr="00236BB2">
        <w:rPr>
          <w:b w:val="0"/>
          <w:bCs/>
        </w:rPr>
        <w:t xml:space="preserve">stands for </w:t>
      </w:r>
      <w:r>
        <w:rPr>
          <w:b w:val="0"/>
          <w:bCs/>
        </w:rPr>
        <w:t xml:space="preserve">the </w:t>
      </w:r>
      <w:r w:rsidRPr="00236BB2">
        <w:rPr>
          <w:b w:val="0"/>
          <w:bCs/>
        </w:rPr>
        <w:t>field at which half of the SIRM is reached, DP stand for the dispersion parameter and LAP, GAP and SAP quote the sum of squared residuals for the linear acquisition plots, gradient acquisition plot, and standardization acquisition plot respectively</w:t>
      </w:r>
    </w:p>
    <w:p w14:paraId="074EE790" w14:textId="77777777" w:rsidR="004A2FAA" w:rsidRPr="00236BB2" w:rsidRDefault="004A2FAA" w:rsidP="004A2FAA">
      <w:pPr>
        <w:pStyle w:val="SectionHeading"/>
        <w:spacing w:before="0" w:after="0" w:line="276" w:lineRule="auto"/>
        <w:jc w:val="both"/>
        <w:rPr>
          <w:b w:val="0"/>
          <w:szCs w:val="22"/>
        </w:rPr>
      </w:pPr>
    </w:p>
    <w:p w14:paraId="59BC5674" w14:textId="65B26984" w:rsidR="004A2FAA" w:rsidRPr="004A2FAA" w:rsidRDefault="004A2FAA" w:rsidP="004A2FAA">
      <w:pPr>
        <w:jc w:val="both"/>
        <w:rPr>
          <w:rFonts w:ascii="Times New Roman" w:hAnsi="Times New Roman" w:cs="Times New Roman"/>
        </w:rPr>
      </w:pPr>
      <w:r w:rsidRPr="00236BB2">
        <w:rPr>
          <w:rFonts w:ascii="Times New Roman" w:hAnsi="Times New Roman" w:cs="Times New Roman"/>
          <w:b/>
        </w:rPr>
        <w:t xml:space="preserve">Table </w:t>
      </w:r>
      <w:r>
        <w:rPr>
          <w:rFonts w:ascii="Times New Roman" w:hAnsi="Times New Roman" w:cs="Times New Roman"/>
          <w:b/>
        </w:rPr>
        <w:t>S2</w:t>
      </w:r>
      <w:r w:rsidRPr="00236BB2">
        <w:rPr>
          <w:rFonts w:ascii="Times New Roman" w:hAnsi="Times New Roman" w:cs="Times New Roman"/>
          <w:b/>
        </w:rPr>
        <w:t>:</w:t>
      </w:r>
      <w:r w:rsidRPr="00236BB2">
        <w:rPr>
          <w:rFonts w:ascii="Times New Roman" w:hAnsi="Times New Roman" w:cs="Times New Roman"/>
          <w:b/>
          <w:bCs/>
          <w:color w:val="000000"/>
        </w:rPr>
        <w:t xml:space="preserve"> </w:t>
      </w:r>
      <w:proofErr w:type="spellStart"/>
      <w:r w:rsidRPr="00236BB2">
        <w:rPr>
          <w:rFonts w:ascii="Times New Roman" w:hAnsi="Times New Roman" w:cs="Times New Roman"/>
        </w:rPr>
        <w:t>Mössbauer</w:t>
      </w:r>
      <w:proofErr w:type="spellEnd"/>
      <w:r w:rsidRPr="00236BB2">
        <w:rPr>
          <w:rFonts w:ascii="Times New Roman" w:hAnsi="Times New Roman" w:cs="Times New Roman"/>
        </w:rPr>
        <w:t xml:space="preserve"> parameters for the background samples and the hydrocarbon reservoir samples. IS stands for isomer shift, QS stands for quadrupole shift and </w:t>
      </w:r>
      <w:proofErr w:type="spellStart"/>
      <w:r w:rsidRPr="00236BB2">
        <w:rPr>
          <w:rFonts w:ascii="Times New Roman" w:hAnsi="Times New Roman" w:cs="Times New Roman"/>
        </w:rPr>
        <w:t>B</w:t>
      </w:r>
      <w:r w:rsidRPr="00236BB2">
        <w:rPr>
          <w:rFonts w:ascii="Times New Roman" w:hAnsi="Times New Roman" w:cs="Times New Roman"/>
          <w:vertAlign w:val="subscript"/>
        </w:rPr>
        <w:t>hf</w:t>
      </w:r>
      <w:proofErr w:type="spellEnd"/>
      <w:r w:rsidRPr="00236BB2">
        <w:rPr>
          <w:rFonts w:ascii="Times New Roman" w:hAnsi="Times New Roman" w:cs="Times New Roman"/>
        </w:rPr>
        <w:t xml:space="preserve"> stands for the magnetic hyperfine field</w:t>
      </w:r>
      <w:r>
        <w:rPr>
          <w:rFonts w:ascii="Times New Roman" w:hAnsi="Times New Roman" w:cs="Times New Roman"/>
        </w:rPr>
        <w:t>.</w:t>
      </w:r>
      <w:r w:rsidRPr="00F12F0D">
        <w:rPr>
          <w:rFonts w:ascii="Times New Roman" w:hAnsi="Times New Roman" w:cs="Times New Roman"/>
        </w:rPr>
        <w:t xml:space="preserve"> </w:t>
      </w:r>
    </w:p>
    <w:p w14:paraId="089440FB" w14:textId="17216C4D" w:rsidR="00E3393E" w:rsidRDefault="00E3393E" w:rsidP="00E3393E">
      <w:pPr>
        <w:pStyle w:val="SectionHeading"/>
        <w:spacing w:after="0" w:line="276" w:lineRule="auto"/>
        <w:jc w:val="center"/>
        <w:rPr>
          <w:i/>
          <w:iCs/>
          <w:sz w:val="24"/>
          <w:szCs w:val="24"/>
        </w:rPr>
      </w:pPr>
      <w:r w:rsidRPr="00C76158">
        <w:rPr>
          <w:i/>
          <w:iCs/>
          <w:sz w:val="24"/>
          <w:szCs w:val="24"/>
        </w:rPr>
        <w:t xml:space="preserve">Table </w:t>
      </w:r>
      <w:r>
        <w:rPr>
          <w:i/>
          <w:iCs/>
          <w:sz w:val="24"/>
          <w:szCs w:val="24"/>
        </w:rPr>
        <w:t>S1</w:t>
      </w:r>
    </w:p>
    <w:tbl>
      <w:tblPr>
        <w:tblStyle w:val="PlainTable4"/>
        <w:tblW w:w="9131" w:type="dxa"/>
        <w:tblBorders>
          <w:top w:val="single" w:sz="12" w:space="0" w:color="auto"/>
          <w:bottom w:val="single" w:sz="12" w:space="0" w:color="auto"/>
        </w:tblBorders>
        <w:tblLook w:val="04A0" w:firstRow="1" w:lastRow="0" w:firstColumn="1" w:lastColumn="0" w:noHBand="0" w:noVBand="1"/>
      </w:tblPr>
      <w:tblGrid>
        <w:gridCol w:w="1134"/>
        <w:gridCol w:w="1017"/>
        <w:gridCol w:w="960"/>
        <w:gridCol w:w="717"/>
        <w:gridCol w:w="1463"/>
        <w:gridCol w:w="960"/>
        <w:gridCol w:w="960"/>
        <w:gridCol w:w="960"/>
        <w:gridCol w:w="960"/>
      </w:tblGrid>
      <w:tr w:rsidR="00E3393E" w14:paraId="1748636D" w14:textId="77777777" w:rsidTr="006717B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auto"/>
              <w:bottom w:val="single" w:sz="12" w:space="0" w:color="auto"/>
            </w:tcBorders>
            <w:noWrap/>
            <w:hideMark/>
          </w:tcPr>
          <w:p w14:paraId="3A8D9E86" w14:textId="77777777" w:rsidR="00E3393E" w:rsidRPr="00D7150B" w:rsidRDefault="00E3393E" w:rsidP="006717BF">
            <w:pPr>
              <w:rPr>
                <w:rFonts w:ascii="Times New Roman" w:eastAsia="Times New Roman" w:hAnsi="Times New Roman" w:cs="Times New Roman"/>
                <w:color w:val="000000"/>
                <w:sz w:val="16"/>
                <w:szCs w:val="16"/>
                <w:lang w:eastAsia="en-GB"/>
              </w:rPr>
            </w:pPr>
            <w:r w:rsidRPr="00D7150B">
              <w:rPr>
                <w:rFonts w:ascii="Times New Roman" w:eastAsia="Times New Roman" w:hAnsi="Times New Roman" w:cs="Times New Roman"/>
                <w:color w:val="000000"/>
                <w:sz w:val="16"/>
                <w:szCs w:val="16"/>
                <w:lang w:eastAsia="en-GB"/>
              </w:rPr>
              <w:t>SAMPLE</w:t>
            </w:r>
          </w:p>
        </w:tc>
        <w:tc>
          <w:tcPr>
            <w:tcW w:w="1017" w:type="dxa"/>
            <w:tcBorders>
              <w:top w:val="single" w:sz="12" w:space="0" w:color="auto"/>
              <w:bottom w:val="single" w:sz="12" w:space="0" w:color="auto"/>
            </w:tcBorders>
            <w:noWrap/>
            <w:hideMark/>
          </w:tcPr>
          <w:p w14:paraId="66073D24" w14:textId="77777777" w:rsidR="00E3393E" w:rsidRPr="00D7150B" w:rsidRDefault="00E3393E" w:rsidP="006717B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D7150B">
              <w:rPr>
                <w:rFonts w:ascii="Times New Roman" w:eastAsia="Times New Roman" w:hAnsi="Times New Roman" w:cs="Times New Roman"/>
                <w:color w:val="000000"/>
                <w:sz w:val="16"/>
                <w:szCs w:val="16"/>
                <w:lang w:eastAsia="en-GB"/>
              </w:rPr>
              <w:t>Component</w:t>
            </w:r>
          </w:p>
        </w:tc>
        <w:tc>
          <w:tcPr>
            <w:tcW w:w="960" w:type="dxa"/>
            <w:tcBorders>
              <w:top w:val="single" w:sz="12" w:space="0" w:color="auto"/>
              <w:bottom w:val="single" w:sz="12" w:space="0" w:color="auto"/>
            </w:tcBorders>
            <w:noWrap/>
            <w:hideMark/>
          </w:tcPr>
          <w:p w14:paraId="3EC16C57" w14:textId="77777777" w:rsidR="00E3393E" w:rsidRPr="00D7150B" w:rsidRDefault="00E3393E" w:rsidP="006717B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D7150B">
              <w:rPr>
                <w:rFonts w:ascii="Times New Roman" w:eastAsia="Times New Roman" w:hAnsi="Times New Roman" w:cs="Times New Roman"/>
                <w:color w:val="000000"/>
                <w:sz w:val="16"/>
                <w:szCs w:val="16"/>
                <w:lang w:eastAsia="en-GB"/>
              </w:rPr>
              <w:t>B</w:t>
            </w:r>
            <w:r w:rsidRPr="00D7150B">
              <w:rPr>
                <w:rFonts w:ascii="Times New Roman" w:eastAsia="Times New Roman" w:hAnsi="Times New Roman" w:cs="Times New Roman"/>
                <w:color w:val="000000"/>
                <w:sz w:val="16"/>
                <w:szCs w:val="16"/>
                <w:vertAlign w:val="subscript"/>
                <w:lang w:eastAsia="en-GB"/>
              </w:rPr>
              <w:t>1/2</w:t>
            </w:r>
            <w:r w:rsidRPr="00D7150B">
              <w:rPr>
                <w:rFonts w:ascii="Times New Roman" w:eastAsia="Times New Roman" w:hAnsi="Times New Roman" w:cs="Times New Roman"/>
                <w:color w:val="000000"/>
                <w:sz w:val="16"/>
                <w:szCs w:val="16"/>
                <w:lang w:eastAsia="en-GB"/>
              </w:rPr>
              <w:t xml:space="preserve"> (</w:t>
            </w:r>
            <w:proofErr w:type="spellStart"/>
            <w:r w:rsidRPr="00D7150B">
              <w:rPr>
                <w:rFonts w:ascii="Times New Roman" w:eastAsia="Times New Roman" w:hAnsi="Times New Roman" w:cs="Times New Roman"/>
                <w:color w:val="000000"/>
                <w:sz w:val="16"/>
                <w:szCs w:val="16"/>
                <w:lang w:eastAsia="en-GB"/>
              </w:rPr>
              <w:t>mT</w:t>
            </w:r>
            <w:proofErr w:type="spellEnd"/>
            <w:r w:rsidRPr="00D7150B">
              <w:rPr>
                <w:rFonts w:ascii="Times New Roman" w:eastAsia="Times New Roman" w:hAnsi="Times New Roman" w:cs="Times New Roman"/>
                <w:color w:val="000000"/>
                <w:sz w:val="16"/>
                <w:szCs w:val="16"/>
                <w:lang w:eastAsia="en-GB"/>
              </w:rPr>
              <w:t>)</w:t>
            </w:r>
          </w:p>
        </w:tc>
        <w:tc>
          <w:tcPr>
            <w:tcW w:w="717" w:type="dxa"/>
            <w:tcBorders>
              <w:top w:val="single" w:sz="12" w:space="0" w:color="auto"/>
              <w:bottom w:val="single" w:sz="12" w:space="0" w:color="auto"/>
            </w:tcBorders>
            <w:noWrap/>
            <w:hideMark/>
          </w:tcPr>
          <w:p w14:paraId="1D660C6A" w14:textId="77777777" w:rsidR="00E3393E" w:rsidRPr="00D7150B" w:rsidRDefault="00E3393E" w:rsidP="006717B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D7150B">
              <w:rPr>
                <w:rFonts w:ascii="Times New Roman" w:eastAsia="Times New Roman" w:hAnsi="Times New Roman" w:cs="Times New Roman"/>
                <w:color w:val="000000"/>
                <w:sz w:val="16"/>
                <w:szCs w:val="16"/>
                <w:lang w:eastAsia="en-GB"/>
              </w:rPr>
              <w:t>DP</w:t>
            </w:r>
          </w:p>
        </w:tc>
        <w:tc>
          <w:tcPr>
            <w:tcW w:w="1463" w:type="dxa"/>
            <w:tcBorders>
              <w:top w:val="single" w:sz="12" w:space="0" w:color="auto"/>
              <w:bottom w:val="single" w:sz="12" w:space="0" w:color="auto"/>
            </w:tcBorders>
            <w:noWrap/>
            <w:hideMark/>
          </w:tcPr>
          <w:p w14:paraId="6EF70AEF" w14:textId="77777777" w:rsidR="00E3393E" w:rsidRPr="00D7150B" w:rsidRDefault="00E3393E" w:rsidP="006717B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D7150B">
              <w:rPr>
                <w:rFonts w:ascii="Times New Roman" w:eastAsia="Times New Roman" w:hAnsi="Times New Roman" w:cs="Times New Roman"/>
                <w:color w:val="000000"/>
                <w:sz w:val="16"/>
                <w:szCs w:val="16"/>
                <w:lang w:eastAsia="en-GB"/>
              </w:rPr>
              <w:t>IRM Cont. (%)</w:t>
            </w:r>
          </w:p>
        </w:tc>
        <w:tc>
          <w:tcPr>
            <w:tcW w:w="960" w:type="dxa"/>
            <w:tcBorders>
              <w:top w:val="single" w:sz="12" w:space="0" w:color="auto"/>
              <w:bottom w:val="single" w:sz="12" w:space="0" w:color="auto"/>
            </w:tcBorders>
            <w:noWrap/>
            <w:hideMark/>
          </w:tcPr>
          <w:p w14:paraId="166B5728" w14:textId="77777777" w:rsidR="00E3393E" w:rsidRPr="00D7150B" w:rsidRDefault="00E3393E" w:rsidP="006717B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D7150B">
              <w:rPr>
                <w:rFonts w:ascii="Times New Roman" w:eastAsia="Times New Roman" w:hAnsi="Times New Roman" w:cs="Times New Roman"/>
                <w:color w:val="000000"/>
                <w:sz w:val="16"/>
                <w:szCs w:val="16"/>
                <w:lang w:eastAsia="en-GB"/>
              </w:rPr>
              <w:t>S-ratio</w:t>
            </w:r>
          </w:p>
        </w:tc>
        <w:tc>
          <w:tcPr>
            <w:tcW w:w="960" w:type="dxa"/>
            <w:tcBorders>
              <w:top w:val="single" w:sz="12" w:space="0" w:color="auto"/>
              <w:bottom w:val="single" w:sz="12" w:space="0" w:color="auto"/>
            </w:tcBorders>
            <w:noWrap/>
            <w:hideMark/>
          </w:tcPr>
          <w:p w14:paraId="2EFB5566" w14:textId="77777777" w:rsidR="00E3393E" w:rsidRPr="00D7150B" w:rsidRDefault="00E3393E" w:rsidP="006717B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D7150B">
              <w:rPr>
                <w:rFonts w:ascii="Times New Roman" w:eastAsia="Times New Roman" w:hAnsi="Times New Roman" w:cs="Times New Roman"/>
                <w:color w:val="000000"/>
                <w:sz w:val="16"/>
                <w:szCs w:val="16"/>
                <w:lang w:eastAsia="en-GB"/>
              </w:rPr>
              <w:t>LAP</w:t>
            </w:r>
          </w:p>
        </w:tc>
        <w:tc>
          <w:tcPr>
            <w:tcW w:w="960" w:type="dxa"/>
            <w:tcBorders>
              <w:top w:val="single" w:sz="12" w:space="0" w:color="auto"/>
              <w:bottom w:val="single" w:sz="12" w:space="0" w:color="auto"/>
            </w:tcBorders>
            <w:noWrap/>
            <w:hideMark/>
          </w:tcPr>
          <w:p w14:paraId="7B0808E9" w14:textId="77777777" w:rsidR="00E3393E" w:rsidRPr="00D7150B" w:rsidRDefault="00E3393E" w:rsidP="006717B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D7150B">
              <w:rPr>
                <w:rFonts w:ascii="Times New Roman" w:eastAsia="Times New Roman" w:hAnsi="Times New Roman" w:cs="Times New Roman"/>
                <w:color w:val="000000"/>
                <w:sz w:val="16"/>
                <w:szCs w:val="16"/>
                <w:lang w:eastAsia="en-GB"/>
              </w:rPr>
              <w:t>GAP</w:t>
            </w:r>
          </w:p>
        </w:tc>
        <w:tc>
          <w:tcPr>
            <w:tcW w:w="960" w:type="dxa"/>
            <w:tcBorders>
              <w:top w:val="single" w:sz="12" w:space="0" w:color="auto"/>
              <w:bottom w:val="single" w:sz="12" w:space="0" w:color="auto"/>
            </w:tcBorders>
            <w:noWrap/>
            <w:hideMark/>
          </w:tcPr>
          <w:p w14:paraId="7E4AD132" w14:textId="77777777" w:rsidR="00E3393E" w:rsidRPr="00D7150B" w:rsidRDefault="00E3393E" w:rsidP="006717B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D7150B">
              <w:rPr>
                <w:rFonts w:ascii="Times New Roman" w:eastAsia="Times New Roman" w:hAnsi="Times New Roman" w:cs="Times New Roman"/>
                <w:color w:val="000000"/>
                <w:sz w:val="16"/>
                <w:szCs w:val="16"/>
                <w:lang w:eastAsia="en-GB"/>
              </w:rPr>
              <w:t>SAP</w:t>
            </w:r>
          </w:p>
        </w:tc>
      </w:tr>
      <w:tr w:rsidR="00E3393E" w14:paraId="60479250" w14:textId="77777777" w:rsidTr="006717B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12" w:space="0" w:color="auto"/>
            </w:tcBorders>
            <w:shd w:val="clear" w:color="auto" w:fill="auto"/>
            <w:noWrap/>
            <w:hideMark/>
          </w:tcPr>
          <w:p w14:paraId="4F1B149A" w14:textId="77777777" w:rsidR="00E3393E" w:rsidRPr="003300A8" w:rsidRDefault="00E3393E" w:rsidP="006717BF">
            <w:pPr>
              <w:rPr>
                <w:rFonts w:ascii="Times New Roman" w:eastAsia="Times New Roman" w:hAnsi="Times New Roman" w:cs="Times New Roman"/>
                <w:color w:val="000000"/>
                <w:sz w:val="16"/>
                <w:szCs w:val="16"/>
                <w:lang w:eastAsia="en-GB"/>
              </w:rPr>
            </w:pPr>
            <w:bookmarkStart w:id="0" w:name="_Hlk84687087"/>
            <w:r w:rsidRPr="003300A8">
              <w:rPr>
                <w:rFonts w:ascii="Times New Roman" w:eastAsia="Times New Roman" w:hAnsi="Times New Roman" w:cs="Times New Roman"/>
                <w:color w:val="000000"/>
                <w:sz w:val="16"/>
                <w:szCs w:val="16"/>
                <w:lang w:eastAsia="en-GB"/>
              </w:rPr>
              <w:t>DW-21-989</w:t>
            </w:r>
          </w:p>
          <w:p w14:paraId="5CF24723" w14:textId="77777777" w:rsidR="00E3393E" w:rsidRPr="003300A8" w:rsidRDefault="00E3393E" w:rsidP="006717BF">
            <w:pPr>
              <w:rPr>
                <w:rFonts w:ascii="Times New Roman" w:eastAsia="Times New Roman" w:hAnsi="Times New Roman" w:cs="Times New Roman"/>
                <w:color w:val="000000"/>
                <w:sz w:val="16"/>
                <w:szCs w:val="16"/>
                <w:lang w:eastAsia="en-GB"/>
              </w:rPr>
            </w:pPr>
          </w:p>
        </w:tc>
        <w:tc>
          <w:tcPr>
            <w:tcW w:w="0" w:type="dxa"/>
            <w:tcBorders>
              <w:top w:val="single" w:sz="12" w:space="0" w:color="auto"/>
            </w:tcBorders>
            <w:shd w:val="clear" w:color="auto" w:fill="auto"/>
            <w:noWrap/>
            <w:hideMark/>
          </w:tcPr>
          <w:p w14:paraId="559FF8D5" w14:textId="77777777" w:rsidR="00E3393E" w:rsidRPr="003300A8"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3300A8">
              <w:rPr>
                <w:rFonts w:ascii="Times New Roman" w:eastAsia="Times New Roman" w:hAnsi="Times New Roman" w:cs="Times New Roman"/>
                <w:color w:val="000000"/>
                <w:sz w:val="16"/>
                <w:szCs w:val="16"/>
                <w:lang w:eastAsia="en-GB"/>
              </w:rPr>
              <w:t>1</w:t>
            </w:r>
          </w:p>
        </w:tc>
        <w:tc>
          <w:tcPr>
            <w:tcW w:w="0" w:type="dxa"/>
            <w:tcBorders>
              <w:top w:val="single" w:sz="12" w:space="0" w:color="auto"/>
            </w:tcBorders>
            <w:shd w:val="clear" w:color="auto" w:fill="auto"/>
            <w:noWrap/>
            <w:hideMark/>
          </w:tcPr>
          <w:p w14:paraId="7519EB87" w14:textId="77777777" w:rsidR="00E3393E" w:rsidRPr="003300A8"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3300A8">
              <w:rPr>
                <w:rFonts w:ascii="Times New Roman" w:eastAsia="Times New Roman" w:hAnsi="Times New Roman" w:cs="Times New Roman"/>
                <w:color w:val="000000"/>
                <w:sz w:val="16"/>
                <w:szCs w:val="16"/>
                <w:lang w:eastAsia="en-GB"/>
              </w:rPr>
              <w:t>30</w:t>
            </w:r>
          </w:p>
        </w:tc>
        <w:tc>
          <w:tcPr>
            <w:tcW w:w="0" w:type="dxa"/>
            <w:tcBorders>
              <w:top w:val="single" w:sz="12" w:space="0" w:color="auto"/>
            </w:tcBorders>
            <w:shd w:val="clear" w:color="auto" w:fill="auto"/>
            <w:noWrap/>
            <w:hideMark/>
          </w:tcPr>
          <w:p w14:paraId="7E6D8650" w14:textId="77777777" w:rsidR="00E3393E" w:rsidRPr="003300A8"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3300A8">
              <w:rPr>
                <w:rFonts w:ascii="Times New Roman" w:eastAsia="Times New Roman" w:hAnsi="Times New Roman" w:cs="Times New Roman"/>
                <w:color w:val="000000"/>
                <w:sz w:val="16"/>
                <w:szCs w:val="16"/>
                <w:lang w:eastAsia="en-GB"/>
              </w:rPr>
              <w:t>0.60</w:t>
            </w:r>
          </w:p>
        </w:tc>
        <w:tc>
          <w:tcPr>
            <w:tcW w:w="0" w:type="dxa"/>
            <w:tcBorders>
              <w:top w:val="single" w:sz="12" w:space="0" w:color="auto"/>
            </w:tcBorders>
            <w:shd w:val="clear" w:color="auto" w:fill="auto"/>
            <w:noWrap/>
            <w:hideMark/>
          </w:tcPr>
          <w:p w14:paraId="4AC69709" w14:textId="77777777" w:rsidR="00E3393E" w:rsidRPr="005B2A4C"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5B2A4C">
              <w:rPr>
                <w:rFonts w:ascii="Times New Roman" w:eastAsia="Times New Roman" w:hAnsi="Times New Roman" w:cs="Times New Roman"/>
                <w:color w:val="000000"/>
                <w:sz w:val="16"/>
                <w:szCs w:val="16"/>
                <w:lang w:eastAsia="en-GB"/>
              </w:rPr>
              <w:t>20</w:t>
            </w:r>
          </w:p>
        </w:tc>
        <w:tc>
          <w:tcPr>
            <w:tcW w:w="0" w:type="dxa"/>
            <w:vMerge w:val="restart"/>
            <w:tcBorders>
              <w:top w:val="single" w:sz="12" w:space="0" w:color="auto"/>
            </w:tcBorders>
            <w:shd w:val="clear" w:color="auto" w:fill="auto"/>
            <w:noWrap/>
            <w:vAlign w:val="center"/>
            <w:hideMark/>
          </w:tcPr>
          <w:p w14:paraId="3F9D045E" w14:textId="77777777" w:rsidR="00E3393E" w:rsidRPr="005B2A4C"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5B2A4C">
              <w:rPr>
                <w:rFonts w:ascii="Times New Roman" w:eastAsia="Times New Roman" w:hAnsi="Times New Roman" w:cs="Times New Roman"/>
                <w:color w:val="000000"/>
                <w:sz w:val="16"/>
                <w:szCs w:val="16"/>
                <w:lang w:eastAsia="en-GB"/>
              </w:rPr>
              <w:t>0.83</w:t>
            </w:r>
          </w:p>
          <w:p w14:paraId="05BD6AA9" w14:textId="77777777" w:rsidR="00E3393E" w:rsidRPr="005B2A4C"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dxa"/>
            <w:vMerge w:val="restart"/>
            <w:tcBorders>
              <w:top w:val="single" w:sz="12" w:space="0" w:color="auto"/>
            </w:tcBorders>
            <w:shd w:val="clear" w:color="auto" w:fill="auto"/>
            <w:noWrap/>
            <w:vAlign w:val="center"/>
            <w:hideMark/>
          </w:tcPr>
          <w:p w14:paraId="4EB18712" w14:textId="77777777" w:rsidR="00E3393E" w:rsidRPr="00877025"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877025">
              <w:rPr>
                <w:rFonts w:ascii="Times New Roman" w:eastAsia="Times New Roman" w:hAnsi="Times New Roman" w:cs="Times New Roman"/>
                <w:color w:val="000000"/>
                <w:sz w:val="16"/>
                <w:szCs w:val="16"/>
                <w:lang w:eastAsia="en-GB"/>
              </w:rPr>
              <w:t>1.20 × 10</w:t>
            </w:r>
            <w:r w:rsidRPr="00877025">
              <w:rPr>
                <w:rFonts w:ascii="Times New Roman" w:eastAsia="Times New Roman" w:hAnsi="Times New Roman" w:cs="Times New Roman"/>
                <w:color w:val="000000"/>
                <w:sz w:val="16"/>
                <w:szCs w:val="16"/>
                <w:vertAlign w:val="superscript"/>
                <w:lang w:eastAsia="en-GB"/>
              </w:rPr>
              <w:t>-14</w:t>
            </w:r>
          </w:p>
          <w:p w14:paraId="0B97A7CA" w14:textId="77777777" w:rsidR="00E3393E" w:rsidRPr="00877025"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dxa"/>
            <w:vMerge w:val="restart"/>
            <w:tcBorders>
              <w:top w:val="single" w:sz="12" w:space="0" w:color="auto"/>
            </w:tcBorders>
            <w:shd w:val="clear" w:color="auto" w:fill="auto"/>
            <w:noWrap/>
            <w:vAlign w:val="center"/>
            <w:hideMark/>
          </w:tcPr>
          <w:p w14:paraId="540CB996" w14:textId="77777777" w:rsidR="00E3393E" w:rsidRPr="00877025"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877025">
              <w:rPr>
                <w:rFonts w:ascii="Times New Roman" w:eastAsia="Times New Roman" w:hAnsi="Times New Roman" w:cs="Times New Roman"/>
                <w:color w:val="000000"/>
                <w:sz w:val="16"/>
                <w:szCs w:val="16"/>
                <w:lang w:eastAsia="en-GB"/>
              </w:rPr>
              <w:t>5.48 × 10</w:t>
            </w:r>
            <w:r w:rsidRPr="00877025">
              <w:rPr>
                <w:rFonts w:ascii="Times New Roman" w:eastAsia="Times New Roman" w:hAnsi="Times New Roman" w:cs="Times New Roman"/>
                <w:color w:val="000000"/>
                <w:sz w:val="16"/>
                <w:szCs w:val="16"/>
                <w:vertAlign w:val="superscript"/>
                <w:lang w:eastAsia="en-GB"/>
              </w:rPr>
              <w:t>-14</w:t>
            </w:r>
          </w:p>
          <w:p w14:paraId="07389B18" w14:textId="77777777" w:rsidR="00E3393E" w:rsidRPr="00877025"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dxa"/>
            <w:vMerge w:val="restart"/>
            <w:tcBorders>
              <w:top w:val="single" w:sz="12" w:space="0" w:color="auto"/>
            </w:tcBorders>
            <w:shd w:val="clear" w:color="auto" w:fill="auto"/>
            <w:noWrap/>
            <w:vAlign w:val="center"/>
            <w:hideMark/>
          </w:tcPr>
          <w:p w14:paraId="21A294E7" w14:textId="77777777" w:rsidR="00E3393E" w:rsidRPr="00C4271B"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C4271B">
              <w:rPr>
                <w:rFonts w:ascii="Times New Roman" w:eastAsia="Times New Roman" w:hAnsi="Times New Roman" w:cs="Times New Roman"/>
                <w:color w:val="000000"/>
                <w:sz w:val="16"/>
                <w:szCs w:val="16"/>
                <w:lang w:eastAsia="en-GB"/>
              </w:rPr>
              <w:t>9.59 × 10</w:t>
            </w:r>
            <w:r w:rsidRPr="00C4271B">
              <w:rPr>
                <w:rFonts w:ascii="Times New Roman" w:eastAsia="Times New Roman" w:hAnsi="Times New Roman" w:cs="Times New Roman"/>
                <w:color w:val="000000"/>
                <w:sz w:val="16"/>
                <w:szCs w:val="16"/>
                <w:vertAlign w:val="superscript"/>
                <w:lang w:eastAsia="en-GB"/>
              </w:rPr>
              <w:t>-2</w:t>
            </w:r>
          </w:p>
          <w:p w14:paraId="753729B2" w14:textId="77777777" w:rsidR="00E3393E" w:rsidRPr="00E4221A"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C4271B">
              <w:rPr>
                <w:rFonts w:ascii="Times New Roman" w:eastAsia="Times New Roman" w:hAnsi="Times New Roman" w:cs="Times New Roman"/>
                <w:color w:val="000000"/>
                <w:sz w:val="16"/>
                <w:szCs w:val="16"/>
                <w:vertAlign w:val="superscript"/>
                <w:lang w:eastAsia="en-GB"/>
              </w:rPr>
              <w:t>1</w:t>
            </w:r>
          </w:p>
        </w:tc>
      </w:tr>
      <w:tr w:rsidR="00E3393E" w14:paraId="2653BB68" w14:textId="77777777" w:rsidTr="006717BF">
        <w:trPr>
          <w:trHeight w:val="283"/>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34C5029F" w14:textId="77777777" w:rsidR="00E3393E" w:rsidRPr="00F1357D" w:rsidRDefault="00E3393E" w:rsidP="006717BF">
            <w:pPr>
              <w:rPr>
                <w:rFonts w:ascii="Times New Roman" w:eastAsia="Times New Roman" w:hAnsi="Times New Roman" w:cs="Times New Roman"/>
                <w:color w:val="000000"/>
                <w:sz w:val="16"/>
                <w:szCs w:val="16"/>
                <w:lang w:eastAsia="en-GB"/>
              </w:rPr>
            </w:pPr>
          </w:p>
        </w:tc>
        <w:tc>
          <w:tcPr>
            <w:tcW w:w="0" w:type="dxa"/>
            <w:shd w:val="clear" w:color="auto" w:fill="auto"/>
            <w:noWrap/>
            <w:hideMark/>
          </w:tcPr>
          <w:p w14:paraId="05025566" w14:textId="77777777" w:rsidR="00E3393E" w:rsidRPr="00F1357D"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2</w:t>
            </w:r>
          </w:p>
        </w:tc>
        <w:tc>
          <w:tcPr>
            <w:tcW w:w="0" w:type="dxa"/>
            <w:shd w:val="clear" w:color="auto" w:fill="auto"/>
            <w:noWrap/>
            <w:hideMark/>
          </w:tcPr>
          <w:p w14:paraId="4592D00B" w14:textId="77777777" w:rsidR="00E3393E" w:rsidRPr="00F1357D"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40</w:t>
            </w:r>
          </w:p>
        </w:tc>
        <w:tc>
          <w:tcPr>
            <w:tcW w:w="0" w:type="dxa"/>
            <w:shd w:val="clear" w:color="auto" w:fill="auto"/>
            <w:noWrap/>
            <w:hideMark/>
          </w:tcPr>
          <w:p w14:paraId="2C44135C" w14:textId="77777777" w:rsidR="00E3393E" w:rsidRPr="00F1357D"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0.31</w:t>
            </w:r>
          </w:p>
        </w:tc>
        <w:tc>
          <w:tcPr>
            <w:tcW w:w="0" w:type="dxa"/>
            <w:shd w:val="clear" w:color="auto" w:fill="auto"/>
            <w:noWrap/>
            <w:hideMark/>
          </w:tcPr>
          <w:p w14:paraId="4AA77056" w14:textId="77777777" w:rsidR="00E3393E" w:rsidRPr="00F1357D"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60</w:t>
            </w:r>
          </w:p>
        </w:tc>
        <w:tc>
          <w:tcPr>
            <w:tcW w:w="0" w:type="auto"/>
            <w:vMerge/>
            <w:shd w:val="clear" w:color="auto" w:fill="auto"/>
            <w:vAlign w:val="center"/>
            <w:hideMark/>
          </w:tcPr>
          <w:p w14:paraId="148D6AC3" w14:textId="77777777" w:rsidR="00E3393E" w:rsidRPr="00F1357D"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shd w:val="clear" w:color="auto" w:fill="auto"/>
            <w:vAlign w:val="center"/>
            <w:hideMark/>
          </w:tcPr>
          <w:p w14:paraId="10457450" w14:textId="77777777" w:rsidR="00E3393E" w:rsidRPr="00F1357D"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shd w:val="clear" w:color="auto" w:fill="auto"/>
            <w:vAlign w:val="center"/>
            <w:hideMark/>
          </w:tcPr>
          <w:p w14:paraId="538BE0C0" w14:textId="77777777" w:rsidR="00E3393E" w:rsidRPr="00F1357D"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shd w:val="clear" w:color="auto" w:fill="auto"/>
            <w:vAlign w:val="center"/>
            <w:hideMark/>
          </w:tcPr>
          <w:p w14:paraId="383A0EBA" w14:textId="77777777" w:rsidR="00E3393E" w:rsidRPr="00F1357D"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r>
      <w:tr w:rsidR="00E3393E" w14:paraId="1C9A29ED" w14:textId="77777777" w:rsidTr="006717B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75494358" w14:textId="77777777" w:rsidR="00E3393E" w:rsidRPr="00F1357D" w:rsidRDefault="00E3393E" w:rsidP="006717BF">
            <w:pPr>
              <w:rPr>
                <w:rFonts w:ascii="Times New Roman" w:eastAsia="Times New Roman" w:hAnsi="Times New Roman" w:cs="Times New Roman"/>
                <w:color w:val="000000"/>
                <w:sz w:val="16"/>
                <w:szCs w:val="16"/>
                <w:lang w:eastAsia="en-GB"/>
              </w:rPr>
            </w:pPr>
          </w:p>
        </w:tc>
        <w:tc>
          <w:tcPr>
            <w:tcW w:w="0" w:type="dxa"/>
            <w:shd w:val="clear" w:color="auto" w:fill="auto"/>
            <w:noWrap/>
            <w:hideMark/>
          </w:tcPr>
          <w:p w14:paraId="16A97A83" w14:textId="77777777" w:rsidR="00E3393E" w:rsidRPr="00F1357D"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3</w:t>
            </w:r>
          </w:p>
        </w:tc>
        <w:tc>
          <w:tcPr>
            <w:tcW w:w="0" w:type="dxa"/>
            <w:shd w:val="clear" w:color="auto" w:fill="auto"/>
            <w:noWrap/>
            <w:hideMark/>
          </w:tcPr>
          <w:p w14:paraId="7ECDAAA9" w14:textId="77777777" w:rsidR="00E3393E" w:rsidRPr="00F1357D"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250</w:t>
            </w:r>
          </w:p>
        </w:tc>
        <w:tc>
          <w:tcPr>
            <w:tcW w:w="0" w:type="dxa"/>
            <w:shd w:val="clear" w:color="auto" w:fill="auto"/>
            <w:noWrap/>
            <w:hideMark/>
          </w:tcPr>
          <w:p w14:paraId="331902A4" w14:textId="77777777" w:rsidR="00E3393E" w:rsidRPr="00F1357D"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0.31</w:t>
            </w:r>
          </w:p>
        </w:tc>
        <w:tc>
          <w:tcPr>
            <w:tcW w:w="0" w:type="dxa"/>
            <w:shd w:val="clear" w:color="auto" w:fill="auto"/>
            <w:noWrap/>
            <w:hideMark/>
          </w:tcPr>
          <w:p w14:paraId="6187211F" w14:textId="77777777" w:rsidR="00E3393E" w:rsidRPr="00F1357D"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20</w:t>
            </w:r>
          </w:p>
        </w:tc>
        <w:tc>
          <w:tcPr>
            <w:tcW w:w="0" w:type="auto"/>
            <w:vMerge/>
            <w:shd w:val="clear" w:color="auto" w:fill="auto"/>
            <w:vAlign w:val="center"/>
            <w:hideMark/>
          </w:tcPr>
          <w:p w14:paraId="180E9069" w14:textId="77777777" w:rsidR="00E3393E" w:rsidRPr="00F1357D"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shd w:val="clear" w:color="auto" w:fill="auto"/>
            <w:vAlign w:val="center"/>
            <w:hideMark/>
          </w:tcPr>
          <w:p w14:paraId="01C6C013" w14:textId="77777777" w:rsidR="00E3393E" w:rsidRPr="00F1357D"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shd w:val="clear" w:color="auto" w:fill="auto"/>
            <w:vAlign w:val="center"/>
            <w:hideMark/>
          </w:tcPr>
          <w:p w14:paraId="40C347A8" w14:textId="77777777" w:rsidR="00E3393E" w:rsidRPr="00F1357D"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shd w:val="clear" w:color="auto" w:fill="auto"/>
            <w:vAlign w:val="center"/>
            <w:hideMark/>
          </w:tcPr>
          <w:p w14:paraId="1EA0DF10" w14:textId="77777777" w:rsidR="00E3393E" w:rsidRPr="00F1357D"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r>
      <w:tr w:rsidR="00E3393E" w14:paraId="0CA80632" w14:textId="77777777" w:rsidTr="006717BF">
        <w:trPr>
          <w:trHeight w:val="283"/>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auto"/>
            <w:noWrap/>
            <w:hideMark/>
          </w:tcPr>
          <w:p w14:paraId="61473D04" w14:textId="77777777" w:rsidR="00E3393E" w:rsidRPr="003300A8" w:rsidRDefault="00E3393E" w:rsidP="006717BF">
            <w:pPr>
              <w:rPr>
                <w:rFonts w:ascii="Times New Roman" w:eastAsia="Times New Roman" w:hAnsi="Times New Roman" w:cs="Times New Roman"/>
                <w:color w:val="000000"/>
                <w:sz w:val="16"/>
                <w:szCs w:val="16"/>
                <w:lang w:eastAsia="en-GB"/>
              </w:rPr>
            </w:pPr>
            <w:r w:rsidRPr="003300A8">
              <w:rPr>
                <w:rFonts w:ascii="Times New Roman" w:eastAsia="Times New Roman" w:hAnsi="Times New Roman" w:cs="Times New Roman"/>
                <w:color w:val="000000"/>
                <w:sz w:val="16"/>
                <w:szCs w:val="16"/>
                <w:lang w:eastAsia="en-GB"/>
              </w:rPr>
              <w:t>CAT-1430</w:t>
            </w:r>
          </w:p>
          <w:p w14:paraId="04FCAD14" w14:textId="77777777" w:rsidR="00E3393E" w:rsidRPr="003300A8" w:rsidRDefault="00E3393E" w:rsidP="006717BF">
            <w:pPr>
              <w:rPr>
                <w:rFonts w:ascii="Times New Roman" w:eastAsia="Times New Roman" w:hAnsi="Times New Roman" w:cs="Times New Roman"/>
                <w:color w:val="000000"/>
                <w:sz w:val="16"/>
                <w:szCs w:val="16"/>
                <w:lang w:eastAsia="en-GB"/>
              </w:rPr>
            </w:pPr>
          </w:p>
        </w:tc>
        <w:tc>
          <w:tcPr>
            <w:tcW w:w="0" w:type="dxa"/>
            <w:shd w:val="clear" w:color="auto" w:fill="auto"/>
            <w:noWrap/>
          </w:tcPr>
          <w:p w14:paraId="6C889DF2" w14:textId="77777777" w:rsidR="00E3393E" w:rsidRPr="003300A8"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3300A8">
              <w:rPr>
                <w:rFonts w:ascii="Times New Roman" w:eastAsia="Times New Roman" w:hAnsi="Times New Roman" w:cs="Times New Roman"/>
                <w:color w:val="000000"/>
                <w:sz w:val="16"/>
                <w:szCs w:val="16"/>
                <w:lang w:eastAsia="en-GB"/>
              </w:rPr>
              <w:t>1</w:t>
            </w:r>
          </w:p>
        </w:tc>
        <w:tc>
          <w:tcPr>
            <w:tcW w:w="0" w:type="dxa"/>
            <w:shd w:val="clear" w:color="auto" w:fill="auto"/>
            <w:noWrap/>
          </w:tcPr>
          <w:p w14:paraId="50204A45" w14:textId="77777777" w:rsidR="00E3393E" w:rsidRPr="003300A8"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3300A8">
              <w:rPr>
                <w:rFonts w:ascii="Times New Roman" w:eastAsia="Times New Roman" w:hAnsi="Times New Roman" w:cs="Times New Roman"/>
                <w:color w:val="000000"/>
                <w:sz w:val="16"/>
                <w:szCs w:val="16"/>
                <w:lang w:eastAsia="en-GB"/>
              </w:rPr>
              <w:t>20</w:t>
            </w:r>
          </w:p>
        </w:tc>
        <w:tc>
          <w:tcPr>
            <w:tcW w:w="0" w:type="dxa"/>
            <w:shd w:val="clear" w:color="auto" w:fill="auto"/>
            <w:noWrap/>
          </w:tcPr>
          <w:p w14:paraId="01CE0E90" w14:textId="77777777" w:rsidR="00E3393E" w:rsidRPr="003300A8"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3300A8">
              <w:rPr>
                <w:rFonts w:ascii="Times New Roman" w:eastAsia="Times New Roman" w:hAnsi="Times New Roman" w:cs="Times New Roman"/>
                <w:color w:val="000000"/>
                <w:sz w:val="16"/>
                <w:szCs w:val="16"/>
                <w:lang w:eastAsia="en-GB"/>
              </w:rPr>
              <w:t>0.65</w:t>
            </w:r>
          </w:p>
        </w:tc>
        <w:tc>
          <w:tcPr>
            <w:tcW w:w="0" w:type="dxa"/>
            <w:shd w:val="clear" w:color="auto" w:fill="auto"/>
            <w:noWrap/>
          </w:tcPr>
          <w:p w14:paraId="59116774" w14:textId="77777777" w:rsidR="00E3393E" w:rsidRPr="005B2A4C"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5B2A4C">
              <w:rPr>
                <w:rFonts w:ascii="Times New Roman" w:eastAsia="Times New Roman" w:hAnsi="Times New Roman" w:cs="Times New Roman"/>
                <w:color w:val="000000"/>
                <w:sz w:val="16"/>
                <w:szCs w:val="16"/>
                <w:lang w:eastAsia="en-GB"/>
              </w:rPr>
              <w:t>30</w:t>
            </w:r>
          </w:p>
        </w:tc>
        <w:tc>
          <w:tcPr>
            <w:tcW w:w="0" w:type="dxa"/>
            <w:vMerge w:val="restart"/>
            <w:shd w:val="clear" w:color="auto" w:fill="auto"/>
            <w:noWrap/>
            <w:vAlign w:val="center"/>
            <w:hideMark/>
          </w:tcPr>
          <w:p w14:paraId="0BBAAF61" w14:textId="77777777" w:rsidR="00E3393E" w:rsidRPr="005B2A4C"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5B2A4C">
              <w:rPr>
                <w:rFonts w:ascii="Times New Roman" w:eastAsia="Times New Roman" w:hAnsi="Times New Roman" w:cs="Times New Roman"/>
                <w:color w:val="000000"/>
                <w:sz w:val="16"/>
                <w:szCs w:val="16"/>
                <w:lang w:eastAsia="en-GB"/>
              </w:rPr>
              <w:t>0.91</w:t>
            </w:r>
          </w:p>
        </w:tc>
        <w:tc>
          <w:tcPr>
            <w:tcW w:w="0" w:type="dxa"/>
            <w:vMerge w:val="restart"/>
            <w:shd w:val="clear" w:color="auto" w:fill="auto"/>
            <w:noWrap/>
            <w:vAlign w:val="center"/>
            <w:hideMark/>
          </w:tcPr>
          <w:p w14:paraId="13E6C560" w14:textId="77777777" w:rsidR="00E3393E" w:rsidRPr="00877025"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5B2A4C">
              <w:rPr>
                <w:rFonts w:ascii="Times New Roman" w:eastAsia="Times New Roman" w:hAnsi="Times New Roman" w:cs="Times New Roman"/>
                <w:color w:val="000000"/>
                <w:sz w:val="16"/>
                <w:szCs w:val="16"/>
                <w:lang w:eastAsia="en-GB"/>
              </w:rPr>
              <w:t xml:space="preserve">5.92 × </w:t>
            </w:r>
            <w:r w:rsidRPr="00877025">
              <w:rPr>
                <w:rFonts w:ascii="Times New Roman" w:eastAsia="Times New Roman" w:hAnsi="Times New Roman" w:cs="Times New Roman"/>
                <w:color w:val="000000"/>
                <w:sz w:val="16"/>
                <w:szCs w:val="16"/>
                <w:lang w:eastAsia="en-GB"/>
              </w:rPr>
              <w:t>10</w:t>
            </w:r>
            <w:r w:rsidRPr="00877025">
              <w:rPr>
                <w:rFonts w:ascii="Times New Roman" w:eastAsia="Times New Roman" w:hAnsi="Times New Roman" w:cs="Times New Roman"/>
                <w:color w:val="000000"/>
                <w:sz w:val="16"/>
                <w:szCs w:val="16"/>
                <w:vertAlign w:val="superscript"/>
                <w:lang w:eastAsia="en-GB"/>
              </w:rPr>
              <w:t>-16</w:t>
            </w:r>
          </w:p>
        </w:tc>
        <w:tc>
          <w:tcPr>
            <w:tcW w:w="0" w:type="dxa"/>
            <w:vMerge w:val="restart"/>
            <w:shd w:val="clear" w:color="auto" w:fill="auto"/>
            <w:noWrap/>
            <w:vAlign w:val="center"/>
            <w:hideMark/>
          </w:tcPr>
          <w:p w14:paraId="172EC301" w14:textId="77777777" w:rsidR="00E3393E" w:rsidRPr="00877025"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877025">
              <w:rPr>
                <w:rFonts w:ascii="Times New Roman" w:eastAsia="Times New Roman" w:hAnsi="Times New Roman" w:cs="Times New Roman"/>
                <w:color w:val="000000"/>
                <w:sz w:val="16"/>
                <w:szCs w:val="16"/>
                <w:lang w:eastAsia="en-GB"/>
              </w:rPr>
              <w:t>2.70 × 10</w:t>
            </w:r>
            <w:r w:rsidRPr="00877025">
              <w:rPr>
                <w:rFonts w:ascii="Times New Roman" w:eastAsia="Times New Roman" w:hAnsi="Times New Roman" w:cs="Times New Roman"/>
                <w:color w:val="000000"/>
                <w:sz w:val="16"/>
                <w:szCs w:val="16"/>
                <w:vertAlign w:val="superscript"/>
                <w:lang w:eastAsia="en-GB"/>
              </w:rPr>
              <w:t>-14</w:t>
            </w:r>
          </w:p>
        </w:tc>
        <w:tc>
          <w:tcPr>
            <w:tcW w:w="0" w:type="dxa"/>
            <w:vMerge w:val="restart"/>
            <w:shd w:val="clear" w:color="auto" w:fill="auto"/>
            <w:noWrap/>
            <w:vAlign w:val="center"/>
            <w:hideMark/>
          </w:tcPr>
          <w:p w14:paraId="77FBA9A5" w14:textId="77777777" w:rsidR="00E3393E" w:rsidRPr="00877025"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877025">
              <w:rPr>
                <w:rFonts w:ascii="Times New Roman" w:eastAsia="Times New Roman" w:hAnsi="Times New Roman" w:cs="Times New Roman"/>
                <w:color w:val="000000"/>
                <w:sz w:val="16"/>
                <w:szCs w:val="16"/>
                <w:lang w:eastAsia="en-GB"/>
              </w:rPr>
              <w:t>7.30 × 10</w:t>
            </w:r>
            <w:r w:rsidRPr="00877025">
              <w:rPr>
                <w:rFonts w:ascii="Times New Roman" w:eastAsia="Times New Roman" w:hAnsi="Times New Roman" w:cs="Times New Roman"/>
                <w:color w:val="000000"/>
                <w:sz w:val="16"/>
                <w:szCs w:val="16"/>
                <w:vertAlign w:val="superscript"/>
                <w:lang w:eastAsia="en-GB"/>
              </w:rPr>
              <w:t>-2</w:t>
            </w:r>
          </w:p>
        </w:tc>
      </w:tr>
      <w:tr w:rsidR="00E3393E" w14:paraId="67FA297D" w14:textId="77777777" w:rsidTr="006717B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25026B55" w14:textId="77777777" w:rsidR="00E3393E" w:rsidRPr="00F1357D" w:rsidRDefault="00E3393E" w:rsidP="006717BF">
            <w:pPr>
              <w:rPr>
                <w:rFonts w:ascii="Times New Roman" w:eastAsia="Times New Roman" w:hAnsi="Times New Roman" w:cs="Times New Roman"/>
                <w:color w:val="000000"/>
                <w:sz w:val="16"/>
                <w:szCs w:val="16"/>
                <w:lang w:eastAsia="en-GB"/>
              </w:rPr>
            </w:pPr>
          </w:p>
        </w:tc>
        <w:tc>
          <w:tcPr>
            <w:tcW w:w="0" w:type="dxa"/>
            <w:shd w:val="clear" w:color="auto" w:fill="auto"/>
            <w:noWrap/>
          </w:tcPr>
          <w:p w14:paraId="68DC5413" w14:textId="77777777" w:rsidR="00E3393E" w:rsidRPr="00F1357D"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2</w:t>
            </w:r>
          </w:p>
        </w:tc>
        <w:tc>
          <w:tcPr>
            <w:tcW w:w="0" w:type="dxa"/>
            <w:shd w:val="clear" w:color="auto" w:fill="auto"/>
            <w:noWrap/>
          </w:tcPr>
          <w:p w14:paraId="67923F95" w14:textId="77777777" w:rsidR="00E3393E" w:rsidRPr="00F1357D"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50</w:t>
            </w:r>
          </w:p>
        </w:tc>
        <w:tc>
          <w:tcPr>
            <w:tcW w:w="0" w:type="dxa"/>
            <w:shd w:val="clear" w:color="auto" w:fill="auto"/>
            <w:noWrap/>
          </w:tcPr>
          <w:p w14:paraId="709E196F" w14:textId="77777777" w:rsidR="00E3393E" w:rsidRPr="00F1357D"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0.35</w:t>
            </w:r>
          </w:p>
        </w:tc>
        <w:tc>
          <w:tcPr>
            <w:tcW w:w="0" w:type="dxa"/>
            <w:shd w:val="clear" w:color="auto" w:fill="auto"/>
            <w:noWrap/>
          </w:tcPr>
          <w:p w14:paraId="7C429D26" w14:textId="77777777" w:rsidR="00E3393E" w:rsidRPr="00F1357D"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65</w:t>
            </w:r>
          </w:p>
        </w:tc>
        <w:tc>
          <w:tcPr>
            <w:tcW w:w="0" w:type="auto"/>
            <w:vMerge/>
            <w:shd w:val="clear" w:color="auto" w:fill="auto"/>
            <w:vAlign w:val="center"/>
            <w:hideMark/>
          </w:tcPr>
          <w:p w14:paraId="2293B551" w14:textId="77777777" w:rsidR="00E3393E" w:rsidRPr="00F1357D"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shd w:val="clear" w:color="auto" w:fill="auto"/>
            <w:vAlign w:val="center"/>
            <w:hideMark/>
          </w:tcPr>
          <w:p w14:paraId="179F974E" w14:textId="77777777" w:rsidR="00E3393E" w:rsidRPr="00F1357D"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shd w:val="clear" w:color="auto" w:fill="auto"/>
            <w:vAlign w:val="center"/>
            <w:hideMark/>
          </w:tcPr>
          <w:p w14:paraId="607C4B9F" w14:textId="77777777" w:rsidR="00E3393E" w:rsidRPr="00F1357D"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shd w:val="clear" w:color="auto" w:fill="auto"/>
            <w:vAlign w:val="center"/>
            <w:hideMark/>
          </w:tcPr>
          <w:p w14:paraId="1B6E0D1F" w14:textId="77777777" w:rsidR="00E3393E" w:rsidRPr="00F1357D"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r>
      <w:tr w:rsidR="00E3393E" w14:paraId="1A4D58D1" w14:textId="77777777" w:rsidTr="006717BF">
        <w:trPr>
          <w:trHeight w:val="25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03168857" w14:textId="77777777" w:rsidR="00E3393E" w:rsidRPr="00F1357D" w:rsidRDefault="00E3393E" w:rsidP="006717BF">
            <w:pPr>
              <w:rPr>
                <w:rFonts w:ascii="Times New Roman" w:eastAsia="Times New Roman" w:hAnsi="Times New Roman" w:cs="Times New Roman"/>
                <w:color w:val="000000"/>
                <w:sz w:val="16"/>
                <w:szCs w:val="16"/>
                <w:lang w:eastAsia="en-GB"/>
              </w:rPr>
            </w:pPr>
          </w:p>
        </w:tc>
        <w:tc>
          <w:tcPr>
            <w:tcW w:w="0" w:type="dxa"/>
            <w:shd w:val="clear" w:color="auto" w:fill="auto"/>
            <w:noWrap/>
          </w:tcPr>
          <w:p w14:paraId="1279229D" w14:textId="77777777" w:rsidR="00E3393E" w:rsidRPr="00F1357D"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3</w:t>
            </w:r>
          </w:p>
        </w:tc>
        <w:tc>
          <w:tcPr>
            <w:tcW w:w="0" w:type="dxa"/>
            <w:shd w:val="clear" w:color="auto" w:fill="auto"/>
            <w:noWrap/>
          </w:tcPr>
          <w:p w14:paraId="4C318C92" w14:textId="77777777" w:rsidR="00E3393E" w:rsidRPr="00F1357D"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250</w:t>
            </w:r>
          </w:p>
        </w:tc>
        <w:tc>
          <w:tcPr>
            <w:tcW w:w="0" w:type="dxa"/>
            <w:shd w:val="clear" w:color="auto" w:fill="auto"/>
            <w:noWrap/>
          </w:tcPr>
          <w:p w14:paraId="23EA9BFA" w14:textId="77777777" w:rsidR="00E3393E" w:rsidRPr="00F1357D"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0.35</w:t>
            </w:r>
          </w:p>
        </w:tc>
        <w:tc>
          <w:tcPr>
            <w:tcW w:w="0" w:type="dxa"/>
            <w:shd w:val="clear" w:color="auto" w:fill="auto"/>
            <w:noWrap/>
          </w:tcPr>
          <w:p w14:paraId="7A6E7E9D" w14:textId="77777777" w:rsidR="00E3393E" w:rsidRPr="00F1357D"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F1357D">
              <w:rPr>
                <w:rFonts w:ascii="Times New Roman" w:eastAsia="Times New Roman" w:hAnsi="Times New Roman" w:cs="Times New Roman"/>
                <w:color w:val="000000"/>
                <w:sz w:val="16"/>
                <w:szCs w:val="16"/>
                <w:lang w:eastAsia="en-GB"/>
              </w:rPr>
              <w:t>5</w:t>
            </w:r>
          </w:p>
        </w:tc>
        <w:tc>
          <w:tcPr>
            <w:tcW w:w="0" w:type="auto"/>
            <w:vMerge/>
            <w:shd w:val="clear" w:color="auto" w:fill="auto"/>
            <w:vAlign w:val="center"/>
          </w:tcPr>
          <w:p w14:paraId="7BFC4119" w14:textId="77777777" w:rsidR="00E3393E" w:rsidRPr="00F1357D"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shd w:val="clear" w:color="auto" w:fill="auto"/>
            <w:vAlign w:val="center"/>
          </w:tcPr>
          <w:p w14:paraId="175A43DC" w14:textId="77777777" w:rsidR="00E3393E" w:rsidRPr="00F1357D"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shd w:val="clear" w:color="auto" w:fill="auto"/>
            <w:vAlign w:val="center"/>
          </w:tcPr>
          <w:p w14:paraId="7CEA186C" w14:textId="77777777" w:rsidR="00E3393E" w:rsidRPr="00F1357D"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shd w:val="clear" w:color="auto" w:fill="auto"/>
            <w:vAlign w:val="center"/>
          </w:tcPr>
          <w:p w14:paraId="3BB7EEB5" w14:textId="77777777" w:rsidR="00E3393E" w:rsidRPr="00F1357D"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r>
      <w:tr w:rsidR="00E3393E" w14:paraId="0499A651" w14:textId="77777777" w:rsidTr="006717B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hideMark/>
          </w:tcPr>
          <w:p w14:paraId="24551335" w14:textId="77777777" w:rsidR="00E3393E" w:rsidRPr="003300A8" w:rsidRDefault="00E3393E" w:rsidP="006717BF">
            <w:pPr>
              <w:rPr>
                <w:rFonts w:ascii="Times New Roman" w:eastAsia="Times New Roman" w:hAnsi="Times New Roman" w:cs="Times New Roman"/>
                <w:color w:val="000000"/>
                <w:sz w:val="16"/>
                <w:szCs w:val="16"/>
                <w:lang w:eastAsia="en-GB"/>
              </w:rPr>
            </w:pPr>
            <w:r w:rsidRPr="003300A8">
              <w:rPr>
                <w:rFonts w:ascii="Times New Roman" w:eastAsia="Times New Roman" w:hAnsi="Times New Roman" w:cs="Times New Roman"/>
                <w:color w:val="000000"/>
                <w:sz w:val="16"/>
                <w:szCs w:val="16"/>
                <w:lang w:eastAsia="en-GB"/>
              </w:rPr>
              <w:t>SHALE</w:t>
            </w:r>
          </w:p>
        </w:tc>
        <w:tc>
          <w:tcPr>
            <w:tcW w:w="0" w:type="dxa"/>
            <w:shd w:val="clear" w:color="auto" w:fill="auto"/>
            <w:noWrap/>
          </w:tcPr>
          <w:p w14:paraId="6ECEA474" w14:textId="77777777" w:rsidR="00E3393E" w:rsidRPr="003300A8"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3300A8">
              <w:rPr>
                <w:rFonts w:ascii="Times New Roman" w:eastAsia="Times New Roman" w:hAnsi="Times New Roman" w:cs="Times New Roman"/>
                <w:color w:val="000000"/>
                <w:sz w:val="16"/>
                <w:szCs w:val="16"/>
                <w:lang w:eastAsia="en-GB"/>
              </w:rPr>
              <w:t>1</w:t>
            </w:r>
          </w:p>
        </w:tc>
        <w:tc>
          <w:tcPr>
            <w:tcW w:w="0" w:type="dxa"/>
            <w:shd w:val="clear" w:color="auto" w:fill="auto"/>
            <w:noWrap/>
          </w:tcPr>
          <w:p w14:paraId="0887EBEE" w14:textId="77777777" w:rsidR="00E3393E" w:rsidRPr="003300A8"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3300A8">
              <w:rPr>
                <w:rFonts w:ascii="Times New Roman" w:eastAsia="Times New Roman" w:hAnsi="Times New Roman" w:cs="Times New Roman"/>
                <w:color w:val="000000"/>
                <w:sz w:val="16"/>
                <w:szCs w:val="16"/>
                <w:lang w:eastAsia="en-GB"/>
              </w:rPr>
              <w:t>10</w:t>
            </w:r>
          </w:p>
        </w:tc>
        <w:tc>
          <w:tcPr>
            <w:tcW w:w="0" w:type="dxa"/>
            <w:shd w:val="clear" w:color="auto" w:fill="auto"/>
            <w:noWrap/>
          </w:tcPr>
          <w:p w14:paraId="6172D19D" w14:textId="77777777" w:rsidR="00E3393E" w:rsidRPr="003300A8"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3300A8">
              <w:rPr>
                <w:rFonts w:ascii="Times New Roman" w:eastAsia="Times New Roman" w:hAnsi="Times New Roman" w:cs="Times New Roman"/>
                <w:color w:val="000000"/>
                <w:sz w:val="16"/>
                <w:szCs w:val="16"/>
                <w:lang w:eastAsia="en-GB"/>
              </w:rPr>
              <w:t>0.80</w:t>
            </w:r>
          </w:p>
        </w:tc>
        <w:tc>
          <w:tcPr>
            <w:tcW w:w="0" w:type="dxa"/>
            <w:shd w:val="clear" w:color="auto" w:fill="auto"/>
            <w:noWrap/>
          </w:tcPr>
          <w:p w14:paraId="0CE0712B" w14:textId="77777777" w:rsidR="00E3393E" w:rsidRPr="005B2A4C"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5B2A4C">
              <w:rPr>
                <w:rFonts w:ascii="Times New Roman" w:eastAsia="Times New Roman" w:hAnsi="Times New Roman" w:cs="Times New Roman"/>
                <w:color w:val="000000"/>
                <w:sz w:val="16"/>
                <w:szCs w:val="16"/>
                <w:lang w:eastAsia="en-GB"/>
              </w:rPr>
              <w:t>5</w:t>
            </w:r>
          </w:p>
        </w:tc>
        <w:tc>
          <w:tcPr>
            <w:tcW w:w="0" w:type="auto"/>
            <w:vMerge w:val="restart"/>
            <w:shd w:val="clear" w:color="auto" w:fill="auto"/>
            <w:vAlign w:val="center"/>
            <w:hideMark/>
          </w:tcPr>
          <w:p w14:paraId="19623F23" w14:textId="77777777" w:rsidR="00E3393E" w:rsidRPr="005B2A4C"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5B2A4C">
              <w:rPr>
                <w:rFonts w:ascii="Times New Roman" w:eastAsia="Times New Roman" w:hAnsi="Times New Roman" w:cs="Times New Roman"/>
                <w:color w:val="000000"/>
                <w:sz w:val="16"/>
                <w:szCs w:val="16"/>
                <w:lang w:eastAsia="en-GB"/>
              </w:rPr>
              <w:t>0.89</w:t>
            </w:r>
          </w:p>
        </w:tc>
        <w:tc>
          <w:tcPr>
            <w:tcW w:w="0" w:type="auto"/>
            <w:vMerge w:val="restart"/>
            <w:shd w:val="clear" w:color="auto" w:fill="auto"/>
            <w:vAlign w:val="center"/>
            <w:hideMark/>
          </w:tcPr>
          <w:p w14:paraId="691CE440" w14:textId="77777777" w:rsidR="00E3393E" w:rsidRPr="00877025"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5B2A4C">
              <w:rPr>
                <w:rFonts w:ascii="Times New Roman" w:eastAsia="Times New Roman" w:hAnsi="Times New Roman" w:cs="Times New Roman"/>
                <w:color w:val="000000"/>
                <w:sz w:val="16"/>
                <w:szCs w:val="16"/>
                <w:lang w:eastAsia="en-GB"/>
              </w:rPr>
              <w:t>1.59 × 10</w:t>
            </w:r>
            <w:r w:rsidRPr="00877025">
              <w:rPr>
                <w:rFonts w:ascii="Times New Roman" w:eastAsia="Times New Roman" w:hAnsi="Times New Roman" w:cs="Times New Roman"/>
                <w:color w:val="000000"/>
                <w:sz w:val="16"/>
                <w:szCs w:val="16"/>
                <w:vertAlign w:val="superscript"/>
                <w:lang w:eastAsia="en-GB"/>
              </w:rPr>
              <w:t>-13</w:t>
            </w:r>
          </w:p>
        </w:tc>
        <w:tc>
          <w:tcPr>
            <w:tcW w:w="0" w:type="auto"/>
            <w:vMerge w:val="restart"/>
            <w:shd w:val="clear" w:color="auto" w:fill="auto"/>
            <w:vAlign w:val="center"/>
            <w:hideMark/>
          </w:tcPr>
          <w:p w14:paraId="146D507B" w14:textId="77777777" w:rsidR="00E3393E" w:rsidRPr="00877025"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877025">
              <w:rPr>
                <w:rFonts w:ascii="Times New Roman" w:eastAsia="Times New Roman" w:hAnsi="Times New Roman" w:cs="Times New Roman"/>
                <w:color w:val="000000"/>
                <w:sz w:val="16"/>
                <w:szCs w:val="16"/>
                <w:lang w:eastAsia="en-GB"/>
              </w:rPr>
              <w:t>1.23 × 10</w:t>
            </w:r>
            <w:r w:rsidRPr="00877025">
              <w:rPr>
                <w:rFonts w:ascii="Times New Roman" w:eastAsia="Times New Roman" w:hAnsi="Times New Roman" w:cs="Times New Roman"/>
                <w:color w:val="000000"/>
                <w:sz w:val="16"/>
                <w:szCs w:val="16"/>
                <w:vertAlign w:val="superscript"/>
                <w:lang w:eastAsia="en-GB"/>
              </w:rPr>
              <w:t>-5</w:t>
            </w:r>
          </w:p>
        </w:tc>
        <w:tc>
          <w:tcPr>
            <w:tcW w:w="0" w:type="auto"/>
            <w:vMerge w:val="restart"/>
            <w:shd w:val="clear" w:color="auto" w:fill="auto"/>
            <w:vAlign w:val="center"/>
            <w:hideMark/>
          </w:tcPr>
          <w:p w14:paraId="40B5415F" w14:textId="77777777" w:rsidR="00E3393E" w:rsidRPr="00877025"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vertAlign w:val="superscript"/>
                <w:lang w:eastAsia="en-GB"/>
              </w:rPr>
            </w:pPr>
            <w:r w:rsidRPr="00877025">
              <w:rPr>
                <w:rFonts w:ascii="Times New Roman" w:eastAsia="Times New Roman" w:hAnsi="Times New Roman" w:cs="Times New Roman"/>
                <w:color w:val="000000"/>
                <w:sz w:val="16"/>
                <w:szCs w:val="16"/>
                <w:lang w:eastAsia="en-GB"/>
              </w:rPr>
              <w:t>2.85 × 10</w:t>
            </w:r>
            <w:r w:rsidRPr="00877025">
              <w:rPr>
                <w:rFonts w:ascii="Times New Roman" w:eastAsia="Times New Roman" w:hAnsi="Times New Roman" w:cs="Times New Roman"/>
                <w:color w:val="000000"/>
                <w:sz w:val="16"/>
                <w:szCs w:val="16"/>
                <w:vertAlign w:val="superscript"/>
                <w:lang w:eastAsia="en-GB"/>
              </w:rPr>
              <w:t>0</w:t>
            </w:r>
          </w:p>
        </w:tc>
      </w:tr>
      <w:tr w:rsidR="00E3393E" w14:paraId="5375C9AE" w14:textId="77777777" w:rsidTr="006717BF">
        <w:trPr>
          <w:trHeight w:val="283"/>
        </w:trPr>
        <w:tc>
          <w:tcPr>
            <w:cnfStyle w:val="001000000000" w:firstRow="0" w:lastRow="0" w:firstColumn="1" w:lastColumn="0" w:oddVBand="0" w:evenVBand="0" w:oddHBand="0" w:evenHBand="0" w:firstRowFirstColumn="0" w:firstRowLastColumn="0" w:lastRowFirstColumn="0" w:lastRowLastColumn="0"/>
            <w:tcW w:w="0" w:type="auto"/>
            <w:vMerge/>
          </w:tcPr>
          <w:p w14:paraId="158E2BDF" w14:textId="77777777" w:rsidR="00E3393E" w:rsidRDefault="00E3393E" w:rsidP="006717BF">
            <w:pPr>
              <w:rPr>
                <w:rFonts w:ascii="Times New Roman" w:eastAsia="Times New Roman" w:hAnsi="Times New Roman" w:cs="Times New Roman"/>
                <w:color w:val="000000"/>
                <w:sz w:val="16"/>
                <w:szCs w:val="16"/>
                <w:lang w:eastAsia="en-GB"/>
              </w:rPr>
            </w:pPr>
          </w:p>
        </w:tc>
        <w:tc>
          <w:tcPr>
            <w:tcW w:w="0" w:type="dxa"/>
            <w:shd w:val="clear" w:color="auto" w:fill="auto"/>
            <w:noWrap/>
          </w:tcPr>
          <w:p w14:paraId="0A35D791" w14:textId="77777777" w:rsidR="00E3393E"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2</w:t>
            </w:r>
          </w:p>
        </w:tc>
        <w:tc>
          <w:tcPr>
            <w:tcW w:w="0" w:type="dxa"/>
            <w:shd w:val="clear" w:color="auto" w:fill="auto"/>
            <w:noWrap/>
          </w:tcPr>
          <w:p w14:paraId="4E9B8913" w14:textId="77777777" w:rsidR="00E3393E"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20</w:t>
            </w:r>
          </w:p>
        </w:tc>
        <w:tc>
          <w:tcPr>
            <w:tcW w:w="0" w:type="dxa"/>
            <w:shd w:val="clear" w:color="auto" w:fill="auto"/>
            <w:noWrap/>
          </w:tcPr>
          <w:p w14:paraId="3FE68EF8" w14:textId="77777777" w:rsidR="00E3393E"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0.20</w:t>
            </w:r>
          </w:p>
        </w:tc>
        <w:tc>
          <w:tcPr>
            <w:tcW w:w="0" w:type="dxa"/>
            <w:shd w:val="clear" w:color="auto" w:fill="auto"/>
            <w:noWrap/>
          </w:tcPr>
          <w:p w14:paraId="0B079D9C" w14:textId="77777777" w:rsidR="00E3393E"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10</w:t>
            </w:r>
          </w:p>
        </w:tc>
        <w:tc>
          <w:tcPr>
            <w:tcW w:w="0" w:type="auto"/>
            <w:vMerge/>
          </w:tcPr>
          <w:p w14:paraId="3E361129" w14:textId="77777777" w:rsidR="00E3393E"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tcPr>
          <w:p w14:paraId="3B3D212B" w14:textId="77777777" w:rsidR="00E3393E"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tcPr>
          <w:p w14:paraId="332E4F34" w14:textId="77777777" w:rsidR="00E3393E"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tcPr>
          <w:p w14:paraId="12A15CE7" w14:textId="77777777" w:rsidR="00E3393E"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r>
      <w:tr w:rsidR="00E3393E" w14:paraId="1E94BD38" w14:textId="77777777" w:rsidTr="006717B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vMerge/>
          </w:tcPr>
          <w:p w14:paraId="68C70827" w14:textId="77777777" w:rsidR="00E3393E" w:rsidRDefault="00E3393E" w:rsidP="006717BF">
            <w:pPr>
              <w:rPr>
                <w:rFonts w:ascii="Times New Roman" w:eastAsia="Times New Roman" w:hAnsi="Times New Roman" w:cs="Times New Roman"/>
                <w:color w:val="000000"/>
                <w:sz w:val="16"/>
                <w:szCs w:val="16"/>
                <w:lang w:eastAsia="en-GB"/>
              </w:rPr>
            </w:pPr>
          </w:p>
        </w:tc>
        <w:tc>
          <w:tcPr>
            <w:tcW w:w="0" w:type="dxa"/>
            <w:shd w:val="clear" w:color="auto" w:fill="auto"/>
            <w:noWrap/>
          </w:tcPr>
          <w:p w14:paraId="3690A83F" w14:textId="77777777" w:rsidR="00E3393E"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3</w:t>
            </w:r>
          </w:p>
        </w:tc>
        <w:tc>
          <w:tcPr>
            <w:tcW w:w="0" w:type="dxa"/>
            <w:shd w:val="clear" w:color="auto" w:fill="auto"/>
            <w:noWrap/>
          </w:tcPr>
          <w:p w14:paraId="669337D3" w14:textId="77777777" w:rsidR="00E3393E"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70</w:t>
            </w:r>
          </w:p>
        </w:tc>
        <w:tc>
          <w:tcPr>
            <w:tcW w:w="0" w:type="dxa"/>
            <w:shd w:val="clear" w:color="auto" w:fill="auto"/>
            <w:noWrap/>
          </w:tcPr>
          <w:p w14:paraId="38D189AC" w14:textId="77777777" w:rsidR="00E3393E"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0.18</w:t>
            </w:r>
          </w:p>
        </w:tc>
        <w:tc>
          <w:tcPr>
            <w:tcW w:w="0" w:type="dxa"/>
            <w:shd w:val="clear" w:color="auto" w:fill="auto"/>
            <w:noWrap/>
          </w:tcPr>
          <w:p w14:paraId="599B542A" w14:textId="77777777" w:rsidR="00E3393E"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62</w:t>
            </w:r>
          </w:p>
        </w:tc>
        <w:tc>
          <w:tcPr>
            <w:tcW w:w="0" w:type="auto"/>
            <w:vMerge/>
          </w:tcPr>
          <w:p w14:paraId="36F8B071" w14:textId="77777777" w:rsidR="00E3393E"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tcPr>
          <w:p w14:paraId="7D95A914" w14:textId="77777777" w:rsidR="00E3393E"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tcPr>
          <w:p w14:paraId="71844FC9" w14:textId="77777777" w:rsidR="00E3393E"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tcPr>
          <w:p w14:paraId="7BF5C508" w14:textId="77777777" w:rsidR="00E3393E"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r>
      <w:tr w:rsidR="00E3393E" w14:paraId="1FD61E3C" w14:textId="77777777" w:rsidTr="006717BF">
        <w:trPr>
          <w:trHeight w:val="283"/>
        </w:trPr>
        <w:tc>
          <w:tcPr>
            <w:cnfStyle w:val="001000000000" w:firstRow="0" w:lastRow="0" w:firstColumn="1" w:lastColumn="0" w:oddVBand="0" w:evenVBand="0" w:oddHBand="0" w:evenHBand="0" w:firstRowFirstColumn="0" w:firstRowLastColumn="0" w:lastRowFirstColumn="0" w:lastRowLastColumn="0"/>
            <w:tcW w:w="0" w:type="auto"/>
            <w:vMerge/>
          </w:tcPr>
          <w:p w14:paraId="4B2BC3D1" w14:textId="77777777" w:rsidR="00E3393E" w:rsidRDefault="00E3393E" w:rsidP="006717BF">
            <w:pPr>
              <w:rPr>
                <w:rFonts w:ascii="Times New Roman" w:eastAsia="Times New Roman" w:hAnsi="Times New Roman" w:cs="Times New Roman"/>
                <w:color w:val="000000"/>
                <w:sz w:val="16"/>
                <w:szCs w:val="16"/>
                <w:lang w:eastAsia="en-GB"/>
              </w:rPr>
            </w:pPr>
          </w:p>
        </w:tc>
        <w:tc>
          <w:tcPr>
            <w:tcW w:w="0" w:type="dxa"/>
            <w:shd w:val="clear" w:color="auto" w:fill="auto"/>
            <w:noWrap/>
          </w:tcPr>
          <w:p w14:paraId="690404C9" w14:textId="77777777" w:rsidR="00E3393E"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4</w:t>
            </w:r>
          </w:p>
        </w:tc>
        <w:tc>
          <w:tcPr>
            <w:tcW w:w="0" w:type="dxa"/>
            <w:shd w:val="clear" w:color="auto" w:fill="auto"/>
            <w:noWrap/>
          </w:tcPr>
          <w:p w14:paraId="5A388762" w14:textId="77777777" w:rsidR="00E3393E"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200</w:t>
            </w:r>
          </w:p>
        </w:tc>
        <w:tc>
          <w:tcPr>
            <w:tcW w:w="0" w:type="dxa"/>
            <w:shd w:val="clear" w:color="auto" w:fill="auto"/>
            <w:noWrap/>
          </w:tcPr>
          <w:p w14:paraId="45AE97D0" w14:textId="77777777" w:rsidR="00E3393E"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0.18</w:t>
            </w:r>
          </w:p>
        </w:tc>
        <w:tc>
          <w:tcPr>
            <w:tcW w:w="0" w:type="dxa"/>
            <w:shd w:val="clear" w:color="auto" w:fill="auto"/>
            <w:noWrap/>
          </w:tcPr>
          <w:p w14:paraId="5602DEE7" w14:textId="77777777" w:rsidR="00E3393E" w:rsidRDefault="00E3393E" w:rsidP="006717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21</w:t>
            </w:r>
          </w:p>
        </w:tc>
        <w:tc>
          <w:tcPr>
            <w:tcW w:w="0" w:type="auto"/>
            <w:vMerge/>
          </w:tcPr>
          <w:p w14:paraId="472E23AD" w14:textId="77777777" w:rsidR="00E3393E"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tcPr>
          <w:p w14:paraId="501B82EE" w14:textId="77777777" w:rsidR="00E3393E"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tcPr>
          <w:p w14:paraId="4A7AD18E" w14:textId="77777777" w:rsidR="00E3393E"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auto"/>
            <w:vMerge/>
          </w:tcPr>
          <w:p w14:paraId="64C62068" w14:textId="77777777" w:rsidR="00E3393E" w:rsidRDefault="00E3393E" w:rsidP="006717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p>
        </w:tc>
      </w:tr>
      <w:tr w:rsidR="00E3393E" w14:paraId="6E6C237C" w14:textId="77777777" w:rsidTr="006717B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vMerge/>
            <w:noWrap/>
            <w:hideMark/>
          </w:tcPr>
          <w:p w14:paraId="74529F36" w14:textId="77777777" w:rsidR="00E3393E" w:rsidRDefault="00E3393E" w:rsidP="006717BF">
            <w:pPr>
              <w:rPr>
                <w:rFonts w:ascii="Times New Roman" w:eastAsia="Times New Roman" w:hAnsi="Times New Roman" w:cs="Times New Roman"/>
                <w:color w:val="000000"/>
                <w:sz w:val="16"/>
                <w:szCs w:val="16"/>
                <w:lang w:eastAsia="en-GB"/>
              </w:rPr>
            </w:pPr>
          </w:p>
        </w:tc>
        <w:tc>
          <w:tcPr>
            <w:tcW w:w="0" w:type="dxa"/>
            <w:shd w:val="clear" w:color="auto" w:fill="auto"/>
            <w:noWrap/>
            <w:hideMark/>
          </w:tcPr>
          <w:p w14:paraId="20B2DC65" w14:textId="77777777" w:rsidR="00E3393E"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5</w:t>
            </w:r>
          </w:p>
        </w:tc>
        <w:tc>
          <w:tcPr>
            <w:tcW w:w="0" w:type="dxa"/>
            <w:shd w:val="clear" w:color="auto" w:fill="auto"/>
            <w:noWrap/>
            <w:hideMark/>
          </w:tcPr>
          <w:p w14:paraId="08BDD940" w14:textId="77777777" w:rsidR="00E3393E"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510</w:t>
            </w:r>
          </w:p>
        </w:tc>
        <w:tc>
          <w:tcPr>
            <w:tcW w:w="0" w:type="dxa"/>
            <w:shd w:val="clear" w:color="auto" w:fill="auto"/>
            <w:noWrap/>
            <w:hideMark/>
          </w:tcPr>
          <w:p w14:paraId="76441575" w14:textId="77777777" w:rsidR="00E3393E"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0.10</w:t>
            </w:r>
          </w:p>
        </w:tc>
        <w:tc>
          <w:tcPr>
            <w:tcW w:w="0" w:type="dxa"/>
            <w:shd w:val="clear" w:color="auto" w:fill="auto"/>
            <w:noWrap/>
            <w:hideMark/>
          </w:tcPr>
          <w:p w14:paraId="2CF825F6" w14:textId="77777777" w:rsidR="00E3393E" w:rsidRDefault="00E3393E" w:rsidP="00671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2</w:t>
            </w:r>
          </w:p>
        </w:tc>
        <w:tc>
          <w:tcPr>
            <w:tcW w:w="0" w:type="dxa"/>
            <w:vMerge/>
            <w:noWrap/>
            <w:hideMark/>
          </w:tcPr>
          <w:p w14:paraId="46D51CF8" w14:textId="77777777" w:rsidR="00E3393E"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dxa"/>
            <w:vMerge/>
            <w:noWrap/>
            <w:hideMark/>
          </w:tcPr>
          <w:p w14:paraId="78C51E52" w14:textId="77777777" w:rsidR="00E3393E"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dxa"/>
            <w:vMerge/>
            <w:noWrap/>
            <w:hideMark/>
          </w:tcPr>
          <w:p w14:paraId="3D2933E3" w14:textId="77777777" w:rsidR="00E3393E"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c>
          <w:tcPr>
            <w:tcW w:w="0" w:type="dxa"/>
            <w:vMerge/>
            <w:noWrap/>
            <w:hideMark/>
          </w:tcPr>
          <w:p w14:paraId="70B86E4B" w14:textId="77777777" w:rsidR="00E3393E" w:rsidRDefault="00E3393E" w:rsidP="006717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p>
        </w:tc>
      </w:tr>
      <w:bookmarkEnd w:id="0"/>
    </w:tbl>
    <w:p w14:paraId="0A6958E2" w14:textId="77777777" w:rsidR="004A2FAA" w:rsidRDefault="004A2FAA" w:rsidP="00E3393E">
      <w:pPr>
        <w:pStyle w:val="SectionHeading"/>
        <w:spacing w:after="0" w:line="276" w:lineRule="auto"/>
        <w:rPr>
          <w:i/>
          <w:iCs/>
          <w:sz w:val="24"/>
          <w:szCs w:val="24"/>
        </w:rPr>
      </w:pPr>
    </w:p>
    <w:p w14:paraId="4C017E45" w14:textId="513C269C" w:rsidR="00E3393E" w:rsidRPr="005C7FC6" w:rsidRDefault="00E3393E" w:rsidP="00E3393E">
      <w:pPr>
        <w:pStyle w:val="SectionHeading"/>
        <w:spacing w:after="0" w:line="276" w:lineRule="auto"/>
        <w:jc w:val="center"/>
      </w:pPr>
      <w:r w:rsidRPr="005C7FC6">
        <w:rPr>
          <w:i/>
          <w:iCs/>
          <w:sz w:val="24"/>
          <w:szCs w:val="24"/>
        </w:rPr>
        <w:t xml:space="preserve">Table </w:t>
      </w:r>
      <w:r>
        <w:rPr>
          <w:i/>
          <w:iCs/>
          <w:sz w:val="24"/>
          <w:szCs w:val="24"/>
        </w:rPr>
        <w:t>S2</w:t>
      </w:r>
    </w:p>
    <w:tbl>
      <w:tblPr>
        <w:tblStyle w:val="PlainTable4"/>
        <w:tblW w:w="9409" w:type="dxa"/>
        <w:tblBorders>
          <w:top w:val="single" w:sz="12" w:space="0" w:color="auto"/>
          <w:bottom w:val="single" w:sz="12" w:space="0" w:color="auto"/>
        </w:tblBorders>
        <w:tblLayout w:type="fixed"/>
        <w:tblCellMar>
          <w:top w:w="57" w:type="dxa"/>
          <w:bottom w:w="57" w:type="dxa"/>
        </w:tblCellMar>
        <w:tblLook w:val="04A0" w:firstRow="1" w:lastRow="0" w:firstColumn="1" w:lastColumn="0" w:noHBand="0" w:noVBand="1"/>
      </w:tblPr>
      <w:tblGrid>
        <w:gridCol w:w="1176"/>
        <w:gridCol w:w="1234"/>
        <w:gridCol w:w="1276"/>
        <w:gridCol w:w="850"/>
        <w:gridCol w:w="1344"/>
        <w:gridCol w:w="924"/>
        <w:gridCol w:w="993"/>
        <w:gridCol w:w="1612"/>
      </w:tblGrid>
      <w:tr w:rsidR="006A6BB4" w:rsidRPr="008551A5" w14:paraId="3814DA45" w14:textId="77777777" w:rsidTr="00E75D86">
        <w:trPr>
          <w:cnfStyle w:val="100000000000" w:firstRow="1" w:lastRow="0" w:firstColumn="0" w:lastColumn="0" w:oddVBand="0" w:evenVBand="0" w:oddHBand="0"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1176" w:type="dxa"/>
            <w:tcBorders>
              <w:top w:val="single" w:sz="12" w:space="0" w:color="auto"/>
              <w:bottom w:val="single" w:sz="12" w:space="0" w:color="auto"/>
            </w:tcBorders>
            <w:vAlign w:val="center"/>
          </w:tcPr>
          <w:p w14:paraId="769C33F1" w14:textId="54B796C9" w:rsidR="00732F4A" w:rsidRPr="005C7FC6" w:rsidRDefault="006A6BB4" w:rsidP="00732F4A">
            <w:pPr>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s</w:t>
            </w:r>
            <w:r w:rsidR="00732F4A">
              <w:rPr>
                <w:rFonts w:ascii="Times New Roman" w:eastAsia="Times New Roman" w:hAnsi="Times New Roman" w:cs="Times New Roman"/>
                <w:color w:val="000000"/>
                <w:sz w:val="18"/>
                <w:szCs w:val="18"/>
                <w:lang w:eastAsia="en-GB"/>
              </w:rPr>
              <w:t>ample name</w:t>
            </w:r>
          </w:p>
        </w:tc>
        <w:tc>
          <w:tcPr>
            <w:tcW w:w="1234" w:type="dxa"/>
            <w:tcBorders>
              <w:top w:val="single" w:sz="12" w:space="0" w:color="auto"/>
              <w:bottom w:val="single" w:sz="12" w:space="0" w:color="auto"/>
            </w:tcBorders>
            <w:vAlign w:val="center"/>
            <w:hideMark/>
          </w:tcPr>
          <w:p w14:paraId="70560D4E" w14:textId="10004D25" w:rsidR="00732F4A" w:rsidRPr="005C7FC6" w:rsidRDefault="00732F4A" w:rsidP="00732F4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8"/>
                <w:lang w:eastAsia="en-GB"/>
              </w:rPr>
            </w:pPr>
            <w:r w:rsidRPr="005C7FC6">
              <w:rPr>
                <w:rFonts w:ascii="Times New Roman" w:eastAsia="Times New Roman" w:hAnsi="Times New Roman" w:cs="Times New Roman"/>
                <w:color w:val="000000"/>
                <w:sz w:val="18"/>
                <w:szCs w:val="18"/>
                <w:lang w:eastAsia="en-GB"/>
              </w:rPr>
              <w:t>sample group</w:t>
            </w:r>
          </w:p>
        </w:tc>
        <w:tc>
          <w:tcPr>
            <w:tcW w:w="1276" w:type="dxa"/>
            <w:tcBorders>
              <w:top w:val="single" w:sz="12" w:space="0" w:color="auto"/>
              <w:bottom w:val="single" w:sz="12" w:space="0" w:color="auto"/>
            </w:tcBorders>
            <w:noWrap/>
            <w:vAlign w:val="center"/>
            <w:hideMark/>
          </w:tcPr>
          <w:p w14:paraId="30496D49" w14:textId="04905F5A" w:rsidR="00732F4A" w:rsidRPr="005C7FC6" w:rsidRDefault="00732F4A" w:rsidP="00732F4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8"/>
                <w:lang w:eastAsia="en-GB"/>
              </w:rPr>
            </w:pPr>
          </w:p>
        </w:tc>
        <w:tc>
          <w:tcPr>
            <w:tcW w:w="850" w:type="dxa"/>
            <w:tcBorders>
              <w:top w:val="single" w:sz="12" w:space="0" w:color="auto"/>
              <w:bottom w:val="single" w:sz="12" w:space="0" w:color="auto"/>
            </w:tcBorders>
            <w:vAlign w:val="center"/>
            <w:hideMark/>
          </w:tcPr>
          <w:p w14:paraId="0BF25E6B" w14:textId="77777777" w:rsidR="00732F4A" w:rsidRPr="005C7FC6" w:rsidRDefault="00732F4A" w:rsidP="00732F4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8"/>
                <w:lang w:eastAsia="en-GB"/>
              </w:rPr>
            </w:pPr>
            <w:r w:rsidRPr="005C7FC6">
              <w:rPr>
                <w:rFonts w:ascii="Times New Roman" w:eastAsia="Times New Roman" w:hAnsi="Times New Roman" w:cs="Times New Roman"/>
                <w:color w:val="000000"/>
                <w:sz w:val="18"/>
                <w:szCs w:val="18"/>
                <w:lang w:eastAsia="en-GB"/>
              </w:rPr>
              <w:t>temp (K)</w:t>
            </w:r>
          </w:p>
        </w:tc>
        <w:tc>
          <w:tcPr>
            <w:tcW w:w="1344" w:type="dxa"/>
            <w:tcBorders>
              <w:top w:val="single" w:sz="12" w:space="0" w:color="auto"/>
              <w:bottom w:val="single" w:sz="12" w:space="0" w:color="auto"/>
            </w:tcBorders>
            <w:vAlign w:val="center"/>
            <w:hideMark/>
          </w:tcPr>
          <w:p w14:paraId="6C1CDAA0" w14:textId="31A6A131" w:rsidR="00732F4A" w:rsidRPr="005C7FC6" w:rsidRDefault="00732F4A" w:rsidP="00732F4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8"/>
                <w:lang w:eastAsia="en-GB"/>
              </w:rPr>
            </w:pPr>
            <w:r w:rsidRPr="005C7FC6">
              <w:rPr>
                <w:rFonts w:ascii="Times New Roman" w:eastAsia="Times New Roman" w:hAnsi="Times New Roman" w:cs="Times New Roman"/>
                <w:color w:val="000000"/>
                <w:sz w:val="18"/>
                <w:szCs w:val="18"/>
                <w:lang w:eastAsia="en-GB"/>
              </w:rPr>
              <w:t>IS</w:t>
            </w:r>
          </w:p>
          <w:p w14:paraId="29FC2F53" w14:textId="77777777" w:rsidR="00732F4A" w:rsidRPr="005C7FC6" w:rsidRDefault="00732F4A" w:rsidP="00732F4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8"/>
                <w:lang w:eastAsia="en-GB"/>
              </w:rPr>
            </w:pPr>
            <w:r w:rsidRPr="005C7FC6">
              <w:rPr>
                <w:rFonts w:ascii="Times New Roman" w:eastAsia="Times New Roman" w:hAnsi="Times New Roman" w:cs="Times New Roman"/>
                <w:color w:val="000000"/>
                <w:sz w:val="18"/>
                <w:szCs w:val="18"/>
                <w:lang w:eastAsia="en-GB"/>
              </w:rPr>
              <w:t>(mm/s)</w:t>
            </w:r>
          </w:p>
        </w:tc>
        <w:tc>
          <w:tcPr>
            <w:tcW w:w="924" w:type="dxa"/>
            <w:tcBorders>
              <w:top w:val="single" w:sz="12" w:space="0" w:color="auto"/>
              <w:bottom w:val="single" w:sz="12" w:space="0" w:color="auto"/>
            </w:tcBorders>
            <w:vAlign w:val="center"/>
            <w:hideMark/>
          </w:tcPr>
          <w:p w14:paraId="4AB05F17" w14:textId="77777777" w:rsidR="00732F4A" w:rsidRPr="005C7FC6" w:rsidRDefault="00732F4A" w:rsidP="00732F4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8"/>
                <w:lang w:eastAsia="en-GB"/>
              </w:rPr>
            </w:pPr>
            <w:r w:rsidRPr="005C7FC6">
              <w:rPr>
                <w:rFonts w:ascii="Times New Roman" w:eastAsia="Times New Roman" w:hAnsi="Times New Roman" w:cs="Times New Roman"/>
                <w:color w:val="000000"/>
                <w:sz w:val="18"/>
                <w:szCs w:val="18"/>
                <w:lang w:eastAsia="en-GB"/>
              </w:rPr>
              <w:t>QS (mm/s)</w:t>
            </w:r>
          </w:p>
        </w:tc>
        <w:tc>
          <w:tcPr>
            <w:tcW w:w="993" w:type="dxa"/>
            <w:tcBorders>
              <w:top w:val="single" w:sz="12" w:space="0" w:color="auto"/>
              <w:bottom w:val="single" w:sz="12" w:space="0" w:color="auto"/>
            </w:tcBorders>
            <w:vAlign w:val="center"/>
            <w:hideMark/>
          </w:tcPr>
          <w:p w14:paraId="6B3CCA52" w14:textId="60828FB1" w:rsidR="00732F4A" w:rsidRPr="005C7FC6" w:rsidRDefault="00732F4A" w:rsidP="00732F4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8"/>
                <w:lang w:eastAsia="en-GB"/>
              </w:rPr>
            </w:pPr>
            <w:proofErr w:type="spellStart"/>
            <w:r w:rsidRPr="005C7FC6">
              <w:rPr>
                <w:rFonts w:ascii="Times New Roman" w:eastAsia="Times New Roman" w:hAnsi="Times New Roman" w:cs="Times New Roman"/>
                <w:color w:val="000000"/>
                <w:sz w:val="18"/>
                <w:szCs w:val="18"/>
                <w:lang w:eastAsia="en-GB"/>
              </w:rPr>
              <w:t>B</w:t>
            </w:r>
            <w:r w:rsidRPr="005C7FC6">
              <w:rPr>
                <w:rFonts w:ascii="Times New Roman" w:eastAsia="Times New Roman" w:hAnsi="Times New Roman" w:cs="Times New Roman"/>
                <w:color w:val="000000"/>
                <w:sz w:val="18"/>
                <w:szCs w:val="18"/>
                <w:vertAlign w:val="subscript"/>
                <w:lang w:eastAsia="en-GB"/>
              </w:rPr>
              <w:t>hf</w:t>
            </w:r>
            <w:proofErr w:type="spellEnd"/>
          </w:p>
          <w:p w14:paraId="162AAB3F" w14:textId="77777777" w:rsidR="00732F4A" w:rsidRPr="005C7FC6" w:rsidRDefault="00732F4A" w:rsidP="00732F4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8"/>
                <w:lang w:eastAsia="en-GB"/>
              </w:rPr>
            </w:pPr>
            <w:r w:rsidRPr="005C7FC6">
              <w:rPr>
                <w:rFonts w:ascii="Times New Roman" w:eastAsia="Times New Roman" w:hAnsi="Times New Roman" w:cs="Times New Roman"/>
                <w:color w:val="000000"/>
                <w:sz w:val="18"/>
                <w:szCs w:val="18"/>
                <w:lang w:eastAsia="en-GB"/>
              </w:rPr>
              <w:t>(T)</w:t>
            </w:r>
          </w:p>
        </w:tc>
        <w:tc>
          <w:tcPr>
            <w:tcW w:w="1612" w:type="dxa"/>
            <w:tcBorders>
              <w:top w:val="single" w:sz="12" w:space="0" w:color="auto"/>
              <w:bottom w:val="single" w:sz="12" w:space="0" w:color="auto"/>
            </w:tcBorders>
            <w:vAlign w:val="center"/>
            <w:hideMark/>
          </w:tcPr>
          <w:p w14:paraId="7DF8424F" w14:textId="53291FD5" w:rsidR="00732F4A" w:rsidRPr="005C7FC6" w:rsidRDefault="00732F4A" w:rsidP="00732F4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8"/>
                <w:lang w:eastAsia="en-GB"/>
              </w:rPr>
            </w:pPr>
            <w:r w:rsidRPr="005C7FC6">
              <w:rPr>
                <w:rFonts w:ascii="Times New Roman" w:eastAsia="Times New Roman" w:hAnsi="Times New Roman" w:cs="Times New Roman"/>
                <w:color w:val="000000"/>
                <w:sz w:val="18"/>
                <w:szCs w:val="18"/>
                <w:lang w:eastAsia="en-GB"/>
              </w:rPr>
              <w:t xml:space="preserve">mineral </w:t>
            </w:r>
            <w:r w:rsidR="006A6BB4">
              <w:rPr>
                <w:rFonts w:ascii="Times New Roman" w:eastAsia="Times New Roman" w:hAnsi="Times New Roman" w:cs="Times New Roman"/>
                <w:color w:val="000000"/>
                <w:sz w:val="18"/>
                <w:szCs w:val="18"/>
                <w:lang w:eastAsia="en-GB"/>
              </w:rPr>
              <w:t>i</w:t>
            </w:r>
            <w:r w:rsidRPr="005C7FC6">
              <w:rPr>
                <w:rFonts w:ascii="Times New Roman" w:eastAsia="Times New Roman" w:hAnsi="Times New Roman" w:cs="Times New Roman"/>
                <w:color w:val="000000"/>
                <w:sz w:val="18"/>
                <w:szCs w:val="18"/>
                <w:lang w:eastAsia="en-GB"/>
              </w:rPr>
              <w:t>nterpretation</w:t>
            </w:r>
          </w:p>
        </w:tc>
      </w:tr>
      <w:tr w:rsidR="006A6BB4" w:rsidRPr="008551A5" w14:paraId="52817664" w14:textId="77777777" w:rsidTr="00E75D86">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176" w:type="dxa"/>
            <w:tcBorders>
              <w:top w:val="single" w:sz="12" w:space="0" w:color="auto"/>
            </w:tcBorders>
            <w:shd w:val="clear" w:color="auto" w:fill="auto"/>
            <w:vAlign w:val="center"/>
          </w:tcPr>
          <w:p w14:paraId="46860741" w14:textId="3858DB97" w:rsidR="00732F4A" w:rsidRPr="00732F4A" w:rsidRDefault="00693D40" w:rsidP="00732F4A">
            <w:pPr>
              <w:jc w:val="center"/>
              <w:rPr>
                <w:rFonts w:ascii="Times New Roman" w:eastAsia="Times New Roman" w:hAnsi="Times New Roman" w:cs="Times New Roman"/>
                <w:b w:val="0"/>
                <w:bCs w:val="0"/>
                <w:color w:val="000000"/>
                <w:sz w:val="18"/>
                <w:szCs w:val="18"/>
                <w:lang w:eastAsia="en-GB"/>
              </w:rPr>
            </w:pPr>
            <w:r>
              <w:rPr>
                <w:rFonts w:ascii="Times New Roman" w:eastAsia="Times New Roman" w:hAnsi="Times New Roman" w:cs="Times New Roman"/>
                <w:b w:val="0"/>
                <w:bCs w:val="0"/>
                <w:color w:val="000000"/>
                <w:sz w:val="18"/>
                <w:szCs w:val="18"/>
                <w:lang w:eastAsia="en-GB"/>
              </w:rPr>
              <w:t>BON-1201</w:t>
            </w:r>
          </w:p>
        </w:tc>
        <w:tc>
          <w:tcPr>
            <w:tcW w:w="1234" w:type="dxa"/>
            <w:tcBorders>
              <w:top w:val="single" w:sz="12" w:space="0" w:color="auto"/>
            </w:tcBorders>
            <w:shd w:val="clear" w:color="auto" w:fill="auto"/>
            <w:noWrap/>
            <w:vAlign w:val="center"/>
            <w:hideMark/>
          </w:tcPr>
          <w:p w14:paraId="13064F6D" w14:textId="6181AAE5"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GB"/>
              </w:rPr>
            </w:pPr>
            <w:r w:rsidRPr="00D7150B">
              <w:rPr>
                <w:rFonts w:ascii="Times New Roman" w:eastAsia="Times New Roman" w:hAnsi="Times New Roman" w:cs="Times New Roman"/>
                <w:color w:val="000000"/>
                <w:sz w:val="18"/>
                <w:szCs w:val="18"/>
                <w:lang w:eastAsia="en-GB"/>
              </w:rPr>
              <w:t>high paramagnetic response – oil pay zone</w:t>
            </w:r>
          </w:p>
        </w:tc>
        <w:tc>
          <w:tcPr>
            <w:tcW w:w="1276" w:type="dxa"/>
            <w:tcBorders>
              <w:top w:val="single" w:sz="12" w:space="0" w:color="auto"/>
            </w:tcBorders>
            <w:shd w:val="clear" w:color="auto" w:fill="auto"/>
            <w:noWrap/>
            <w:vAlign w:val="center"/>
            <w:hideMark/>
          </w:tcPr>
          <w:p w14:paraId="7421D193"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doublet I</w:t>
            </w:r>
          </w:p>
          <w:p w14:paraId="5071F175"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doublet II</w:t>
            </w:r>
          </w:p>
        </w:tc>
        <w:tc>
          <w:tcPr>
            <w:tcW w:w="850" w:type="dxa"/>
            <w:tcBorders>
              <w:top w:val="single" w:sz="12" w:space="0" w:color="auto"/>
            </w:tcBorders>
            <w:shd w:val="clear" w:color="auto" w:fill="auto"/>
            <w:noWrap/>
            <w:vAlign w:val="center"/>
            <w:hideMark/>
          </w:tcPr>
          <w:p w14:paraId="3E48F57D"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295k</w:t>
            </w:r>
          </w:p>
        </w:tc>
        <w:tc>
          <w:tcPr>
            <w:tcW w:w="1344" w:type="dxa"/>
            <w:tcBorders>
              <w:top w:val="single" w:sz="12" w:space="0" w:color="auto"/>
            </w:tcBorders>
            <w:shd w:val="clear" w:color="auto" w:fill="auto"/>
            <w:noWrap/>
            <w:vAlign w:val="center"/>
            <w:hideMark/>
          </w:tcPr>
          <w:p w14:paraId="0FFE8A0A"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1.23</w:t>
            </w:r>
          </w:p>
          <w:p w14:paraId="33025C01"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0.27</w:t>
            </w:r>
          </w:p>
        </w:tc>
        <w:tc>
          <w:tcPr>
            <w:tcW w:w="924" w:type="dxa"/>
            <w:tcBorders>
              <w:top w:val="single" w:sz="12" w:space="0" w:color="auto"/>
            </w:tcBorders>
            <w:shd w:val="clear" w:color="auto" w:fill="auto"/>
            <w:noWrap/>
            <w:vAlign w:val="center"/>
            <w:hideMark/>
          </w:tcPr>
          <w:p w14:paraId="7C9058F1"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1.85</w:t>
            </w:r>
          </w:p>
          <w:p w14:paraId="48B119CD"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0.71</w:t>
            </w:r>
          </w:p>
        </w:tc>
        <w:tc>
          <w:tcPr>
            <w:tcW w:w="993" w:type="dxa"/>
            <w:tcBorders>
              <w:top w:val="single" w:sz="12" w:space="0" w:color="auto"/>
            </w:tcBorders>
            <w:shd w:val="clear" w:color="auto" w:fill="auto"/>
            <w:noWrap/>
            <w:vAlign w:val="center"/>
            <w:hideMark/>
          </w:tcPr>
          <w:p w14:paraId="4D3797E0"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612" w:type="dxa"/>
            <w:tcBorders>
              <w:top w:val="single" w:sz="12" w:space="0" w:color="auto"/>
            </w:tcBorders>
            <w:shd w:val="clear" w:color="auto" w:fill="auto"/>
            <w:noWrap/>
            <w:vAlign w:val="center"/>
            <w:hideMark/>
          </w:tcPr>
          <w:p w14:paraId="68CA5460"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siderite</w:t>
            </w:r>
          </w:p>
          <w:p w14:paraId="3513C536"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silicates or pyrite</w:t>
            </w:r>
          </w:p>
        </w:tc>
      </w:tr>
      <w:tr w:rsidR="006A6BB4" w:rsidRPr="008551A5" w14:paraId="421E419C" w14:textId="77777777" w:rsidTr="00E75D86">
        <w:trPr>
          <w:trHeight w:val="441"/>
        </w:trPr>
        <w:tc>
          <w:tcPr>
            <w:cnfStyle w:val="001000000000" w:firstRow="0" w:lastRow="0" w:firstColumn="1" w:lastColumn="0" w:oddVBand="0" w:evenVBand="0" w:oddHBand="0" w:evenHBand="0" w:firstRowFirstColumn="0" w:firstRowLastColumn="0" w:lastRowFirstColumn="0" w:lastRowLastColumn="0"/>
            <w:tcW w:w="1176" w:type="dxa"/>
            <w:shd w:val="clear" w:color="auto" w:fill="auto"/>
            <w:vAlign w:val="center"/>
          </w:tcPr>
          <w:p w14:paraId="5A3755E3" w14:textId="67BA8494" w:rsidR="00732F4A" w:rsidRPr="00732F4A" w:rsidRDefault="00693D40" w:rsidP="00732F4A">
            <w:pPr>
              <w:jc w:val="center"/>
              <w:rPr>
                <w:rFonts w:ascii="Times New Roman" w:eastAsia="Times New Roman" w:hAnsi="Times New Roman" w:cs="Times New Roman"/>
                <w:b w:val="0"/>
                <w:bCs w:val="0"/>
                <w:color w:val="000000"/>
                <w:sz w:val="18"/>
                <w:szCs w:val="18"/>
                <w:lang w:eastAsia="en-GB"/>
              </w:rPr>
            </w:pPr>
            <w:r>
              <w:rPr>
                <w:rFonts w:ascii="Times New Roman" w:eastAsia="Times New Roman" w:hAnsi="Times New Roman" w:cs="Times New Roman"/>
                <w:b w:val="0"/>
                <w:bCs w:val="0"/>
                <w:color w:val="000000"/>
                <w:sz w:val="18"/>
                <w:szCs w:val="18"/>
                <w:lang w:eastAsia="en-GB"/>
              </w:rPr>
              <w:t>CAT-1429</w:t>
            </w:r>
          </w:p>
        </w:tc>
        <w:tc>
          <w:tcPr>
            <w:tcW w:w="1234" w:type="dxa"/>
            <w:shd w:val="clear" w:color="auto" w:fill="auto"/>
            <w:noWrap/>
            <w:vAlign w:val="center"/>
            <w:hideMark/>
          </w:tcPr>
          <w:p w14:paraId="4BA7C8FF" w14:textId="1ED13051"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n-GB"/>
              </w:rPr>
            </w:pPr>
            <w:r w:rsidRPr="00D7150B">
              <w:rPr>
                <w:rFonts w:ascii="Times New Roman" w:eastAsia="Times New Roman" w:hAnsi="Times New Roman" w:cs="Times New Roman"/>
                <w:color w:val="000000"/>
                <w:sz w:val="18"/>
                <w:szCs w:val="18"/>
                <w:lang w:eastAsia="en-GB"/>
              </w:rPr>
              <w:t>low paramagnetic response – oil pay zone</w:t>
            </w:r>
          </w:p>
        </w:tc>
        <w:tc>
          <w:tcPr>
            <w:tcW w:w="1276" w:type="dxa"/>
            <w:shd w:val="clear" w:color="auto" w:fill="auto"/>
            <w:noWrap/>
            <w:vAlign w:val="center"/>
            <w:hideMark/>
          </w:tcPr>
          <w:p w14:paraId="7ED6C356"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doublet I</w:t>
            </w:r>
          </w:p>
          <w:p w14:paraId="1010BF3E"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doublet II</w:t>
            </w:r>
          </w:p>
        </w:tc>
        <w:tc>
          <w:tcPr>
            <w:tcW w:w="850" w:type="dxa"/>
            <w:shd w:val="clear" w:color="auto" w:fill="auto"/>
            <w:noWrap/>
            <w:vAlign w:val="center"/>
            <w:hideMark/>
          </w:tcPr>
          <w:p w14:paraId="6D8570E2"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295k</w:t>
            </w:r>
          </w:p>
        </w:tc>
        <w:tc>
          <w:tcPr>
            <w:tcW w:w="1344" w:type="dxa"/>
            <w:shd w:val="clear" w:color="auto" w:fill="auto"/>
            <w:noWrap/>
            <w:vAlign w:val="center"/>
            <w:hideMark/>
          </w:tcPr>
          <w:p w14:paraId="33487342"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0.28</w:t>
            </w:r>
          </w:p>
          <w:p w14:paraId="7D7A66D7"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1.39</w:t>
            </w:r>
          </w:p>
        </w:tc>
        <w:tc>
          <w:tcPr>
            <w:tcW w:w="924" w:type="dxa"/>
            <w:shd w:val="clear" w:color="auto" w:fill="auto"/>
            <w:noWrap/>
            <w:vAlign w:val="center"/>
            <w:hideMark/>
          </w:tcPr>
          <w:p w14:paraId="5BC84B54"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0.76</w:t>
            </w:r>
          </w:p>
          <w:p w14:paraId="2DFEADDC"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2.41</w:t>
            </w:r>
          </w:p>
        </w:tc>
        <w:tc>
          <w:tcPr>
            <w:tcW w:w="993" w:type="dxa"/>
            <w:shd w:val="clear" w:color="auto" w:fill="auto"/>
            <w:noWrap/>
            <w:vAlign w:val="center"/>
            <w:hideMark/>
          </w:tcPr>
          <w:p w14:paraId="1E608A52"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612" w:type="dxa"/>
            <w:shd w:val="clear" w:color="auto" w:fill="auto"/>
            <w:noWrap/>
            <w:vAlign w:val="center"/>
            <w:hideMark/>
          </w:tcPr>
          <w:p w14:paraId="78A72482"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silicates or pyrite</w:t>
            </w:r>
          </w:p>
          <w:p w14:paraId="3F307C53"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silicates</w:t>
            </w:r>
          </w:p>
        </w:tc>
      </w:tr>
      <w:tr w:rsidR="006A6BB4" w:rsidRPr="008551A5" w14:paraId="6CBF3326" w14:textId="77777777" w:rsidTr="00E75D86">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176" w:type="dxa"/>
            <w:shd w:val="clear" w:color="auto" w:fill="auto"/>
            <w:vAlign w:val="center"/>
          </w:tcPr>
          <w:p w14:paraId="0AEF7D62" w14:textId="34EBC31C" w:rsidR="00732F4A" w:rsidRPr="00732F4A" w:rsidRDefault="00693D40" w:rsidP="00732F4A">
            <w:pPr>
              <w:jc w:val="center"/>
              <w:rPr>
                <w:rFonts w:ascii="Times New Roman" w:eastAsia="Times New Roman" w:hAnsi="Times New Roman" w:cs="Times New Roman"/>
                <w:b w:val="0"/>
                <w:bCs w:val="0"/>
                <w:color w:val="000000"/>
                <w:sz w:val="18"/>
                <w:szCs w:val="18"/>
                <w:lang w:eastAsia="en-GB"/>
              </w:rPr>
            </w:pPr>
            <w:r>
              <w:rPr>
                <w:rFonts w:ascii="Times New Roman" w:eastAsia="Times New Roman" w:hAnsi="Times New Roman" w:cs="Times New Roman"/>
                <w:b w:val="0"/>
                <w:bCs w:val="0"/>
                <w:color w:val="000000"/>
                <w:sz w:val="18"/>
                <w:szCs w:val="18"/>
                <w:lang w:eastAsia="en-GB"/>
              </w:rPr>
              <w:t>BON-1190</w:t>
            </w:r>
          </w:p>
        </w:tc>
        <w:tc>
          <w:tcPr>
            <w:tcW w:w="1234" w:type="dxa"/>
            <w:shd w:val="clear" w:color="auto" w:fill="auto"/>
            <w:vAlign w:val="center"/>
            <w:hideMark/>
          </w:tcPr>
          <w:p w14:paraId="1DC7E620" w14:textId="17E6C3BA"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GB"/>
              </w:rPr>
            </w:pPr>
            <w:r w:rsidRPr="00D7150B">
              <w:rPr>
                <w:rFonts w:ascii="Times New Roman" w:eastAsia="Times New Roman" w:hAnsi="Times New Roman" w:cs="Times New Roman"/>
                <w:color w:val="000000"/>
                <w:sz w:val="18"/>
                <w:szCs w:val="18"/>
                <w:lang w:eastAsia="en-GB"/>
              </w:rPr>
              <w:t>oil-water transition region</w:t>
            </w:r>
          </w:p>
        </w:tc>
        <w:tc>
          <w:tcPr>
            <w:tcW w:w="1276" w:type="dxa"/>
            <w:shd w:val="clear" w:color="auto" w:fill="auto"/>
            <w:noWrap/>
            <w:vAlign w:val="center"/>
            <w:hideMark/>
          </w:tcPr>
          <w:p w14:paraId="18D4150C"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doublet I</w:t>
            </w:r>
          </w:p>
          <w:p w14:paraId="1B382269"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doublet II</w:t>
            </w:r>
          </w:p>
        </w:tc>
        <w:tc>
          <w:tcPr>
            <w:tcW w:w="850" w:type="dxa"/>
            <w:shd w:val="clear" w:color="auto" w:fill="auto"/>
            <w:noWrap/>
            <w:vAlign w:val="center"/>
            <w:hideMark/>
          </w:tcPr>
          <w:p w14:paraId="538CE0B3"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295k</w:t>
            </w:r>
          </w:p>
        </w:tc>
        <w:tc>
          <w:tcPr>
            <w:tcW w:w="1344" w:type="dxa"/>
            <w:shd w:val="clear" w:color="auto" w:fill="auto"/>
            <w:noWrap/>
            <w:vAlign w:val="center"/>
            <w:hideMark/>
          </w:tcPr>
          <w:p w14:paraId="5E95029A"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1.23</w:t>
            </w:r>
          </w:p>
          <w:p w14:paraId="1591A40A"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1.30</w:t>
            </w:r>
          </w:p>
        </w:tc>
        <w:tc>
          <w:tcPr>
            <w:tcW w:w="924" w:type="dxa"/>
            <w:shd w:val="clear" w:color="auto" w:fill="auto"/>
            <w:noWrap/>
            <w:vAlign w:val="center"/>
            <w:hideMark/>
          </w:tcPr>
          <w:p w14:paraId="0F4EE229"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1.84</w:t>
            </w:r>
          </w:p>
          <w:p w14:paraId="60470028"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3.55</w:t>
            </w:r>
          </w:p>
        </w:tc>
        <w:tc>
          <w:tcPr>
            <w:tcW w:w="993" w:type="dxa"/>
            <w:shd w:val="clear" w:color="auto" w:fill="auto"/>
            <w:noWrap/>
            <w:vAlign w:val="center"/>
            <w:hideMark/>
          </w:tcPr>
          <w:p w14:paraId="1EDDE064"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612" w:type="dxa"/>
            <w:shd w:val="clear" w:color="auto" w:fill="auto"/>
            <w:noWrap/>
            <w:vAlign w:val="center"/>
            <w:hideMark/>
          </w:tcPr>
          <w:p w14:paraId="40F61859"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siderite</w:t>
            </w:r>
          </w:p>
          <w:p w14:paraId="3C10D4C4"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vivianite?</w:t>
            </w:r>
          </w:p>
        </w:tc>
      </w:tr>
      <w:tr w:rsidR="006A6BB4" w:rsidRPr="008551A5" w14:paraId="4AD69F81" w14:textId="77777777" w:rsidTr="00E75D86">
        <w:trPr>
          <w:trHeight w:val="441"/>
        </w:trPr>
        <w:tc>
          <w:tcPr>
            <w:cnfStyle w:val="001000000000" w:firstRow="0" w:lastRow="0" w:firstColumn="1" w:lastColumn="0" w:oddVBand="0" w:evenVBand="0" w:oddHBand="0" w:evenHBand="0" w:firstRowFirstColumn="0" w:firstRowLastColumn="0" w:lastRowFirstColumn="0" w:lastRowLastColumn="0"/>
            <w:tcW w:w="1176" w:type="dxa"/>
            <w:shd w:val="clear" w:color="auto" w:fill="auto"/>
            <w:vAlign w:val="center"/>
          </w:tcPr>
          <w:p w14:paraId="2B046417" w14:textId="3064397C" w:rsidR="00732F4A" w:rsidRPr="00732F4A" w:rsidRDefault="002F29FD" w:rsidP="00732F4A">
            <w:pPr>
              <w:jc w:val="center"/>
              <w:rPr>
                <w:rFonts w:ascii="Times New Roman" w:eastAsia="Times New Roman" w:hAnsi="Times New Roman" w:cs="Times New Roman"/>
                <w:b w:val="0"/>
                <w:bCs w:val="0"/>
                <w:color w:val="000000"/>
                <w:sz w:val="18"/>
                <w:szCs w:val="18"/>
                <w:lang w:eastAsia="en-GB"/>
              </w:rPr>
            </w:pPr>
            <w:r>
              <w:rPr>
                <w:rFonts w:ascii="Times New Roman" w:eastAsia="Times New Roman" w:hAnsi="Times New Roman" w:cs="Times New Roman"/>
                <w:b w:val="0"/>
                <w:bCs w:val="0"/>
                <w:color w:val="000000"/>
                <w:sz w:val="18"/>
                <w:szCs w:val="18"/>
                <w:lang w:eastAsia="en-GB"/>
              </w:rPr>
              <w:t>DW-21-991</w:t>
            </w:r>
          </w:p>
        </w:tc>
        <w:tc>
          <w:tcPr>
            <w:tcW w:w="1234" w:type="dxa"/>
            <w:shd w:val="clear" w:color="auto" w:fill="auto"/>
            <w:noWrap/>
            <w:vAlign w:val="center"/>
            <w:hideMark/>
          </w:tcPr>
          <w:p w14:paraId="7E1A31BC" w14:textId="20A9BEAB"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n-GB"/>
              </w:rPr>
            </w:pPr>
            <w:r w:rsidRPr="00D7150B">
              <w:rPr>
                <w:rFonts w:ascii="Times New Roman" w:eastAsia="Times New Roman" w:hAnsi="Times New Roman" w:cs="Times New Roman"/>
                <w:color w:val="000000"/>
                <w:sz w:val="18"/>
                <w:szCs w:val="18"/>
                <w:lang w:eastAsia="en-GB"/>
              </w:rPr>
              <w:t>background</w:t>
            </w:r>
          </w:p>
        </w:tc>
        <w:tc>
          <w:tcPr>
            <w:tcW w:w="1276" w:type="dxa"/>
            <w:shd w:val="clear" w:color="auto" w:fill="auto"/>
            <w:noWrap/>
            <w:vAlign w:val="center"/>
            <w:hideMark/>
          </w:tcPr>
          <w:p w14:paraId="4DF30018"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doublet I</w:t>
            </w:r>
          </w:p>
          <w:p w14:paraId="7E5769DD"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doublet II</w:t>
            </w:r>
          </w:p>
        </w:tc>
        <w:tc>
          <w:tcPr>
            <w:tcW w:w="850" w:type="dxa"/>
            <w:shd w:val="clear" w:color="auto" w:fill="auto"/>
            <w:noWrap/>
            <w:vAlign w:val="center"/>
            <w:hideMark/>
          </w:tcPr>
          <w:p w14:paraId="7A85389F"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295k</w:t>
            </w:r>
          </w:p>
        </w:tc>
        <w:tc>
          <w:tcPr>
            <w:tcW w:w="1344" w:type="dxa"/>
            <w:shd w:val="clear" w:color="auto" w:fill="auto"/>
            <w:noWrap/>
            <w:vAlign w:val="center"/>
            <w:hideMark/>
          </w:tcPr>
          <w:p w14:paraId="63DA16FB"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0.30</w:t>
            </w:r>
          </w:p>
          <w:p w14:paraId="40B098B0"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1.31</w:t>
            </w:r>
          </w:p>
        </w:tc>
        <w:tc>
          <w:tcPr>
            <w:tcW w:w="924" w:type="dxa"/>
            <w:shd w:val="clear" w:color="auto" w:fill="auto"/>
            <w:noWrap/>
            <w:vAlign w:val="center"/>
            <w:hideMark/>
          </w:tcPr>
          <w:p w14:paraId="51DE7B4B"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0.81</w:t>
            </w:r>
          </w:p>
          <w:p w14:paraId="5F2CC08A"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2.41</w:t>
            </w:r>
          </w:p>
        </w:tc>
        <w:tc>
          <w:tcPr>
            <w:tcW w:w="993" w:type="dxa"/>
            <w:shd w:val="clear" w:color="auto" w:fill="auto"/>
            <w:noWrap/>
            <w:vAlign w:val="center"/>
            <w:hideMark/>
          </w:tcPr>
          <w:p w14:paraId="52E3553C"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612" w:type="dxa"/>
            <w:shd w:val="clear" w:color="auto" w:fill="auto"/>
            <w:noWrap/>
            <w:vAlign w:val="center"/>
            <w:hideMark/>
          </w:tcPr>
          <w:p w14:paraId="7649B63C"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silicates or pyrite</w:t>
            </w:r>
          </w:p>
          <w:p w14:paraId="04E11B07"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silicates</w:t>
            </w:r>
          </w:p>
        </w:tc>
      </w:tr>
      <w:tr w:rsidR="006A6BB4" w:rsidRPr="008551A5" w14:paraId="7E9E4A42" w14:textId="77777777" w:rsidTr="00E75D8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176" w:type="dxa"/>
            <w:shd w:val="clear" w:color="auto" w:fill="auto"/>
            <w:vAlign w:val="center"/>
          </w:tcPr>
          <w:p w14:paraId="770DC3B1" w14:textId="4A9359CC" w:rsidR="00732F4A" w:rsidRPr="00732F4A" w:rsidRDefault="00732F4A" w:rsidP="00732F4A">
            <w:pPr>
              <w:jc w:val="center"/>
              <w:rPr>
                <w:rFonts w:ascii="Times New Roman" w:eastAsia="Times New Roman" w:hAnsi="Times New Roman" w:cs="Times New Roman"/>
                <w:b w:val="0"/>
                <w:bCs w:val="0"/>
                <w:color w:val="000000"/>
                <w:sz w:val="18"/>
                <w:szCs w:val="18"/>
                <w:lang w:eastAsia="en-GB"/>
              </w:rPr>
            </w:pPr>
            <w:r>
              <w:rPr>
                <w:rFonts w:ascii="Times New Roman" w:eastAsia="Times New Roman" w:hAnsi="Times New Roman" w:cs="Times New Roman"/>
                <w:b w:val="0"/>
                <w:bCs w:val="0"/>
                <w:color w:val="000000"/>
                <w:sz w:val="18"/>
                <w:szCs w:val="18"/>
                <w:lang w:eastAsia="en-GB"/>
              </w:rPr>
              <w:t>BON-1190</w:t>
            </w:r>
          </w:p>
        </w:tc>
        <w:tc>
          <w:tcPr>
            <w:tcW w:w="1234" w:type="dxa"/>
            <w:shd w:val="clear" w:color="auto" w:fill="auto"/>
            <w:vAlign w:val="center"/>
            <w:hideMark/>
          </w:tcPr>
          <w:p w14:paraId="26B1E80A" w14:textId="62808225"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GB"/>
              </w:rPr>
            </w:pPr>
            <w:r w:rsidRPr="00D7150B">
              <w:rPr>
                <w:rFonts w:ascii="Times New Roman" w:eastAsia="Times New Roman" w:hAnsi="Times New Roman" w:cs="Times New Roman"/>
                <w:color w:val="000000"/>
                <w:sz w:val="18"/>
                <w:szCs w:val="18"/>
                <w:lang w:eastAsia="en-GB"/>
              </w:rPr>
              <w:t>oil-water transition region</w:t>
            </w:r>
          </w:p>
        </w:tc>
        <w:tc>
          <w:tcPr>
            <w:tcW w:w="1276" w:type="dxa"/>
            <w:shd w:val="clear" w:color="auto" w:fill="auto"/>
            <w:noWrap/>
            <w:vAlign w:val="center"/>
            <w:hideMark/>
          </w:tcPr>
          <w:p w14:paraId="121F88C0"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sextet I</w:t>
            </w:r>
          </w:p>
          <w:p w14:paraId="5ECDDB4E"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sextet II</w:t>
            </w:r>
          </w:p>
          <w:p w14:paraId="1A6329F6"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doublet I</w:t>
            </w:r>
          </w:p>
        </w:tc>
        <w:tc>
          <w:tcPr>
            <w:tcW w:w="850" w:type="dxa"/>
            <w:shd w:val="clear" w:color="auto" w:fill="auto"/>
            <w:noWrap/>
            <w:vAlign w:val="center"/>
            <w:hideMark/>
          </w:tcPr>
          <w:p w14:paraId="694D880C"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5-10k</w:t>
            </w:r>
          </w:p>
        </w:tc>
        <w:tc>
          <w:tcPr>
            <w:tcW w:w="1344" w:type="dxa"/>
            <w:shd w:val="clear" w:color="auto" w:fill="auto"/>
            <w:noWrap/>
            <w:vAlign w:val="center"/>
            <w:hideMark/>
          </w:tcPr>
          <w:p w14:paraId="5E6931B6"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0.41</w:t>
            </w:r>
          </w:p>
          <w:p w14:paraId="04A50EE7"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1.34</w:t>
            </w:r>
          </w:p>
          <w:p w14:paraId="4B396A17"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1.46</w:t>
            </w:r>
          </w:p>
        </w:tc>
        <w:tc>
          <w:tcPr>
            <w:tcW w:w="924" w:type="dxa"/>
            <w:shd w:val="clear" w:color="auto" w:fill="auto"/>
            <w:noWrap/>
            <w:vAlign w:val="center"/>
            <w:hideMark/>
          </w:tcPr>
          <w:p w14:paraId="74A7DAB4"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0.06</w:t>
            </w:r>
          </w:p>
          <w:p w14:paraId="667E303D"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2.05</w:t>
            </w:r>
          </w:p>
          <w:p w14:paraId="120D6FF3"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3.50</w:t>
            </w:r>
          </w:p>
        </w:tc>
        <w:tc>
          <w:tcPr>
            <w:tcW w:w="993" w:type="dxa"/>
            <w:shd w:val="clear" w:color="auto" w:fill="auto"/>
            <w:noWrap/>
            <w:vAlign w:val="center"/>
            <w:hideMark/>
          </w:tcPr>
          <w:p w14:paraId="288C8450"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48.4</w:t>
            </w:r>
          </w:p>
          <w:p w14:paraId="31BCAC08"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17.9</w:t>
            </w:r>
          </w:p>
        </w:tc>
        <w:tc>
          <w:tcPr>
            <w:tcW w:w="1612" w:type="dxa"/>
            <w:shd w:val="clear" w:color="auto" w:fill="auto"/>
            <w:noWrap/>
            <w:vAlign w:val="center"/>
            <w:hideMark/>
          </w:tcPr>
          <w:p w14:paraId="2E2086E0"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Lepidocrocite</w:t>
            </w:r>
            <w:r w:rsidRPr="00D7150B">
              <w:rPr>
                <w:rFonts w:ascii="Times New Roman" w:eastAsia="Times New Roman" w:hAnsi="Times New Roman" w:cs="Times New Roman"/>
                <w:color w:val="000000"/>
                <w:sz w:val="18"/>
                <w:szCs w:val="18"/>
                <w:lang w:eastAsia="en-GB"/>
              </w:rPr>
              <w:t xml:space="preserve">? </w:t>
            </w:r>
            <w:r>
              <w:rPr>
                <w:rFonts w:ascii="Times New Roman" w:eastAsia="Times New Roman" w:hAnsi="Times New Roman" w:cs="Times New Roman"/>
                <w:color w:val="000000"/>
                <w:sz w:val="18"/>
                <w:szCs w:val="18"/>
                <w:lang w:eastAsia="en-GB"/>
              </w:rPr>
              <w:t>Ferrihydrite</w:t>
            </w:r>
            <w:r w:rsidRPr="00D7150B">
              <w:rPr>
                <w:rFonts w:ascii="Times New Roman" w:eastAsia="Times New Roman" w:hAnsi="Times New Roman" w:cs="Times New Roman"/>
                <w:color w:val="000000"/>
                <w:sz w:val="18"/>
                <w:szCs w:val="18"/>
                <w:lang w:eastAsia="en-GB"/>
              </w:rPr>
              <w:t>?</w:t>
            </w:r>
          </w:p>
          <w:p w14:paraId="30E2FC4B"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siderite</w:t>
            </w:r>
          </w:p>
          <w:p w14:paraId="0EF59693" w14:textId="77777777" w:rsidR="00732F4A" w:rsidRPr="00D7150B" w:rsidRDefault="00732F4A" w:rsidP="00732F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vivianite?</w:t>
            </w:r>
          </w:p>
        </w:tc>
      </w:tr>
      <w:tr w:rsidR="006A6BB4" w:rsidRPr="00A11C77" w14:paraId="6F85B345" w14:textId="77777777" w:rsidTr="00E75D86">
        <w:trPr>
          <w:trHeight w:val="441"/>
        </w:trPr>
        <w:tc>
          <w:tcPr>
            <w:cnfStyle w:val="001000000000" w:firstRow="0" w:lastRow="0" w:firstColumn="1" w:lastColumn="0" w:oddVBand="0" w:evenVBand="0" w:oddHBand="0" w:evenHBand="0" w:firstRowFirstColumn="0" w:firstRowLastColumn="0" w:lastRowFirstColumn="0" w:lastRowLastColumn="0"/>
            <w:tcW w:w="1176" w:type="dxa"/>
            <w:shd w:val="clear" w:color="auto" w:fill="auto"/>
            <w:vAlign w:val="center"/>
          </w:tcPr>
          <w:p w14:paraId="7683CB44" w14:textId="5F617843" w:rsidR="00732F4A" w:rsidRPr="00732F4A" w:rsidRDefault="00732F4A" w:rsidP="00732F4A">
            <w:pPr>
              <w:jc w:val="center"/>
              <w:rPr>
                <w:rFonts w:ascii="Times New Roman" w:eastAsia="Times New Roman" w:hAnsi="Times New Roman" w:cs="Times New Roman"/>
                <w:b w:val="0"/>
                <w:bCs w:val="0"/>
                <w:color w:val="000000"/>
                <w:sz w:val="18"/>
                <w:szCs w:val="18"/>
                <w:lang w:eastAsia="en-GB"/>
              </w:rPr>
            </w:pPr>
            <w:r>
              <w:rPr>
                <w:rFonts w:ascii="Times New Roman" w:eastAsia="Times New Roman" w:hAnsi="Times New Roman" w:cs="Times New Roman"/>
                <w:b w:val="0"/>
                <w:bCs w:val="0"/>
                <w:color w:val="000000"/>
                <w:sz w:val="18"/>
                <w:szCs w:val="18"/>
                <w:lang w:eastAsia="en-GB"/>
              </w:rPr>
              <w:t>BON-1201</w:t>
            </w:r>
          </w:p>
        </w:tc>
        <w:tc>
          <w:tcPr>
            <w:tcW w:w="1234" w:type="dxa"/>
            <w:shd w:val="clear" w:color="auto" w:fill="auto"/>
            <w:noWrap/>
            <w:vAlign w:val="center"/>
            <w:hideMark/>
          </w:tcPr>
          <w:p w14:paraId="1993C369" w14:textId="66195FF9"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n-GB"/>
              </w:rPr>
            </w:pPr>
            <w:r w:rsidRPr="00D7150B">
              <w:rPr>
                <w:rFonts w:ascii="Times New Roman" w:eastAsia="Times New Roman" w:hAnsi="Times New Roman" w:cs="Times New Roman"/>
                <w:color w:val="000000"/>
                <w:sz w:val="18"/>
                <w:szCs w:val="18"/>
                <w:lang w:eastAsia="en-GB"/>
              </w:rPr>
              <w:t>high paramagnetic response – oil pay zone</w:t>
            </w:r>
          </w:p>
        </w:tc>
        <w:tc>
          <w:tcPr>
            <w:tcW w:w="1276" w:type="dxa"/>
            <w:shd w:val="clear" w:color="auto" w:fill="auto"/>
            <w:noWrap/>
            <w:vAlign w:val="center"/>
            <w:hideMark/>
          </w:tcPr>
          <w:p w14:paraId="54BC4951"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sextet I</w:t>
            </w:r>
          </w:p>
          <w:p w14:paraId="56558EC7"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doublet III</w:t>
            </w:r>
          </w:p>
        </w:tc>
        <w:tc>
          <w:tcPr>
            <w:tcW w:w="850" w:type="dxa"/>
            <w:shd w:val="clear" w:color="auto" w:fill="auto"/>
            <w:noWrap/>
            <w:vAlign w:val="center"/>
            <w:hideMark/>
          </w:tcPr>
          <w:p w14:paraId="2B5346C7"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5-10k</w:t>
            </w:r>
          </w:p>
        </w:tc>
        <w:tc>
          <w:tcPr>
            <w:tcW w:w="1344" w:type="dxa"/>
            <w:shd w:val="clear" w:color="auto" w:fill="auto"/>
            <w:noWrap/>
            <w:vAlign w:val="center"/>
            <w:hideMark/>
          </w:tcPr>
          <w:p w14:paraId="34CF1C02"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1.37</w:t>
            </w:r>
          </w:p>
          <w:p w14:paraId="087238CB"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0.38</w:t>
            </w:r>
          </w:p>
        </w:tc>
        <w:tc>
          <w:tcPr>
            <w:tcW w:w="924" w:type="dxa"/>
            <w:shd w:val="clear" w:color="auto" w:fill="auto"/>
            <w:noWrap/>
            <w:vAlign w:val="center"/>
            <w:hideMark/>
          </w:tcPr>
          <w:p w14:paraId="20F982D7"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2.06</w:t>
            </w:r>
          </w:p>
          <w:p w14:paraId="1F1D2356"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0.68</w:t>
            </w:r>
          </w:p>
        </w:tc>
        <w:tc>
          <w:tcPr>
            <w:tcW w:w="993" w:type="dxa"/>
            <w:shd w:val="clear" w:color="auto" w:fill="auto"/>
            <w:noWrap/>
            <w:vAlign w:val="center"/>
            <w:hideMark/>
          </w:tcPr>
          <w:p w14:paraId="3BE15AAE"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17.7</w:t>
            </w:r>
          </w:p>
        </w:tc>
        <w:tc>
          <w:tcPr>
            <w:tcW w:w="1612" w:type="dxa"/>
            <w:shd w:val="clear" w:color="auto" w:fill="auto"/>
            <w:noWrap/>
            <w:vAlign w:val="center"/>
            <w:hideMark/>
          </w:tcPr>
          <w:p w14:paraId="4F60A724" w14:textId="77777777" w:rsidR="00732F4A" w:rsidRPr="00D7150B"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siderite</w:t>
            </w:r>
          </w:p>
          <w:p w14:paraId="49F8F96D" w14:textId="77777777" w:rsidR="00732F4A" w:rsidRPr="00F6411F" w:rsidRDefault="00732F4A" w:rsidP="00732F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D7150B">
              <w:rPr>
                <w:rFonts w:ascii="Times New Roman" w:eastAsia="Times New Roman" w:hAnsi="Times New Roman" w:cs="Times New Roman"/>
                <w:color w:val="000000"/>
                <w:sz w:val="18"/>
                <w:szCs w:val="18"/>
                <w:lang w:eastAsia="en-GB"/>
              </w:rPr>
              <w:t>silicates or pyrite</w:t>
            </w:r>
          </w:p>
        </w:tc>
      </w:tr>
    </w:tbl>
    <w:p w14:paraId="10261166" w14:textId="77777777" w:rsidR="00C5029F" w:rsidRDefault="00E75D86"/>
    <w:sectPr w:rsidR="00C50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3E"/>
    <w:rsid w:val="002062C7"/>
    <w:rsid w:val="002305D0"/>
    <w:rsid w:val="002F29FD"/>
    <w:rsid w:val="003E21E4"/>
    <w:rsid w:val="004A2FAA"/>
    <w:rsid w:val="00693D40"/>
    <w:rsid w:val="006A6BB4"/>
    <w:rsid w:val="00732F4A"/>
    <w:rsid w:val="00737916"/>
    <w:rsid w:val="009C6232"/>
    <w:rsid w:val="00C973DB"/>
    <w:rsid w:val="00E3393E"/>
    <w:rsid w:val="00E75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B7C0"/>
  <w15:chartTrackingRefBased/>
  <w15:docId w15:val="{94CF8BA7-8DFF-4DA6-90F3-7C01B3C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rsid w:val="00E3393E"/>
    <w:pPr>
      <w:tabs>
        <w:tab w:val="left" w:pos="504"/>
      </w:tabs>
      <w:spacing w:before="240" w:after="240" w:line="240" w:lineRule="auto"/>
    </w:pPr>
    <w:rPr>
      <w:rFonts w:ascii="Times New Roman" w:eastAsia="Times New Roman" w:hAnsi="Times New Roman" w:cs="Times New Roman"/>
      <w:b/>
      <w:szCs w:val="20"/>
    </w:rPr>
  </w:style>
  <w:style w:type="table" w:styleId="PlainTable4">
    <w:name w:val="Plain Table 4"/>
    <w:basedOn w:val="TableNormal"/>
    <w:uiPriority w:val="44"/>
    <w:rsid w:val="00E339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otnoteReference">
    <w:name w:val="footnote reference"/>
    <w:basedOn w:val="DefaultParagraphFont"/>
    <w:uiPriority w:val="99"/>
    <w:semiHidden/>
    <w:unhideWhenUsed/>
    <w:rsid w:val="00230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Abdulkarim, Maryam A</dc:creator>
  <cp:keywords/>
  <dc:description/>
  <cp:lastModifiedBy>Abdulkarim, Maryam A</cp:lastModifiedBy>
  <cp:revision>3</cp:revision>
  <dcterms:created xsi:type="dcterms:W3CDTF">2022-03-24T10:53:00Z</dcterms:created>
  <dcterms:modified xsi:type="dcterms:W3CDTF">2022-03-24T10:54:00Z</dcterms:modified>
</cp:coreProperties>
</file>