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F7B2" w14:textId="77777777" w:rsidR="00113170" w:rsidRPr="00B95108" w:rsidRDefault="00113170" w:rsidP="0071685B">
      <w:pPr>
        <w:spacing w:line="360" w:lineRule="auto"/>
        <w:rPr>
          <w:rFonts w:ascii="Times New Roman" w:eastAsiaTheme="minorHAnsi" w:hAnsi="Times New Roman" w:cs="Times New Roman"/>
          <w:b/>
          <w:sz w:val="24"/>
          <w:szCs w:val="24"/>
          <w:lang w:eastAsia="en-US"/>
        </w:rPr>
      </w:pPr>
      <w:r w:rsidRPr="00B95108">
        <w:rPr>
          <w:rFonts w:ascii="Times New Roman" w:eastAsiaTheme="minorHAnsi" w:hAnsi="Times New Roman" w:cs="Times New Roman"/>
          <w:b/>
          <w:sz w:val="24"/>
          <w:szCs w:val="24"/>
          <w:lang w:eastAsia="en-US"/>
        </w:rPr>
        <w:t>SUPPLEMENTARY APPENDIX</w:t>
      </w:r>
    </w:p>
    <w:p w14:paraId="6E2B0974" w14:textId="77777777" w:rsidR="00113170" w:rsidRPr="00B95108" w:rsidRDefault="00113170">
      <w:pPr>
        <w:rPr>
          <w:rFonts w:ascii="Times New Roman" w:eastAsiaTheme="minorHAnsi" w:hAnsi="Times New Roman" w:cs="Times New Roman"/>
          <w:sz w:val="24"/>
          <w:szCs w:val="24"/>
          <w:lang w:eastAsia="en-US"/>
        </w:rPr>
      </w:pPr>
      <w:r w:rsidRPr="00B95108">
        <w:rPr>
          <w:rFonts w:ascii="Times New Roman" w:eastAsiaTheme="minorHAnsi" w:hAnsi="Times New Roman" w:cs="Times New Roman"/>
          <w:sz w:val="24"/>
          <w:szCs w:val="24"/>
          <w:lang w:eastAsia="en-US"/>
        </w:rPr>
        <w:br w:type="page"/>
      </w:r>
    </w:p>
    <w:p w14:paraId="0416A446" w14:textId="77777777" w:rsidR="00113170" w:rsidRPr="00B95108" w:rsidRDefault="00113170" w:rsidP="00FE6F9A">
      <w:pPr>
        <w:widowControl w:val="0"/>
        <w:pBdr>
          <w:top w:val="nil"/>
          <w:left w:val="nil"/>
          <w:bottom w:val="nil"/>
          <w:right w:val="nil"/>
          <w:between w:val="nil"/>
        </w:pBdr>
        <w:tabs>
          <w:tab w:val="left" w:pos="5055"/>
        </w:tabs>
        <w:autoSpaceDE w:val="0"/>
        <w:autoSpaceDN w:val="0"/>
        <w:spacing w:line="360" w:lineRule="auto"/>
        <w:rPr>
          <w:rFonts w:ascii="Times New Roman" w:eastAsia="Malgun Gothic" w:hAnsi="Times New Roman" w:cs="Times New Roman"/>
          <w:b/>
          <w:kern w:val="2"/>
          <w:sz w:val="24"/>
          <w:szCs w:val="24"/>
          <w:lang w:eastAsia="ko-KR"/>
        </w:rPr>
      </w:pPr>
      <w:bookmarkStart w:id="0" w:name="_Hlk53150575"/>
      <w:r w:rsidRPr="00B95108">
        <w:rPr>
          <w:rFonts w:ascii="Times New Roman" w:eastAsia="Malgun Gothic" w:hAnsi="Times New Roman" w:cs="Times New Roman"/>
          <w:b/>
          <w:kern w:val="2"/>
          <w:sz w:val="24"/>
          <w:szCs w:val="24"/>
          <w:lang w:eastAsia="ko-KR"/>
        </w:rPr>
        <w:lastRenderedPageBreak/>
        <w:t>TABLE OF CONTENTS</w:t>
      </w:r>
    </w:p>
    <w:bookmarkEnd w:id="0"/>
    <w:p w14:paraId="73A8D217" w14:textId="77777777" w:rsidR="00113170" w:rsidRPr="007979AB" w:rsidRDefault="00113170">
      <w:pPr>
        <w:pStyle w:val="TOC1"/>
        <w:rPr>
          <w:rFonts w:ascii="Times New Roman" w:hAnsi="Times New Roman" w:cs="Times New Roman"/>
          <w:noProof/>
          <w:sz w:val="24"/>
          <w:szCs w:val="24"/>
          <w:lang w:val="en-GB" w:eastAsia="en-GB"/>
        </w:rPr>
      </w:pPr>
      <w:r w:rsidRPr="00256CD5">
        <w:rPr>
          <w:rFonts w:ascii="Times New Roman" w:hAnsi="Times New Roman" w:cs="Times New Roman"/>
          <w:bCs/>
          <w:sz w:val="24"/>
          <w:szCs w:val="24"/>
        </w:rPr>
        <w:fldChar w:fldCharType="begin"/>
      </w:r>
      <w:r w:rsidRPr="00E23421">
        <w:rPr>
          <w:rFonts w:ascii="Times New Roman" w:hAnsi="Times New Roman" w:cs="Times New Roman"/>
          <w:bCs/>
          <w:sz w:val="24"/>
          <w:szCs w:val="24"/>
        </w:rPr>
        <w:instrText xml:space="preserve"> TOC \o "1-3" \h \z \u </w:instrText>
      </w:r>
      <w:r w:rsidRPr="00256CD5">
        <w:rPr>
          <w:rFonts w:ascii="Times New Roman" w:hAnsi="Times New Roman" w:cs="Times New Roman"/>
          <w:bCs/>
          <w:sz w:val="24"/>
          <w:szCs w:val="24"/>
        </w:rPr>
        <w:fldChar w:fldCharType="separate"/>
      </w:r>
      <w:hyperlink w:anchor="_Toc87612710" w:history="1">
        <w:r w:rsidRPr="007979AB">
          <w:rPr>
            <w:rStyle w:val="Hyperlink"/>
            <w:rFonts w:ascii="Times New Roman" w:hAnsi="Times New Roman" w:cs="Times New Roman"/>
            <w:noProof/>
            <w:sz w:val="24"/>
            <w:szCs w:val="24"/>
            <w:lang w:eastAsia="en-US"/>
          </w:rPr>
          <w:t>SUPPLEMENTARY METHODS</w:t>
        </w:r>
        <w:r w:rsidRPr="007979AB">
          <w:rPr>
            <w:rFonts w:ascii="Times New Roman" w:hAnsi="Times New Roman" w:cs="Times New Roman"/>
            <w:noProof/>
            <w:webHidden/>
            <w:sz w:val="24"/>
            <w:szCs w:val="24"/>
          </w:rPr>
          <w:tab/>
        </w:r>
        <w:r w:rsidRPr="007979AB">
          <w:rPr>
            <w:rFonts w:ascii="Times New Roman" w:hAnsi="Times New Roman" w:cs="Times New Roman"/>
            <w:noProof/>
            <w:webHidden/>
            <w:sz w:val="24"/>
            <w:szCs w:val="24"/>
          </w:rPr>
          <w:fldChar w:fldCharType="begin"/>
        </w:r>
        <w:r w:rsidRPr="007979AB">
          <w:rPr>
            <w:rFonts w:ascii="Times New Roman" w:hAnsi="Times New Roman" w:cs="Times New Roman"/>
            <w:noProof/>
            <w:webHidden/>
            <w:sz w:val="24"/>
            <w:szCs w:val="24"/>
          </w:rPr>
          <w:instrText xml:space="preserve"> PAGEREF _Toc87612710 \h </w:instrText>
        </w:r>
        <w:r w:rsidRPr="007979AB">
          <w:rPr>
            <w:rFonts w:ascii="Times New Roman" w:hAnsi="Times New Roman" w:cs="Times New Roman"/>
            <w:noProof/>
            <w:webHidden/>
            <w:sz w:val="24"/>
            <w:szCs w:val="24"/>
          </w:rPr>
        </w:r>
        <w:r w:rsidRPr="007979AB">
          <w:rPr>
            <w:rFonts w:ascii="Times New Roman" w:hAnsi="Times New Roman" w:cs="Times New Roman"/>
            <w:noProof/>
            <w:webHidden/>
            <w:sz w:val="24"/>
            <w:szCs w:val="24"/>
          </w:rPr>
          <w:fldChar w:fldCharType="separate"/>
        </w:r>
        <w:r w:rsidRPr="007979AB">
          <w:rPr>
            <w:rFonts w:ascii="Times New Roman" w:hAnsi="Times New Roman" w:cs="Times New Roman"/>
            <w:noProof/>
            <w:webHidden/>
            <w:sz w:val="24"/>
            <w:szCs w:val="24"/>
          </w:rPr>
          <w:t>3</w:t>
        </w:r>
        <w:r w:rsidRPr="007979AB">
          <w:rPr>
            <w:rFonts w:ascii="Times New Roman" w:hAnsi="Times New Roman" w:cs="Times New Roman"/>
            <w:noProof/>
            <w:webHidden/>
            <w:sz w:val="24"/>
            <w:szCs w:val="24"/>
          </w:rPr>
          <w:fldChar w:fldCharType="end"/>
        </w:r>
      </w:hyperlink>
    </w:p>
    <w:p w14:paraId="2E90B331"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11" w:history="1">
        <w:r w:rsidRPr="007979AB">
          <w:rPr>
            <w:rStyle w:val="Hyperlink"/>
            <w:rFonts w:ascii="Times New Roman" w:hAnsi="Times New Roman" w:cs="Times New Roman"/>
            <w:sz w:val="24"/>
            <w:szCs w:val="24"/>
          </w:rPr>
          <w:t>HLA and MAGE-A10 Testing</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_Toc87612711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3</w:t>
        </w:r>
        <w:r w:rsidRPr="007979AB">
          <w:rPr>
            <w:rFonts w:ascii="Times New Roman" w:hAnsi="Times New Roman" w:cs="Times New Roman"/>
            <w:webHidden/>
            <w:sz w:val="24"/>
            <w:szCs w:val="24"/>
          </w:rPr>
          <w:fldChar w:fldCharType="end"/>
        </w:r>
      </w:hyperlink>
    </w:p>
    <w:p w14:paraId="00373BF1"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12" w:history="1">
        <w:r w:rsidRPr="007979AB">
          <w:rPr>
            <w:rStyle w:val="Hyperlink"/>
            <w:rFonts w:ascii="Times New Roman" w:hAnsi="Times New Roman" w:cs="Times New Roman"/>
            <w:sz w:val="24"/>
            <w:szCs w:val="24"/>
          </w:rPr>
          <w:t>T-cell Manufacturing</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_Toc87612712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3</w:t>
        </w:r>
        <w:r w:rsidRPr="007979AB">
          <w:rPr>
            <w:rFonts w:ascii="Times New Roman" w:hAnsi="Times New Roman" w:cs="Times New Roman"/>
            <w:webHidden/>
            <w:sz w:val="24"/>
            <w:szCs w:val="24"/>
          </w:rPr>
          <w:fldChar w:fldCharType="end"/>
        </w:r>
      </w:hyperlink>
    </w:p>
    <w:p w14:paraId="6203378F"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13" w:history="1">
        <w:r w:rsidRPr="007979AB">
          <w:rPr>
            <w:rStyle w:val="Hyperlink"/>
            <w:rFonts w:ascii="Times New Roman" w:hAnsi="Times New Roman" w:cs="Times New Roman"/>
            <w:sz w:val="24"/>
            <w:szCs w:val="24"/>
          </w:rPr>
          <w:t>Gene Therapy-Related Delayed Adverse Events, Molecular Replication Competent Lentivirus Testing, and Insertional Oncogenesis</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_Toc87612713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3</w:t>
        </w:r>
        <w:r w:rsidRPr="007979AB">
          <w:rPr>
            <w:rFonts w:ascii="Times New Roman" w:hAnsi="Times New Roman" w:cs="Times New Roman"/>
            <w:webHidden/>
            <w:sz w:val="24"/>
            <w:szCs w:val="24"/>
          </w:rPr>
          <w:fldChar w:fldCharType="end"/>
        </w:r>
      </w:hyperlink>
    </w:p>
    <w:p w14:paraId="30774CD5"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14" w:history="1">
        <w:r w:rsidRPr="007979AB">
          <w:rPr>
            <w:rStyle w:val="Hyperlink"/>
            <w:rFonts w:ascii="Times New Roman" w:hAnsi="Times New Roman" w:cs="Times New Roman"/>
            <w:sz w:val="24"/>
            <w:szCs w:val="24"/>
          </w:rPr>
          <w:t>Translational</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_Toc87612714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4</w:t>
        </w:r>
        <w:r w:rsidRPr="007979AB">
          <w:rPr>
            <w:rFonts w:ascii="Times New Roman" w:hAnsi="Times New Roman" w:cs="Times New Roman"/>
            <w:webHidden/>
            <w:sz w:val="24"/>
            <w:szCs w:val="24"/>
          </w:rPr>
          <w:fldChar w:fldCharType="end"/>
        </w:r>
      </w:hyperlink>
    </w:p>
    <w:p w14:paraId="6BCB4E1C" w14:textId="77777777" w:rsidR="00113170" w:rsidRPr="007979AB" w:rsidRDefault="00113170">
      <w:pPr>
        <w:pStyle w:val="TOC3"/>
        <w:tabs>
          <w:tab w:val="right" w:leader="dot" w:pos="9350"/>
        </w:tabs>
        <w:rPr>
          <w:rFonts w:ascii="Times New Roman" w:hAnsi="Times New Roman" w:cs="Times New Roman"/>
          <w:noProof/>
          <w:sz w:val="24"/>
          <w:szCs w:val="24"/>
          <w:lang w:val="en-GB" w:eastAsia="en-GB"/>
        </w:rPr>
      </w:pPr>
      <w:hyperlink w:anchor="_Toc87612715" w:history="1">
        <w:r w:rsidRPr="007979AB">
          <w:rPr>
            <w:rStyle w:val="Hyperlink"/>
            <w:rFonts w:ascii="Times New Roman" w:hAnsi="Times New Roman" w:cs="Times New Roman"/>
            <w:noProof/>
            <w:sz w:val="24"/>
            <w:szCs w:val="24"/>
          </w:rPr>
          <w:t>Transcriptomic Analysis</w:t>
        </w:r>
        <w:r w:rsidRPr="007979AB">
          <w:rPr>
            <w:rFonts w:ascii="Times New Roman" w:hAnsi="Times New Roman" w:cs="Times New Roman"/>
            <w:noProof/>
            <w:webHidden/>
            <w:sz w:val="24"/>
            <w:szCs w:val="24"/>
          </w:rPr>
          <w:tab/>
        </w:r>
        <w:r w:rsidRPr="007979AB">
          <w:rPr>
            <w:rFonts w:ascii="Times New Roman" w:hAnsi="Times New Roman" w:cs="Times New Roman"/>
            <w:noProof/>
            <w:webHidden/>
            <w:sz w:val="24"/>
            <w:szCs w:val="24"/>
          </w:rPr>
          <w:fldChar w:fldCharType="begin"/>
        </w:r>
        <w:r w:rsidRPr="007979AB">
          <w:rPr>
            <w:rFonts w:ascii="Times New Roman" w:hAnsi="Times New Roman" w:cs="Times New Roman"/>
            <w:noProof/>
            <w:webHidden/>
            <w:sz w:val="24"/>
            <w:szCs w:val="24"/>
          </w:rPr>
          <w:instrText xml:space="preserve"> PAGEREF _Toc87612715 \h </w:instrText>
        </w:r>
        <w:r w:rsidRPr="007979AB">
          <w:rPr>
            <w:rFonts w:ascii="Times New Roman" w:hAnsi="Times New Roman" w:cs="Times New Roman"/>
            <w:noProof/>
            <w:webHidden/>
            <w:sz w:val="24"/>
            <w:szCs w:val="24"/>
          </w:rPr>
        </w:r>
        <w:r w:rsidRPr="007979AB">
          <w:rPr>
            <w:rFonts w:ascii="Times New Roman" w:hAnsi="Times New Roman" w:cs="Times New Roman"/>
            <w:noProof/>
            <w:webHidden/>
            <w:sz w:val="24"/>
            <w:szCs w:val="24"/>
          </w:rPr>
          <w:fldChar w:fldCharType="separate"/>
        </w:r>
        <w:r w:rsidRPr="007979AB">
          <w:rPr>
            <w:rFonts w:ascii="Times New Roman" w:hAnsi="Times New Roman" w:cs="Times New Roman"/>
            <w:noProof/>
            <w:webHidden/>
            <w:sz w:val="24"/>
            <w:szCs w:val="24"/>
          </w:rPr>
          <w:t>4</w:t>
        </w:r>
        <w:r w:rsidRPr="007979AB">
          <w:rPr>
            <w:rFonts w:ascii="Times New Roman" w:hAnsi="Times New Roman" w:cs="Times New Roman"/>
            <w:noProof/>
            <w:webHidden/>
            <w:sz w:val="24"/>
            <w:szCs w:val="24"/>
          </w:rPr>
          <w:fldChar w:fldCharType="end"/>
        </w:r>
      </w:hyperlink>
    </w:p>
    <w:p w14:paraId="718073FE" w14:textId="77777777" w:rsidR="00113170" w:rsidRPr="007979AB" w:rsidRDefault="00113170">
      <w:pPr>
        <w:pStyle w:val="TOC3"/>
        <w:tabs>
          <w:tab w:val="right" w:leader="dot" w:pos="9350"/>
        </w:tabs>
        <w:rPr>
          <w:rFonts w:ascii="Times New Roman" w:hAnsi="Times New Roman" w:cs="Times New Roman"/>
          <w:noProof/>
          <w:sz w:val="24"/>
          <w:szCs w:val="24"/>
          <w:lang w:val="en-GB" w:eastAsia="en-GB"/>
        </w:rPr>
      </w:pPr>
      <w:hyperlink w:anchor="_Toc87612716" w:history="1">
        <w:r w:rsidRPr="007979AB">
          <w:rPr>
            <w:rStyle w:val="Hyperlink"/>
            <w:rFonts w:ascii="Times New Roman" w:hAnsi="Times New Roman" w:cs="Times New Roman"/>
            <w:noProof/>
            <w:sz w:val="24"/>
            <w:szCs w:val="24"/>
          </w:rPr>
          <w:t xml:space="preserve">RNA </w:t>
        </w:r>
        <w:r w:rsidRPr="007979AB">
          <w:rPr>
            <w:rStyle w:val="Hyperlink"/>
            <w:rFonts w:ascii="Times New Roman" w:hAnsi="Times New Roman" w:cs="Times New Roman"/>
            <w:iCs/>
            <w:noProof/>
            <w:sz w:val="24"/>
            <w:szCs w:val="24"/>
          </w:rPr>
          <w:t>In Situ</w:t>
        </w:r>
        <w:r w:rsidRPr="007979AB">
          <w:rPr>
            <w:rStyle w:val="Hyperlink"/>
            <w:rFonts w:ascii="Times New Roman" w:hAnsi="Times New Roman" w:cs="Times New Roman"/>
            <w:noProof/>
            <w:sz w:val="24"/>
            <w:szCs w:val="24"/>
          </w:rPr>
          <w:t xml:space="preserve"> Hybridization</w:t>
        </w:r>
        <w:r w:rsidRPr="007979AB">
          <w:rPr>
            <w:rFonts w:ascii="Times New Roman" w:hAnsi="Times New Roman" w:cs="Times New Roman"/>
            <w:noProof/>
            <w:webHidden/>
            <w:sz w:val="24"/>
            <w:szCs w:val="24"/>
          </w:rPr>
          <w:tab/>
        </w:r>
        <w:r w:rsidRPr="007979AB">
          <w:rPr>
            <w:rFonts w:ascii="Times New Roman" w:hAnsi="Times New Roman" w:cs="Times New Roman"/>
            <w:noProof/>
            <w:webHidden/>
            <w:sz w:val="24"/>
            <w:szCs w:val="24"/>
          </w:rPr>
          <w:fldChar w:fldCharType="begin"/>
        </w:r>
        <w:r w:rsidRPr="007979AB">
          <w:rPr>
            <w:rFonts w:ascii="Times New Roman" w:hAnsi="Times New Roman" w:cs="Times New Roman"/>
            <w:noProof/>
            <w:webHidden/>
            <w:sz w:val="24"/>
            <w:szCs w:val="24"/>
          </w:rPr>
          <w:instrText xml:space="preserve"> PAGEREF _Toc87612716 \h </w:instrText>
        </w:r>
        <w:r w:rsidRPr="007979AB">
          <w:rPr>
            <w:rFonts w:ascii="Times New Roman" w:hAnsi="Times New Roman" w:cs="Times New Roman"/>
            <w:noProof/>
            <w:webHidden/>
            <w:sz w:val="24"/>
            <w:szCs w:val="24"/>
          </w:rPr>
        </w:r>
        <w:r w:rsidRPr="007979AB">
          <w:rPr>
            <w:rFonts w:ascii="Times New Roman" w:hAnsi="Times New Roman" w:cs="Times New Roman"/>
            <w:noProof/>
            <w:webHidden/>
            <w:sz w:val="24"/>
            <w:szCs w:val="24"/>
          </w:rPr>
          <w:fldChar w:fldCharType="separate"/>
        </w:r>
        <w:r w:rsidRPr="007979AB">
          <w:rPr>
            <w:rFonts w:ascii="Times New Roman" w:hAnsi="Times New Roman" w:cs="Times New Roman"/>
            <w:noProof/>
            <w:webHidden/>
            <w:sz w:val="24"/>
            <w:szCs w:val="24"/>
          </w:rPr>
          <w:t>4</w:t>
        </w:r>
        <w:r w:rsidRPr="007979AB">
          <w:rPr>
            <w:rFonts w:ascii="Times New Roman" w:hAnsi="Times New Roman" w:cs="Times New Roman"/>
            <w:noProof/>
            <w:webHidden/>
            <w:sz w:val="24"/>
            <w:szCs w:val="24"/>
          </w:rPr>
          <w:fldChar w:fldCharType="end"/>
        </w:r>
      </w:hyperlink>
    </w:p>
    <w:p w14:paraId="67EEBFCC" w14:textId="77777777" w:rsidR="00113170" w:rsidRPr="007979AB" w:rsidRDefault="00113170">
      <w:pPr>
        <w:pStyle w:val="TOC1"/>
        <w:rPr>
          <w:rFonts w:ascii="Times New Roman" w:hAnsi="Times New Roman" w:cs="Times New Roman"/>
          <w:noProof/>
          <w:sz w:val="24"/>
          <w:szCs w:val="24"/>
          <w:lang w:val="en-GB" w:eastAsia="en-GB"/>
        </w:rPr>
      </w:pPr>
      <w:hyperlink w:anchor="_Toc87612717" w:history="1">
        <w:r w:rsidRPr="007979AB">
          <w:rPr>
            <w:rStyle w:val="Hyperlink"/>
            <w:rFonts w:ascii="Times New Roman" w:hAnsi="Times New Roman" w:cs="Times New Roman"/>
            <w:noProof/>
            <w:sz w:val="24"/>
            <w:szCs w:val="24"/>
            <w:lang w:eastAsia="en-US"/>
          </w:rPr>
          <w:t>SUPPLEMENTARY RESULTS</w:t>
        </w:r>
        <w:r w:rsidRPr="007979AB">
          <w:rPr>
            <w:rFonts w:ascii="Times New Roman" w:hAnsi="Times New Roman" w:cs="Times New Roman"/>
            <w:noProof/>
            <w:webHidden/>
            <w:sz w:val="24"/>
            <w:szCs w:val="24"/>
          </w:rPr>
          <w:tab/>
        </w:r>
        <w:r w:rsidRPr="007979AB">
          <w:rPr>
            <w:rFonts w:ascii="Times New Roman" w:hAnsi="Times New Roman" w:cs="Times New Roman"/>
            <w:noProof/>
            <w:webHidden/>
            <w:sz w:val="24"/>
            <w:szCs w:val="24"/>
          </w:rPr>
          <w:fldChar w:fldCharType="begin"/>
        </w:r>
        <w:r w:rsidRPr="007979AB">
          <w:rPr>
            <w:rFonts w:ascii="Times New Roman" w:hAnsi="Times New Roman" w:cs="Times New Roman"/>
            <w:noProof/>
            <w:webHidden/>
            <w:sz w:val="24"/>
            <w:szCs w:val="24"/>
          </w:rPr>
          <w:instrText xml:space="preserve"> PAGEREF _Toc87612717 \h </w:instrText>
        </w:r>
        <w:r w:rsidRPr="007979AB">
          <w:rPr>
            <w:rFonts w:ascii="Times New Roman" w:hAnsi="Times New Roman" w:cs="Times New Roman"/>
            <w:noProof/>
            <w:webHidden/>
            <w:sz w:val="24"/>
            <w:szCs w:val="24"/>
          </w:rPr>
        </w:r>
        <w:r w:rsidRPr="007979AB">
          <w:rPr>
            <w:rFonts w:ascii="Times New Roman" w:hAnsi="Times New Roman" w:cs="Times New Roman"/>
            <w:noProof/>
            <w:webHidden/>
            <w:sz w:val="24"/>
            <w:szCs w:val="24"/>
          </w:rPr>
          <w:fldChar w:fldCharType="separate"/>
        </w:r>
        <w:r w:rsidRPr="007979AB">
          <w:rPr>
            <w:rFonts w:ascii="Times New Roman" w:hAnsi="Times New Roman" w:cs="Times New Roman"/>
            <w:noProof/>
            <w:webHidden/>
            <w:sz w:val="24"/>
            <w:szCs w:val="24"/>
          </w:rPr>
          <w:t>4</w:t>
        </w:r>
        <w:r w:rsidRPr="007979AB">
          <w:rPr>
            <w:rFonts w:ascii="Times New Roman" w:hAnsi="Times New Roman" w:cs="Times New Roman"/>
            <w:noProof/>
            <w:webHidden/>
            <w:sz w:val="24"/>
            <w:szCs w:val="24"/>
          </w:rPr>
          <w:fldChar w:fldCharType="end"/>
        </w:r>
      </w:hyperlink>
    </w:p>
    <w:p w14:paraId="4D40DDEF"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18" w:history="1">
        <w:r w:rsidRPr="007979AB">
          <w:rPr>
            <w:rStyle w:val="Hyperlink"/>
            <w:rFonts w:ascii="Times New Roman" w:hAnsi="Times New Roman" w:cs="Times New Roman"/>
            <w:sz w:val="24"/>
            <w:szCs w:val="24"/>
          </w:rPr>
          <w:t>Patient Characteristics</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_Toc87612718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4</w:t>
        </w:r>
        <w:r w:rsidRPr="007979AB">
          <w:rPr>
            <w:rFonts w:ascii="Times New Roman" w:hAnsi="Times New Roman" w:cs="Times New Roman"/>
            <w:webHidden/>
            <w:sz w:val="24"/>
            <w:szCs w:val="24"/>
          </w:rPr>
          <w:fldChar w:fldCharType="end"/>
        </w:r>
      </w:hyperlink>
    </w:p>
    <w:p w14:paraId="4C8EF815" w14:textId="77777777" w:rsidR="00113170" w:rsidRPr="007979AB" w:rsidRDefault="00113170">
      <w:pPr>
        <w:pStyle w:val="TOC1"/>
        <w:rPr>
          <w:rFonts w:ascii="Times New Roman" w:hAnsi="Times New Roman" w:cs="Times New Roman"/>
          <w:noProof/>
          <w:sz w:val="24"/>
          <w:szCs w:val="24"/>
          <w:lang w:val="en-GB" w:eastAsia="en-GB"/>
        </w:rPr>
      </w:pPr>
      <w:hyperlink w:anchor="_Toc87612719" w:history="1">
        <w:r w:rsidRPr="007979AB">
          <w:rPr>
            <w:rStyle w:val="Hyperlink"/>
            <w:rFonts w:ascii="Times New Roman" w:hAnsi="Times New Roman" w:cs="Times New Roman"/>
            <w:noProof/>
            <w:sz w:val="24"/>
            <w:szCs w:val="24"/>
          </w:rPr>
          <w:t>SUPPLEMENTARY TABLES</w:t>
        </w:r>
        <w:r w:rsidRPr="007979AB">
          <w:rPr>
            <w:rFonts w:ascii="Times New Roman" w:hAnsi="Times New Roman" w:cs="Times New Roman"/>
            <w:noProof/>
            <w:webHidden/>
            <w:sz w:val="24"/>
            <w:szCs w:val="24"/>
          </w:rPr>
          <w:tab/>
        </w:r>
        <w:r w:rsidRPr="007979AB">
          <w:rPr>
            <w:rFonts w:ascii="Times New Roman" w:hAnsi="Times New Roman" w:cs="Times New Roman"/>
            <w:noProof/>
            <w:webHidden/>
            <w:sz w:val="24"/>
            <w:szCs w:val="24"/>
          </w:rPr>
          <w:fldChar w:fldCharType="begin"/>
        </w:r>
        <w:r w:rsidRPr="007979AB">
          <w:rPr>
            <w:rFonts w:ascii="Times New Roman" w:hAnsi="Times New Roman" w:cs="Times New Roman"/>
            <w:noProof/>
            <w:webHidden/>
            <w:sz w:val="24"/>
            <w:szCs w:val="24"/>
          </w:rPr>
          <w:instrText xml:space="preserve"> PAGEREF _Toc87612719 \h </w:instrText>
        </w:r>
        <w:r w:rsidRPr="007979AB">
          <w:rPr>
            <w:rFonts w:ascii="Times New Roman" w:hAnsi="Times New Roman" w:cs="Times New Roman"/>
            <w:noProof/>
            <w:webHidden/>
            <w:sz w:val="24"/>
            <w:szCs w:val="24"/>
          </w:rPr>
        </w:r>
        <w:r w:rsidRPr="007979AB">
          <w:rPr>
            <w:rFonts w:ascii="Times New Roman" w:hAnsi="Times New Roman" w:cs="Times New Roman"/>
            <w:noProof/>
            <w:webHidden/>
            <w:sz w:val="24"/>
            <w:szCs w:val="24"/>
          </w:rPr>
          <w:fldChar w:fldCharType="separate"/>
        </w:r>
        <w:r w:rsidRPr="007979AB">
          <w:rPr>
            <w:rFonts w:ascii="Times New Roman" w:hAnsi="Times New Roman" w:cs="Times New Roman"/>
            <w:noProof/>
            <w:webHidden/>
            <w:sz w:val="24"/>
            <w:szCs w:val="24"/>
          </w:rPr>
          <w:t>6</w:t>
        </w:r>
        <w:r w:rsidRPr="007979AB">
          <w:rPr>
            <w:rFonts w:ascii="Times New Roman" w:hAnsi="Times New Roman" w:cs="Times New Roman"/>
            <w:noProof/>
            <w:webHidden/>
            <w:sz w:val="24"/>
            <w:szCs w:val="24"/>
          </w:rPr>
          <w:fldChar w:fldCharType="end"/>
        </w:r>
      </w:hyperlink>
    </w:p>
    <w:p w14:paraId="23D02ACD"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20" w:history="1">
        <w:r w:rsidRPr="007979AB">
          <w:rPr>
            <w:rStyle w:val="Hyperlink"/>
            <w:rFonts w:ascii="Times New Roman" w:hAnsi="Times New Roman" w:cs="Times New Roman"/>
            <w:sz w:val="24"/>
            <w:szCs w:val="24"/>
          </w:rPr>
          <w:t>Supplementary Table 1. ADP-0022-004 patients screened for HLA and MAGE-A10 under screening protocol ADP-0000-001.</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_Toc87612720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6</w:t>
        </w:r>
        <w:r w:rsidRPr="007979AB">
          <w:rPr>
            <w:rFonts w:ascii="Times New Roman" w:hAnsi="Times New Roman" w:cs="Times New Roman"/>
            <w:webHidden/>
            <w:sz w:val="24"/>
            <w:szCs w:val="24"/>
          </w:rPr>
          <w:fldChar w:fldCharType="end"/>
        </w:r>
      </w:hyperlink>
    </w:p>
    <w:p w14:paraId="0406C6E7"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21" w:history="1">
        <w:r w:rsidRPr="007979AB">
          <w:rPr>
            <w:rStyle w:val="Hyperlink"/>
            <w:rFonts w:ascii="Times New Roman" w:hAnsi="Times New Roman" w:cs="Times New Roman"/>
            <w:sz w:val="24"/>
            <w:szCs w:val="24"/>
          </w:rPr>
          <w:t>Supplementary Table 2. All AEs related</w:t>
        </w:r>
        <w:r w:rsidRPr="007979AB">
          <w:rPr>
            <w:rStyle w:val="Hyperlink"/>
            <w:rFonts w:ascii="Times New Roman" w:hAnsi="Times New Roman" w:cs="Times New Roman"/>
            <w:sz w:val="24"/>
            <w:szCs w:val="24"/>
            <w:vertAlign w:val="superscript"/>
          </w:rPr>
          <w:t>a</w:t>
        </w:r>
        <w:r w:rsidRPr="007979AB">
          <w:rPr>
            <w:rStyle w:val="Hyperlink"/>
            <w:rFonts w:ascii="Times New Roman" w:hAnsi="Times New Roman" w:cs="Times New Roman"/>
            <w:sz w:val="24"/>
            <w:szCs w:val="24"/>
          </w:rPr>
          <w:t xml:space="preserve"> to ADP-A2M10 by grade ≥3 (mITT population).</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_Toc87612721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7</w:t>
        </w:r>
        <w:r w:rsidRPr="007979AB">
          <w:rPr>
            <w:rFonts w:ascii="Times New Roman" w:hAnsi="Times New Roman" w:cs="Times New Roman"/>
            <w:webHidden/>
            <w:sz w:val="24"/>
            <w:szCs w:val="24"/>
          </w:rPr>
          <w:fldChar w:fldCharType="end"/>
        </w:r>
      </w:hyperlink>
    </w:p>
    <w:p w14:paraId="130949E3"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22" w:history="1">
        <w:r w:rsidRPr="007979AB">
          <w:rPr>
            <w:rStyle w:val="Hyperlink"/>
            <w:rFonts w:ascii="Times New Roman" w:hAnsi="Times New Roman" w:cs="Times New Roman"/>
            <w:sz w:val="24"/>
            <w:szCs w:val="24"/>
          </w:rPr>
          <w:t>Supplementary Table 3. Peak persistence and time to peak persistence by dose group (mITT population).</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_Toc87612722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8</w:t>
        </w:r>
        <w:r w:rsidRPr="007979AB">
          <w:rPr>
            <w:rFonts w:ascii="Times New Roman" w:hAnsi="Times New Roman" w:cs="Times New Roman"/>
            <w:webHidden/>
            <w:sz w:val="24"/>
            <w:szCs w:val="24"/>
          </w:rPr>
          <w:fldChar w:fldCharType="end"/>
        </w:r>
      </w:hyperlink>
    </w:p>
    <w:p w14:paraId="66644541" w14:textId="77777777" w:rsidR="00113170" w:rsidRPr="007979AB" w:rsidRDefault="00113170">
      <w:pPr>
        <w:pStyle w:val="TOC1"/>
        <w:rPr>
          <w:rFonts w:ascii="Times New Roman" w:hAnsi="Times New Roman" w:cs="Times New Roman"/>
          <w:noProof/>
          <w:sz w:val="24"/>
          <w:szCs w:val="24"/>
          <w:lang w:val="en-GB" w:eastAsia="en-GB"/>
        </w:rPr>
      </w:pPr>
      <w:hyperlink w:anchor="_Toc87612723" w:history="1">
        <w:r w:rsidRPr="007979AB">
          <w:rPr>
            <w:rStyle w:val="Hyperlink"/>
            <w:rFonts w:ascii="Times New Roman" w:hAnsi="Times New Roman" w:cs="Times New Roman"/>
            <w:noProof/>
            <w:sz w:val="24"/>
            <w:szCs w:val="24"/>
          </w:rPr>
          <w:t>SUPPLEMENTARY FIGURES</w:t>
        </w:r>
        <w:r w:rsidRPr="007979AB">
          <w:rPr>
            <w:rFonts w:ascii="Times New Roman" w:hAnsi="Times New Roman" w:cs="Times New Roman"/>
            <w:noProof/>
            <w:webHidden/>
            <w:sz w:val="24"/>
            <w:szCs w:val="24"/>
          </w:rPr>
          <w:tab/>
        </w:r>
        <w:r w:rsidRPr="007979AB">
          <w:rPr>
            <w:rFonts w:ascii="Times New Roman" w:hAnsi="Times New Roman" w:cs="Times New Roman"/>
            <w:noProof/>
            <w:webHidden/>
            <w:sz w:val="24"/>
            <w:szCs w:val="24"/>
          </w:rPr>
          <w:fldChar w:fldCharType="begin"/>
        </w:r>
        <w:r w:rsidRPr="007979AB">
          <w:rPr>
            <w:rFonts w:ascii="Times New Roman" w:hAnsi="Times New Roman" w:cs="Times New Roman"/>
            <w:noProof/>
            <w:webHidden/>
            <w:sz w:val="24"/>
            <w:szCs w:val="24"/>
          </w:rPr>
          <w:instrText xml:space="preserve"> PAGEREF _Toc87612723 \h </w:instrText>
        </w:r>
        <w:r w:rsidRPr="007979AB">
          <w:rPr>
            <w:rFonts w:ascii="Times New Roman" w:hAnsi="Times New Roman" w:cs="Times New Roman"/>
            <w:noProof/>
            <w:webHidden/>
            <w:sz w:val="24"/>
            <w:szCs w:val="24"/>
          </w:rPr>
        </w:r>
        <w:r w:rsidRPr="007979AB">
          <w:rPr>
            <w:rFonts w:ascii="Times New Roman" w:hAnsi="Times New Roman" w:cs="Times New Roman"/>
            <w:noProof/>
            <w:webHidden/>
            <w:sz w:val="24"/>
            <w:szCs w:val="24"/>
          </w:rPr>
          <w:fldChar w:fldCharType="separate"/>
        </w:r>
        <w:r w:rsidRPr="007979AB">
          <w:rPr>
            <w:rFonts w:ascii="Times New Roman" w:hAnsi="Times New Roman" w:cs="Times New Roman"/>
            <w:noProof/>
            <w:webHidden/>
            <w:sz w:val="24"/>
            <w:szCs w:val="24"/>
          </w:rPr>
          <w:t>9</w:t>
        </w:r>
        <w:r w:rsidRPr="007979AB">
          <w:rPr>
            <w:rFonts w:ascii="Times New Roman" w:hAnsi="Times New Roman" w:cs="Times New Roman"/>
            <w:noProof/>
            <w:webHidden/>
            <w:sz w:val="24"/>
            <w:szCs w:val="24"/>
          </w:rPr>
          <w:fldChar w:fldCharType="end"/>
        </w:r>
      </w:hyperlink>
    </w:p>
    <w:p w14:paraId="2FC1CCDE"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24" w:history="1">
        <w:r w:rsidRPr="007979AB">
          <w:rPr>
            <w:rStyle w:val="Hyperlink"/>
            <w:rFonts w:ascii="Times New Roman" w:hAnsi="Times New Roman" w:cs="Times New Roman"/>
            <w:sz w:val="24"/>
            <w:szCs w:val="24"/>
          </w:rPr>
          <w:t>Supplementary Figure 1. Patient disposition.</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_Toc87612724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9</w:t>
        </w:r>
        <w:r w:rsidRPr="007979AB">
          <w:rPr>
            <w:rFonts w:ascii="Times New Roman" w:hAnsi="Times New Roman" w:cs="Times New Roman"/>
            <w:webHidden/>
            <w:sz w:val="24"/>
            <w:szCs w:val="24"/>
          </w:rPr>
          <w:fldChar w:fldCharType="end"/>
        </w:r>
      </w:hyperlink>
    </w:p>
    <w:p w14:paraId="38DD3CF6"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25" w:history="1">
        <w:r w:rsidRPr="007979AB">
          <w:rPr>
            <w:rStyle w:val="Hyperlink"/>
            <w:rFonts w:ascii="Times New Roman" w:hAnsi="Times New Roman" w:cs="Times New Roman"/>
            <w:sz w:val="24"/>
            <w:szCs w:val="24"/>
          </w:rPr>
          <w:t>Supplementary Figure 2. Elevation of selected serum cytokines after infusion in mITT population.</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_Toc87612725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10</w:t>
        </w:r>
        <w:r w:rsidRPr="007979AB">
          <w:rPr>
            <w:rFonts w:ascii="Times New Roman" w:hAnsi="Times New Roman" w:cs="Times New Roman"/>
            <w:webHidden/>
            <w:sz w:val="24"/>
            <w:szCs w:val="24"/>
          </w:rPr>
          <w:fldChar w:fldCharType="end"/>
        </w:r>
      </w:hyperlink>
    </w:p>
    <w:p w14:paraId="1A787AD1"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26" w:history="1">
        <w:r w:rsidRPr="007979AB">
          <w:rPr>
            <w:rStyle w:val="Hyperlink"/>
            <w:rFonts w:ascii="Times New Roman" w:hAnsi="Times New Roman" w:cs="Times New Roman"/>
            <w:sz w:val="24"/>
            <w:szCs w:val="24"/>
          </w:rPr>
          <w:t>Supplementary Figure 3. There was no evidence of enrichment of ADP-A2M10 in bone marrow of patient 10 compared with peripheral blood.</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_Toc87612726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11</w:t>
        </w:r>
        <w:r w:rsidRPr="007979AB">
          <w:rPr>
            <w:rFonts w:ascii="Times New Roman" w:hAnsi="Times New Roman" w:cs="Times New Roman"/>
            <w:webHidden/>
            <w:sz w:val="24"/>
            <w:szCs w:val="24"/>
          </w:rPr>
          <w:fldChar w:fldCharType="end"/>
        </w:r>
      </w:hyperlink>
    </w:p>
    <w:p w14:paraId="1B0C686A" w14:textId="77777777" w:rsidR="00113170" w:rsidRPr="007979AB" w:rsidRDefault="00113170">
      <w:pPr>
        <w:pStyle w:val="TOC2"/>
        <w:rPr>
          <w:rFonts w:ascii="Times New Roman" w:eastAsiaTheme="minorEastAsia" w:hAnsi="Times New Roman" w:cs="Times New Roman"/>
          <w:sz w:val="24"/>
          <w:szCs w:val="24"/>
          <w:lang w:val="en-GB" w:eastAsia="en-GB"/>
        </w:rPr>
      </w:pPr>
      <w:hyperlink w:anchor="_Toc87612727" w:history="1">
        <w:r w:rsidRPr="007979AB">
          <w:rPr>
            <w:rStyle w:val="Hyperlink"/>
            <w:rFonts w:ascii="Times New Roman" w:hAnsi="Times New Roman" w:cs="Times New Roman"/>
            <w:sz w:val="24"/>
            <w:szCs w:val="24"/>
          </w:rPr>
          <w:t>Supplementary Figure 4. Variability of APM, CD3+ T-cell, CD8+ T-cell, and T-cell exhaustion gene signature expression in pre-infusion tumor tissue across the patients.</w:t>
        </w:r>
        <w:r w:rsidRPr="007979AB">
          <w:rPr>
            <w:rFonts w:ascii="Times New Roman" w:hAnsi="Times New Roman" w:cs="Times New Roman"/>
            <w:webHidden/>
            <w:sz w:val="24"/>
            <w:szCs w:val="24"/>
          </w:rPr>
          <w:tab/>
        </w:r>
        <w:r w:rsidRPr="007979AB">
          <w:rPr>
            <w:rFonts w:ascii="Times New Roman" w:hAnsi="Times New Roman" w:cs="Times New Roman"/>
            <w:webHidden/>
            <w:sz w:val="24"/>
            <w:szCs w:val="24"/>
          </w:rPr>
          <w:fldChar w:fldCharType="begin"/>
        </w:r>
        <w:r w:rsidRPr="007979AB">
          <w:rPr>
            <w:rFonts w:ascii="Times New Roman" w:hAnsi="Times New Roman" w:cs="Times New Roman"/>
            <w:webHidden/>
            <w:sz w:val="24"/>
            <w:szCs w:val="24"/>
          </w:rPr>
          <w:instrText xml:space="preserve"> PAGEREF _Toc87612727 \h </w:instrText>
        </w:r>
        <w:r w:rsidRPr="007979AB">
          <w:rPr>
            <w:rFonts w:ascii="Times New Roman" w:hAnsi="Times New Roman" w:cs="Times New Roman"/>
            <w:webHidden/>
            <w:sz w:val="24"/>
            <w:szCs w:val="24"/>
          </w:rPr>
        </w:r>
        <w:r w:rsidRPr="007979AB">
          <w:rPr>
            <w:rFonts w:ascii="Times New Roman" w:hAnsi="Times New Roman" w:cs="Times New Roman"/>
            <w:webHidden/>
            <w:sz w:val="24"/>
            <w:szCs w:val="24"/>
          </w:rPr>
          <w:fldChar w:fldCharType="separate"/>
        </w:r>
        <w:r w:rsidRPr="007979AB">
          <w:rPr>
            <w:rFonts w:ascii="Times New Roman" w:hAnsi="Times New Roman" w:cs="Times New Roman"/>
            <w:webHidden/>
            <w:sz w:val="24"/>
            <w:szCs w:val="24"/>
          </w:rPr>
          <w:t>12</w:t>
        </w:r>
        <w:r w:rsidRPr="007979AB">
          <w:rPr>
            <w:rFonts w:ascii="Times New Roman" w:hAnsi="Times New Roman" w:cs="Times New Roman"/>
            <w:webHidden/>
            <w:sz w:val="24"/>
            <w:szCs w:val="24"/>
          </w:rPr>
          <w:fldChar w:fldCharType="end"/>
        </w:r>
      </w:hyperlink>
    </w:p>
    <w:p w14:paraId="460E5EBC" w14:textId="77777777" w:rsidR="00113170" w:rsidRPr="00661AD1" w:rsidRDefault="00113170">
      <w:pPr>
        <w:pStyle w:val="TOC1"/>
        <w:rPr>
          <w:rFonts w:ascii="Times New Roman" w:hAnsi="Times New Roman" w:cs="Times New Roman"/>
          <w:noProof/>
          <w:sz w:val="24"/>
          <w:szCs w:val="24"/>
          <w:lang w:val="en-GB" w:eastAsia="en-GB"/>
        </w:rPr>
      </w:pPr>
      <w:hyperlink w:anchor="_Toc87612728" w:history="1">
        <w:r w:rsidRPr="007979AB">
          <w:rPr>
            <w:rStyle w:val="Hyperlink"/>
            <w:rFonts w:ascii="Times New Roman" w:hAnsi="Times New Roman" w:cs="Times New Roman"/>
            <w:noProof/>
            <w:sz w:val="24"/>
            <w:szCs w:val="24"/>
            <w:lang w:eastAsia="en-US"/>
          </w:rPr>
          <w:t>REFERENCES</w:t>
        </w:r>
        <w:r w:rsidRPr="007979AB">
          <w:rPr>
            <w:rFonts w:ascii="Times New Roman" w:hAnsi="Times New Roman" w:cs="Times New Roman"/>
            <w:noProof/>
            <w:webHidden/>
            <w:sz w:val="24"/>
            <w:szCs w:val="24"/>
          </w:rPr>
          <w:tab/>
        </w:r>
        <w:r w:rsidRPr="007979AB">
          <w:rPr>
            <w:rFonts w:ascii="Times New Roman" w:hAnsi="Times New Roman" w:cs="Times New Roman"/>
            <w:noProof/>
            <w:webHidden/>
            <w:sz w:val="24"/>
            <w:szCs w:val="24"/>
          </w:rPr>
          <w:fldChar w:fldCharType="begin"/>
        </w:r>
        <w:r w:rsidRPr="007979AB">
          <w:rPr>
            <w:rFonts w:ascii="Times New Roman" w:hAnsi="Times New Roman" w:cs="Times New Roman"/>
            <w:noProof/>
            <w:webHidden/>
            <w:sz w:val="24"/>
            <w:szCs w:val="24"/>
          </w:rPr>
          <w:instrText xml:space="preserve"> PAGEREF _Toc87612728 \h </w:instrText>
        </w:r>
        <w:r w:rsidRPr="007979AB">
          <w:rPr>
            <w:rFonts w:ascii="Times New Roman" w:hAnsi="Times New Roman" w:cs="Times New Roman"/>
            <w:noProof/>
            <w:webHidden/>
            <w:sz w:val="24"/>
            <w:szCs w:val="24"/>
          </w:rPr>
        </w:r>
        <w:r w:rsidRPr="007979AB">
          <w:rPr>
            <w:rFonts w:ascii="Times New Roman" w:hAnsi="Times New Roman" w:cs="Times New Roman"/>
            <w:noProof/>
            <w:webHidden/>
            <w:sz w:val="24"/>
            <w:szCs w:val="24"/>
          </w:rPr>
          <w:fldChar w:fldCharType="separate"/>
        </w:r>
        <w:r w:rsidRPr="007979AB">
          <w:rPr>
            <w:rFonts w:ascii="Times New Roman" w:hAnsi="Times New Roman" w:cs="Times New Roman"/>
            <w:noProof/>
            <w:webHidden/>
            <w:sz w:val="24"/>
            <w:szCs w:val="24"/>
          </w:rPr>
          <w:t>13</w:t>
        </w:r>
        <w:r w:rsidRPr="007979AB">
          <w:rPr>
            <w:rFonts w:ascii="Times New Roman" w:hAnsi="Times New Roman" w:cs="Times New Roman"/>
            <w:noProof/>
            <w:webHidden/>
            <w:sz w:val="24"/>
            <w:szCs w:val="24"/>
          </w:rPr>
          <w:fldChar w:fldCharType="end"/>
        </w:r>
      </w:hyperlink>
    </w:p>
    <w:p w14:paraId="30551CED" w14:textId="77777777" w:rsidR="00113170" w:rsidRPr="00B95108" w:rsidRDefault="00113170" w:rsidP="00661AD1">
      <w:pPr>
        <w:tabs>
          <w:tab w:val="right" w:leader="dot" w:pos="9350"/>
        </w:tabs>
        <w:rPr>
          <w:rFonts w:ascii="Times New Roman" w:eastAsiaTheme="minorHAnsi" w:hAnsi="Times New Roman" w:cs="Times New Roman"/>
          <w:sz w:val="24"/>
          <w:szCs w:val="24"/>
          <w:lang w:eastAsia="en-US"/>
        </w:rPr>
      </w:pPr>
      <w:r w:rsidRPr="00256CD5">
        <w:rPr>
          <w:rFonts w:ascii="Times New Roman" w:hAnsi="Times New Roman" w:cs="Times New Roman"/>
          <w:bCs/>
          <w:sz w:val="24"/>
          <w:szCs w:val="24"/>
        </w:rPr>
        <w:fldChar w:fldCharType="end"/>
      </w:r>
      <w:r w:rsidRPr="00B95108">
        <w:rPr>
          <w:rFonts w:ascii="Times New Roman" w:eastAsiaTheme="minorHAnsi" w:hAnsi="Times New Roman" w:cs="Times New Roman"/>
          <w:sz w:val="24"/>
          <w:szCs w:val="24"/>
          <w:lang w:eastAsia="en-US"/>
        </w:rPr>
        <w:br w:type="page"/>
      </w:r>
    </w:p>
    <w:p w14:paraId="4C4386A4" w14:textId="77777777" w:rsidR="00113170" w:rsidRPr="00B95108" w:rsidRDefault="00113170" w:rsidP="00661AD1">
      <w:pPr>
        <w:pStyle w:val="Heading1"/>
        <w:spacing w:after="0" w:line="240" w:lineRule="auto"/>
        <w:rPr>
          <w:rFonts w:ascii="Times New Roman" w:eastAsiaTheme="minorHAnsi" w:hAnsi="Times New Roman" w:cs="Times New Roman"/>
          <w:sz w:val="24"/>
          <w:szCs w:val="24"/>
          <w:lang w:eastAsia="en-US"/>
        </w:rPr>
      </w:pPr>
      <w:bookmarkStart w:id="1" w:name="_Toc86335011"/>
      <w:bookmarkStart w:id="2" w:name="_Toc87612710"/>
      <w:bookmarkStart w:id="3" w:name="_Hlk76455924"/>
      <w:r w:rsidRPr="00B95108">
        <w:rPr>
          <w:rFonts w:ascii="Times New Roman" w:eastAsiaTheme="minorHAnsi" w:hAnsi="Times New Roman" w:cs="Times New Roman"/>
          <w:sz w:val="24"/>
          <w:szCs w:val="24"/>
          <w:lang w:eastAsia="en-US"/>
        </w:rPr>
        <w:lastRenderedPageBreak/>
        <w:t>SUPPLEMENTARY METHODS</w:t>
      </w:r>
      <w:bookmarkEnd w:id="1"/>
      <w:bookmarkEnd w:id="2"/>
    </w:p>
    <w:p w14:paraId="5591138C" w14:textId="77777777" w:rsidR="00113170" w:rsidRPr="00B95108" w:rsidRDefault="00113170" w:rsidP="00661AD1">
      <w:pPr>
        <w:pStyle w:val="Heading2"/>
        <w:spacing w:after="0" w:line="240" w:lineRule="auto"/>
        <w:rPr>
          <w:rFonts w:ascii="Times New Roman" w:eastAsiaTheme="minorHAnsi" w:hAnsi="Times New Roman" w:cs="Times New Roman"/>
          <w:sz w:val="24"/>
          <w:szCs w:val="24"/>
        </w:rPr>
      </w:pPr>
      <w:bookmarkStart w:id="4" w:name="_Toc86335012"/>
      <w:bookmarkStart w:id="5" w:name="_Toc87612711"/>
      <w:bookmarkEnd w:id="3"/>
      <w:r w:rsidRPr="00B95108">
        <w:rPr>
          <w:rFonts w:ascii="Times New Roman" w:eastAsiaTheme="minorHAnsi" w:hAnsi="Times New Roman" w:cs="Times New Roman"/>
          <w:sz w:val="24"/>
          <w:szCs w:val="24"/>
        </w:rPr>
        <w:t>HLA and MAGE-A10 Testing</w:t>
      </w:r>
      <w:bookmarkStart w:id="6" w:name="_Hlk76460144"/>
      <w:bookmarkEnd w:id="4"/>
      <w:bookmarkEnd w:id="5"/>
    </w:p>
    <w:p w14:paraId="39A7D71F" w14:textId="77777777" w:rsidR="00113170" w:rsidRPr="006D5552" w:rsidRDefault="00113170" w:rsidP="00661AD1">
      <w:pPr>
        <w:spacing w:after="0" w:line="240" w:lineRule="auto"/>
        <w:ind w:firstLine="720"/>
        <w:rPr>
          <w:rFonts w:ascii="Times New Roman" w:hAnsi="Times New Roman"/>
          <w:sz w:val="24"/>
        </w:rPr>
      </w:pPr>
      <w:bookmarkStart w:id="7" w:name="_Hlk76460161"/>
      <w:bookmarkEnd w:id="6"/>
      <w:r w:rsidRPr="00B95108">
        <w:rPr>
          <w:rFonts w:ascii="Times New Roman" w:eastAsiaTheme="minorHAnsi" w:hAnsi="Times New Roman" w:cs="Times New Roman"/>
          <w:sz w:val="24"/>
          <w:szCs w:val="24"/>
          <w:lang w:eastAsia="en-US"/>
        </w:rPr>
        <w:t xml:space="preserve">Patients had to be positive for human leukocyte antigen (HLA)-A*02:01 and/or HLA-A*02:06 alleles and negative for HLA*02:05, HLA-B*15:01, and/or HLA-B*46:01, as determined by central testing at the Histocompatibility and Molecular Genetics Laboratory, American Red Cross (Philadelphia, Pennsylvania). </w:t>
      </w:r>
      <w:r>
        <w:rPr>
          <w:rFonts w:ascii="Times New Roman" w:eastAsiaTheme="minorHAnsi" w:hAnsi="Times New Roman" w:cs="Times New Roman"/>
          <w:sz w:val="24"/>
          <w:szCs w:val="24"/>
          <w:lang w:eastAsia="en-US"/>
        </w:rPr>
        <w:t xml:space="preserve">Exclusions for HLA-A*02:05, B*15:01 and B*46:01 </w:t>
      </w:r>
      <w:proofErr w:type="gramStart"/>
      <w:r>
        <w:rPr>
          <w:rFonts w:ascii="Times New Roman" w:eastAsiaTheme="minorHAnsi" w:hAnsi="Times New Roman" w:cs="Times New Roman"/>
          <w:sz w:val="24"/>
          <w:szCs w:val="24"/>
          <w:lang w:eastAsia="en-US"/>
        </w:rPr>
        <w:t>were implemented</w:t>
      </w:r>
      <w:proofErr w:type="gramEnd"/>
      <w:r>
        <w:rPr>
          <w:rFonts w:ascii="Times New Roman" w:eastAsiaTheme="minorHAnsi" w:hAnsi="Times New Roman" w:cs="Times New Roman"/>
          <w:sz w:val="24"/>
          <w:szCs w:val="24"/>
          <w:lang w:eastAsia="en-US"/>
        </w:rPr>
        <w:t xml:space="preserve"> due to potential </w:t>
      </w:r>
      <w:r w:rsidRPr="00B95108">
        <w:rPr>
          <w:rFonts w:ascii="Times New Roman" w:hAnsi="Times New Roman" w:cs="Times New Roman"/>
          <w:sz w:val="24"/>
          <w:szCs w:val="24"/>
        </w:rPr>
        <w:t xml:space="preserve">T-cell receptor (TCR) </w:t>
      </w:r>
      <w:r>
        <w:rPr>
          <w:rFonts w:ascii="Times New Roman" w:eastAsiaTheme="minorHAnsi" w:hAnsi="Times New Roman" w:cs="Times New Roman"/>
          <w:sz w:val="24"/>
          <w:szCs w:val="24"/>
          <w:lang w:eastAsia="en-US"/>
        </w:rPr>
        <w:t>alloreactivity concerns raised during preclinical evaluation of the TCR (</w:t>
      </w:r>
      <w:r w:rsidRPr="007A68F6">
        <w:rPr>
          <w:rFonts w:ascii="Times New Roman" w:hAnsi="Times New Roman" w:cs="Times New Roman"/>
          <w:sz w:val="24"/>
          <w:szCs w:val="24"/>
        </w:rPr>
        <w:t xml:space="preserve">Adaptimmune, </w:t>
      </w:r>
      <w:r>
        <w:rPr>
          <w:rFonts w:ascii="Times New Roman" w:eastAsiaTheme="minorHAnsi" w:hAnsi="Times New Roman" w:cs="Times New Roman"/>
          <w:sz w:val="24"/>
          <w:szCs w:val="24"/>
          <w:lang w:eastAsia="en-US"/>
        </w:rPr>
        <w:t xml:space="preserve">data not shown). </w:t>
      </w:r>
      <w:r w:rsidRPr="00B95108">
        <w:rPr>
          <w:rFonts w:ascii="Times New Roman" w:eastAsiaTheme="minorHAnsi" w:hAnsi="Times New Roman" w:cs="Times New Roman"/>
          <w:sz w:val="24"/>
          <w:szCs w:val="24"/>
          <w:lang w:eastAsia="en-US"/>
        </w:rPr>
        <w:t xml:space="preserve">In addition, tumor </w:t>
      </w:r>
      <w:r>
        <w:rPr>
          <w:rFonts w:ascii="Times New Roman" w:eastAsiaTheme="minorHAnsi" w:hAnsi="Times New Roman" w:cs="Times New Roman"/>
          <w:sz w:val="24"/>
          <w:szCs w:val="24"/>
          <w:lang w:eastAsia="en-US"/>
        </w:rPr>
        <w:t xml:space="preserve">samples </w:t>
      </w:r>
      <w:r w:rsidRPr="00B95108">
        <w:rPr>
          <w:rFonts w:ascii="Times New Roman" w:eastAsiaTheme="minorHAnsi" w:hAnsi="Times New Roman" w:cs="Times New Roman"/>
          <w:sz w:val="24"/>
          <w:szCs w:val="24"/>
          <w:lang w:eastAsia="en-US"/>
        </w:rPr>
        <w:t>(either an archival specimen or a fresh biopsy) w</w:t>
      </w:r>
      <w:r>
        <w:rPr>
          <w:rFonts w:ascii="Times New Roman" w:eastAsiaTheme="minorHAnsi" w:hAnsi="Times New Roman" w:cs="Times New Roman"/>
          <w:sz w:val="24"/>
          <w:szCs w:val="24"/>
          <w:lang w:eastAsia="en-US"/>
        </w:rPr>
        <w:t>ere</w:t>
      </w:r>
      <w:r w:rsidRPr="00B95108">
        <w:rPr>
          <w:rFonts w:ascii="Times New Roman" w:eastAsiaTheme="minorHAnsi" w:hAnsi="Times New Roman" w:cs="Times New Roman"/>
          <w:sz w:val="24"/>
          <w:szCs w:val="24"/>
          <w:lang w:eastAsia="en-US"/>
        </w:rPr>
        <w:t xml:space="preserve"> pathologically reviewed, and </w:t>
      </w:r>
      <w:r w:rsidRPr="00B95108">
        <w:rPr>
          <w:rFonts w:ascii="Times New Roman" w:hAnsi="Times New Roman" w:cs="Times New Roman"/>
          <w:sz w:val="24"/>
          <w:szCs w:val="24"/>
        </w:rPr>
        <w:t>melanoma-associated antigen</w:t>
      </w:r>
      <w:r w:rsidRPr="00B95108">
        <w:rPr>
          <w:rFonts w:ascii="Times New Roman" w:eastAsiaTheme="minorHAnsi" w:hAnsi="Times New Roman" w:cs="Times New Roman"/>
          <w:sz w:val="24"/>
          <w:szCs w:val="24"/>
          <w:lang w:eastAsia="en-US"/>
        </w:rPr>
        <w:t xml:space="preserve"> </w:t>
      </w:r>
      <w:r w:rsidRPr="006D5552">
        <w:rPr>
          <w:rFonts w:ascii="Times New Roman" w:hAnsi="Times New Roman"/>
          <w:color w:val="000000" w:themeColor="text1"/>
          <w:sz w:val="24"/>
        </w:rPr>
        <w:t xml:space="preserve">(MAGE)-A10 immunohistochemical (IHC) staining was performed by QualTek Molecular Laboratories (Goleta, </w:t>
      </w:r>
      <w:r w:rsidRPr="006D5552">
        <w:rPr>
          <w:rFonts w:ascii="Times New Roman" w:hAnsi="Times New Roman"/>
          <w:sz w:val="24"/>
        </w:rPr>
        <w:t>California</w:t>
      </w:r>
      <w:r w:rsidRPr="006D5552">
        <w:rPr>
          <w:rFonts w:ascii="Times New Roman" w:eastAsiaTheme="minorHAnsi" w:hAnsi="Times New Roman" w:cs="Times New Roman"/>
          <w:sz w:val="24"/>
          <w:szCs w:val="24"/>
          <w:lang w:eastAsia="en-US"/>
        </w:rPr>
        <w:t>) using an affinity-purified goat polyclonal antibody (MAGE-A10 (S-14): sc-324906; Santa Cruz Biotechnology, Santa Cruz, C</w:t>
      </w:r>
      <w:r>
        <w:rPr>
          <w:rFonts w:ascii="Times New Roman" w:eastAsiaTheme="minorHAnsi" w:hAnsi="Times New Roman" w:cs="Times New Roman"/>
          <w:sz w:val="24"/>
          <w:szCs w:val="24"/>
          <w:lang w:eastAsia="en-US"/>
        </w:rPr>
        <w:t>alifornia</w:t>
      </w:r>
      <w:r w:rsidRPr="006D5552">
        <w:rPr>
          <w:rFonts w:ascii="Times New Roman" w:eastAsiaTheme="minorHAnsi" w:hAnsi="Times New Roman" w:cs="Times New Roman"/>
          <w:sz w:val="24"/>
          <w:szCs w:val="24"/>
          <w:lang w:eastAsia="en-US"/>
        </w:rPr>
        <w:t xml:space="preserve">) in a </w:t>
      </w:r>
      <w:r w:rsidRPr="001C111D">
        <w:rPr>
          <w:rFonts w:ascii="Times New Roman" w:eastAsiaTheme="minorHAnsi" w:hAnsi="Times New Roman" w:cs="Times New Roman"/>
          <w:sz w:val="24"/>
          <w:szCs w:val="24"/>
          <w:lang w:eastAsia="en-US"/>
        </w:rPr>
        <w:t>Clinical Laboratory Improvement Amendments</w:t>
      </w:r>
      <w:r>
        <w:rPr>
          <w:rFonts w:ascii="Times New Roman" w:eastAsiaTheme="minorHAnsi" w:hAnsi="Times New Roman" w:cs="Times New Roman"/>
          <w:sz w:val="24"/>
          <w:szCs w:val="24"/>
          <w:lang w:eastAsia="en-US"/>
        </w:rPr>
        <w:t>-</w:t>
      </w:r>
      <w:r w:rsidRPr="001C111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6D5552">
        <w:rPr>
          <w:rFonts w:ascii="Times New Roman" w:eastAsiaTheme="minorHAnsi" w:hAnsi="Times New Roman" w:cs="Times New Roman"/>
          <w:sz w:val="24"/>
          <w:szCs w:val="24"/>
          <w:lang w:eastAsia="en-US"/>
        </w:rPr>
        <w:t>CLIA-</w:t>
      </w:r>
      <w:r>
        <w:rPr>
          <w:rFonts w:ascii="Times New Roman" w:eastAsiaTheme="minorHAnsi" w:hAnsi="Times New Roman" w:cs="Times New Roman"/>
          <w:sz w:val="24"/>
          <w:szCs w:val="24"/>
          <w:lang w:eastAsia="en-US"/>
        </w:rPr>
        <w:t xml:space="preserve">) </w:t>
      </w:r>
      <w:r w:rsidRPr="006D5552">
        <w:rPr>
          <w:rFonts w:ascii="Times New Roman" w:eastAsiaTheme="minorHAnsi" w:hAnsi="Times New Roman" w:cs="Times New Roman"/>
          <w:sz w:val="24"/>
          <w:szCs w:val="24"/>
          <w:lang w:eastAsia="en-US"/>
        </w:rPr>
        <w:t>validated assay.</w:t>
      </w:r>
    </w:p>
    <w:p w14:paraId="76F4A45D" w14:textId="77777777" w:rsidR="00113170" w:rsidRPr="00B95108" w:rsidRDefault="00113170" w:rsidP="00661AD1">
      <w:pPr>
        <w:spacing w:after="0" w:line="240" w:lineRule="auto"/>
        <w:ind w:firstLine="720"/>
        <w:rPr>
          <w:rFonts w:ascii="Times New Roman" w:eastAsiaTheme="minorHAnsi" w:hAnsi="Times New Roman" w:cs="Times New Roman"/>
          <w:sz w:val="24"/>
          <w:szCs w:val="24"/>
          <w:lang w:eastAsia="en-US"/>
        </w:rPr>
      </w:pPr>
      <w:r w:rsidRPr="00B95108">
        <w:rPr>
          <w:rFonts w:ascii="Times New Roman" w:eastAsiaTheme="minorHAnsi" w:hAnsi="Times New Roman" w:cs="Times New Roman"/>
          <w:sz w:val="24"/>
          <w:szCs w:val="24"/>
          <w:lang w:eastAsia="en-US"/>
        </w:rPr>
        <w:t xml:space="preserve">Using a MAGE-A10 clinical trial assay (analytically validated and certified by the </w:t>
      </w:r>
      <w:r>
        <w:rPr>
          <w:rFonts w:ascii="Times New Roman" w:eastAsiaTheme="minorHAnsi" w:hAnsi="Times New Roman" w:cs="Times New Roman"/>
          <w:sz w:val="24"/>
          <w:szCs w:val="24"/>
          <w:lang w:eastAsia="en-US"/>
        </w:rPr>
        <w:t>CLIA</w:t>
      </w:r>
      <w:r w:rsidRPr="00B95108">
        <w:rPr>
          <w:rFonts w:ascii="Times New Roman" w:eastAsiaTheme="minorHAnsi" w:hAnsi="Times New Roman" w:cs="Times New Roman"/>
          <w:sz w:val="24"/>
          <w:szCs w:val="24"/>
          <w:lang w:eastAsia="en-US"/>
        </w:rPr>
        <w:t xml:space="preserve">), IHC positivity was determined by a pathologist based on both percentage of positive tumor cells and intensity of expression, as determined by percent score of IHC staining. All treated patients’ tumor biopsies had ≥30% of tumor cells that were ≥2+ and/or 3+ intensity by IHC staining except patient 4 (dose group 3), whose percent score was 25%. Tumor MAGE-A10 expression for eligibility </w:t>
      </w:r>
      <w:proofErr w:type="gramStart"/>
      <w:r w:rsidRPr="00B95108">
        <w:rPr>
          <w:rFonts w:ascii="Times New Roman" w:eastAsiaTheme="minorHAnsi" w:hAnsi="Times New Roman" w:cs="Times New Roman"/>
          <w:sz w:val="24"/>
          <w:szCs w:val="24"/>
          <w:lang w:eastAsia="en-US"/>
        </w:rPr>
        <w:t>was derived</w:t>
      </w:r>
      <w:proofErr w:type="gramEnd"/>
      <w:r w:rsidRPr="00B95108">
        <w:rPr>
          <w:rFonts w:ascii="Times New Roman" w:eastAsiaTheme="minorHAnsi" w:hAnsi="Times New Roman" w:cs="Times New Roman"/>
          <w:sz w:val="24"/>
          <w:szCs w:val="24"/>
          <w:lang w:eastAsia="en-US"/>
        </w:rPr>
        <w:t xml:space="preserve"> by calculating P-score and presented for translational correlative studies using Histoscore (H-score). Tumor biopsies of all treated patients met the expression requirements at the time of screening. The H-score </w:t>
      </w:r>
      <w:proofErr w:type="gramStart"/>
      <w:r w:rsidRPr="00B95108">
        <w:rPr>
          <w:rFonts w:ascii="Times New Roman" w:eastAsiaTheme="minorHAnsi" w:hAnsi="Times New Roman" w:cs="Times New Roman"/>
          <w:sz w:val="24"/>
          <w:szCs w:val="24"/>
          <w:lang w:eastAsia="en-US"/>
        </w:rPr>
        <w:t>was derived</w:t>
      </w:r>
      <w:proofErr w:type="gramEnd"/>
      <w:r w:rsidRPr="00B95108">
        <w:rPr>
          <w:rFonts w:ascii="Times New Roman" w:eastAsiaTheme="minorHAnsi" w:hAnsi="Times New Roman" w:cs="Times New Roman"/>
          <w:sz w:val="24"/>
          <w:szCs w:val="24"/>
          <w:lang w:eastAsia="en-US"/>
        </w:rPr>
        <w:t xml:space="preserve"> from the P-score by 1 × (% of 1+ cells) + 2 × (% of 2+ cells) + 3 × (% of 3+ cells). HLA screening and MAGE-A10 IHC testing was performed </w:t>
      </w:r>
      <w:r>
        <w:rPr>
          <w:rFonts w:ascii="Times New Roman" w:eastAsiaTheme="minorHAnsi" w:hAnsi="Times New Roman" w:cs="Times New Roman"/>
          <w:sz w:val="24"/>
          <w:szCs w:val="24"/>
          <w:lang w:eastAsia="en-US"/>
        </w:rPr>
        <w:t>according to the</w:t>
      </w:r>
      <w:r w:rsidRPr="00B95108">
        <w:rPr>
          <w:rFonts w:ascii="Times New Roman" w:eastAsiaTheme="minorHAnsi" w:hAnsi="Times New Roman" w:cs="Times New Roman"/>
          <w:sz w:val="24"/>
          <w:szCs w:val="24"/>
          <w:lang w:eastAsia="en-US"/>
        </w:rPr>
        <w:t xml:space="preserve"> protocol, ADP-0000-001</w:t>
      </w:r>
      <w:r>
        <w:rPr>
          <w:rFonts w:ascii="Times New Roman" w:eastAsiaTheme="minorHAnsi" w:hAnsi="Times New Roman" w:cs="Times New Roman"/>
          <w:sz w:val="24"/>
          <w:szCs w:val="24"/>
          <w:lang w:eastAsia="en-US"/>
        </w:rPr>
        <w:t xml:space="preserve"> – </w:t>
      </w:r>
      <w:r w:rsidRPr="00B95108">
        <w:rPr>
          <w:rFonts w:ascii="Times New Roman" w:hAnsi="Times New Roman" w:cs="Times New Roman"/>
          <w:bCs/>
          <w:sz w:val="24"/>
          <w:szCs w:val="24"/>
        </w:rPr>
        <w:t>A Screening Protocol to Determine Tumor Antigen Expression and HLA Sub-Type for Eligibility Determination for Clinical Trials Evaluating the Safety and Efficacy of Autologous T</w:t>
      </w:r>
      <w:r>
        <w:rPr>
          <w:rFonts w:ascii="Times New Roman" w:hAnsi="Times New Roman" w:cs="Times New Roman"/>
          <w:bCs/>
          <w:sz w:val="24"/>
          <w:szCs w:val="24"/>
        </w:rPr>
        <w:t>-</w:t>
      </w:r>
      <w:r w:rsidRPr="00B95108">
        <w:rPr>
          <w:rFonts w:ascii="Times New Roman" w:hAnsi="Times New Roman" w:cs="Times New Roman"/>
          <w:bCs/>
          <w:sz w:val="24"/>
          <w:szCs w:val="24"/>
        </w:rPr>
        <w:t>Cells Expressing Enhanced TCRs in Subjects with Solid or Hematological Malignancies</w:t>
      </w:r>
      <w:r w:rsidRPr="00B95108">
        <w:rPr>
          <w:rFonts w:ascii="Times New Roman" w:eastAsiaTheme="minorHAnsi" w:hAnsi="Times New Roman" w:cs="Times New Roman"/>
          <w:bCs/>
          <w:sz w:val="24"/>
          <w:szCs w:val="24"/>
          <w:lang w:eastAsia="en-US"/>
        </w:rPr>
        <w:t xml:space="preserve"> (</w:t>
      </w:r>
      <w:hyperlink r:id="rId6" w:history="1">
        <w:r w:rsidRPr="00B95108">
          <w:rPr>
            <w:rFonts w:ascii="Times New Roman" w:hAnsi="Times New Roman" w:cs="Times New Roman"/>
            <w:sz w:val="24"/>
            <w:szCs w:val="24"/>
            <w:shd w:val="clear" w:color="auto" w:fill="FFFFFF" w:themeFill="background1"/>
          </w:rPr>
          <w:t>https://clinicaltrials.gov</w:t>
        </w:r>
      </w:hyperlink>
      <w:r w:rsidRPr="00B95108">
        <w:rPr>
          <w:rFonts w:ascii="Times New Roman" w:hAnsi="Times New Roman" w:cs="Times New Roman"/>
          <w:sz w:val="24"/>
          <w:szCs w:val="24"/>
          <w:shd w:val="clear" w:color="auto" w:fill="FFFFFF" w:themeFill="background1"/>
        </w:rPr>
        <w:t xml:space="preserve">: </w:t>
      </w:r>
      <w:r w:rsidRPr="00B95108">
        <w:rPr>
          <w:rFonts w:ascii="Times New Roman" w:eastAsiaTheme="minorHAnsi" w:hAnsi="Times New Roman" w:cs="Times New Roman"/>
          <w:bCs/>
          <w:sz w:val="24"/>
          <w:szCs w:val="24"/>
          <w:lang w:eastAsia="en-US"/>
        </w:rPr>
        <w:t>NCT02636855).</w:t>
      </w:r>
    </w:p>
    <w:p w14:paraId="22527767" w14:textId="77777777" w:rsidR="00113170" w:rsidRDefault="00113170" w:rsidP="00661AD1">
      <w:pPr>
        <w:spacing w:after="0" w:line="240" w:lineRule="auto"/>
        <w:ind w:firstLine="720"/>
        <w:rPr>
          <w:rFonts w:ascii="Times New Roman" w:hAnsi="Times New Roman" w:cs="Times New Roman"/>
          <w:sz w:val="24"/>
          <w:szCs w:val="24"/>
        </w:rPr>
      </w:pPr>
      <w:bookmarkStart w:id="8" w:name="_Toc86335013"/>
    </w:p>
    <w:p w14:paraId="50BB6862" w14:textId="77777777" w:rsidR="00113170" w:rsidRPr="00B95108" w:rsidRDefault="00113170" w:rsidP="00661AD1">
      <w:pPr>
        <w:pStyle w:val="Heading2"/>
        <w:spacing w:after="0" w:line="240" w:lineRule="auto"/>
        <w:rPr>
          <w:rFonts w:ascii="Times New Roman" w:hAnsi="Times New Roman" w:cs="Times New Roman"/>
          <w:sz w:val="24"/>
          <w:szCs w:val="24"/>
        </w:rPr>
      </w:pPr>
      <w:bookmarkStart w:id="9" w:name="_Toc87612712"/>
      <w:r w:rsidRPr="00B95108">
        <w:rPr>
          <w:rFonts w:ascii="Times New Roman" w:hAnsi="Times New Roman" w:cs="Times New Roman"/>
          <w:sz w:val="24"/>
          <w:szCs w:val="24"/>
        </w:rPr>
        <w:t>T-cell Manufacturing</w:t>
      </w:r>
      <w:bookmarkEnd w:id="8"/>
      <w:bookmarkEnd w:id="9"/>
    </w:p>
    <w:p w14:paraId="40A059C2" w14:textId="77777777" w:rsidR="00113170" w:rsidRPr="00B95108" w:rsidRDefault="00113170" w:rsidP="00661AD1">
      <w:pPr>
        <w:spacing w:after="0" w:line="240" w:lineRule="auto"/>
        <w:ind w:firstLine="720"/>
        <w:rPr>
          <w:rFonts w:ascii="Times New Roman" w:hAnsi="Times New Roman" w:cs="Times New Roman"/>
          <w:sz w:val="24"/>
          <w:szCs w:val="24"/>
        </w:rPr>
      </w:pPr>
      <w:bookmarkStart w:id="10" w:name="_Hlk76460181"/>
      <w:bookmarkEnd w:id="7"/>
      <w:r w:rsidRPr="00B95108">
        <w:rPr>
          <w:rFonts w:ascii="Times New Roman" w:hAnsi="Times New Roman" w:cs="Times New Roman"/>
          <w:sz w:val="24"/>
          <w:szCs w:val="24"/>
        </w:rPr>
        <w:t xml:space="preserve">ADP-A2M10 was manufactured </w:t>
      </w:r>
      <w:r>
        <w:rPr>
          <w:rFonts w:ascii="Times New Roman" w:hAnsi="Times New Roman" w:cs="Times New Roman"/>
          <w:sz w:val="24"/>
          <w:szCs w:val="24"/>
        </w:rPr>
        <w:t>and expanded using Xuri™ Cell Expansion System</w:t>
      </w:r>
      <w:r w:rsidRPr="00B95108">
        <w:rPr>
          <w:rFonts w:ascii="Times New Roman" w:hAnsi="Times New Roman" w:cs="Times New Roman"/>
          <w:sz w:val="24"/>
          <w:szCs w:val="24"/>
        </w:rPr>
        <w:t xml:space="preserve"> </w:t>
      </w:r>
      <w:r>
        <w:rPr>
          <w:rFonts w:ascii="Times New Roman" w:hAnsi="Times New Roman" w:cs="Times New Roman"/>
          <w:sz w:val="24"/>
          <w:szCs w:val="24"/>
        </w:rPr>
        <w:t xml:space="preserve">(Cytiva Life Sciences, Marlborough, </w:t>
      </w:r>
      <w:r w:rsidRPr="009A665D">
        <w:rPr>
          <w:rFonts w:ascii="Times New Roman" w:hAnsi="Times New Roman" w:cs="Times New Roman"/>
          <w:sz w:val="24"/>
          <w:szCs w:val="24"/>
        </w:rPr>
        <w:t>Massachusetts</w:t>
      </w:r>
      <w:r>
        <w:rPr>
          <w:rFonts w:ascii="Times New Roman" w:hAnsi="Times New Roman" w:cs="Times New Roman"/>
          <w:sz w:val="24"/>
          <w:szCs w:val="24"/>
        </w:rPr>
        <w:t xml:space="preserve">) </w:t>
      </w:r>
      <w:r w:rsidRPr="00B95108">
        <w:rPr>
          <w:rFonts w:ascii="Times New Roman" w:hAnsi="Times New Roman" w:cs="Times New Roman"/>
          <w:sz w:val="24"/>
          <w:szCs w:val="24"/>
        </w:rPr>
        <w:t>at Minaris Regenerative Medicine, LLC (formerly Hitachi Chemical Advanced Therapeutics Solutions, LLC, Allendale, New Jersey) and Adaptimmune, LLC (Philadelphia, Pennsylvania) using vectors manufactured and supplied by City of Hope (Duarte, California), Cincinnati Children’s Hospital Medical Center (Cincinnati, Ohio), or Lentigen Technolog</w:t>
      </w:r>
      <w:r>
        <w:rPr>
          <w:rFonts w:ascii="Times New Roman" w:hAnsi="Times New Roman" w:cs="Times New Roman"/>
          <w:sz w:val="24"/>
          <w:szCs w:val="24"/>
        </w:rPr>
        <w:t>y</w:t>
      </w:r>
      <w:r w:rsidRPr="00B95108">
        <w:rPr>
          <w:rFonts w:ascii="Times New Roman" w:hAnsi="Times New Roman" w:cs="Times New Roman"/>
          <w:sz w:val="24"/>
          <w:szCs w:val="24"/>
        </w:rPr>
        <w:t xml:space="preserve"> Inc. (Gaithersburg, Maryland). </w:t>
      </w:r>
      <w:r>
        <w:rPr>
          <w:rFonts w:ascii="Times New Roman" w:hAnsi="Times New Roman" w:cs="Times New Roman"/>
          <w:sz w:val="24"/>
          <w:szCs w:val="24"/>
        </w:rPr>
        <w:t xml:space="preserve">The vector </w:t>
      </w:r>
      <w:proofErr w:type="gramStart"/>
      <w:r>
        <w:rPr>
          <w:rFonts w:ascii="Times New Roman" w:hAnsi="Times New Roman" w:cs="Times New Roman"/>
          <w:sz w:val="24"/>
          <w:szCs w:val="24"/>
        </w:rPr>
        <w:t>was developed</w:t>
      </w:r>
      <w:proofErr w:type="gramEnd"/>
      <w:r>
        <w:rPr>
          <w:rFonts w:ascii="Times New Roman" w:hAnsi="Times New Roman" w:cs="Times New Roman"/>
          <w:sz w:val="24"/>
          <w:szCs w:val="24"/>
        </w:rPr>
        <w:t xml:space="preserve"> to encode α and β TCR sequences separated by a 2A skip sequence driven by an elongation factor-1α promoter. </w:t>
      </w:r>
      <w:r w:rsidRPr="00B95108">
        <w:rPr>
          <w:rFonts w:ascii="Times New Roman" w:hAnsi="Times New Roman" w:cs="Times New Roman"/>
          <w:sz w:val="24"/>
          <w:szCs w:val="24"/>
        </w:rPr>
        <w:t xml:space="preserve">Final cell product release was contingent on </w:t>
      </w:r>
      <w:proofErr w:type="gramStart"/>
      <w:r w:rsidRPr="00B95108">
        <w:rPr>
          <w:rFonts w:ascii="Times New Roman" w:hAnsi="Times New Roman" w:cs="Times New Roman"/>
          <w:sz w:val="24"/>
          <w:szCs w:val="24"/>
        </w:rPr>
        <w:t>several</w:t>
      </w:r>
      <w:proofErr w:type="gramEnd"/>
      <w:r w:rsidRPr="00B95108">
        <w:rPr>
          <w:rFonts w:ascii="Times New Roman" w:hAnsi="Times New Roman" w:cs="Times New Roman"/>
          <w:sz w:val="24"/>
          <w:szCs w:val="24"/>
        </w:rPr>
        <w:t xml:space="preserve"> different specifications, including CD3+ ≥80% of cells, ≥10% transduced cells, vector copy number ≤5.0, and cell viability ≥70%; the final ADP-A2M10 product was cryopreserved in 5% dimethyl sulfoxide and thawed prior to intravenous administration.</w:t>
      </w:r>
    </w:p>
    <w:p w14:paraId="62A03F5E" w14:textId="77777777" w:rsidR="00113170" w:rsidRDefault="00113170" w:rsidP="00661AD1">
      <w:pPr>
        <w:spacing w:after="0" w:line="240" w:lineRule="auto"/>
        <w:ind w:firstLine="720"/>
        <w:rPr>
          <w:rFonts w:ascii="Times New Roman" w:hAnsi="Times New Roman" w:cs="Times New Roman"/>
          <w:sz w:val="24"/>
          <w:szCs w:val="24"/>
        </w:rPr>
      </w:pPr>
    </w:p>
    <w:p w14:paraId="38ABD576" w14:textId="77777777" w:rsidR="00113170" w:rsidRPr="00B95108" w:rsidRDefault="00113170" w:rsidP="00661AD1">
      <w:pPr>
        <w:pStyle w:val="Heading2"/>
        <w:spacing w:after="0" w:line="240" w:lineRule="auto"/>
        <w:rPr>
          <w:rFonts w:ascii="Times New Roman" w:hAnsi="Times New Roman" w:cs="Times New Roman"/>
          <w:sz w:val="24"/>
          <w:szCs w:val="24"/>
        </w:rPr>
      </w:pPr>
      <w:bookmarkStart w:id="11" w:name="_Toc87612713"/>
      <w:r w:rsidRPr="00B95108">
        <w:rPr>
          <w:rFonts w:ascii="Times New Roman" w:hAnsi="Times New Roman" w:cs="Times New Roman"/>
          <w:sz w:val="24"/>
          <w:szCs w:val="24"/>
        </w:rPr>
        <w:t>Gene Therapy-Related Delayed Adverse Events, Molecular Replication Competent Lentivirus Testing, and Insertional Oncogenesis</w:t>
      </w:r>
      <w:bookmarkEnd w:id="11"/>
    </w:p>
    <w:bookmarkEnd w:id="10"/>
    <w:p w14:paraId="3328E151" w14:textId="77777777" w:rsidR="00113170" w:rsidRDefault="00113170" w:rsidP="00C04ED5">
      <w:pPr>
        <w:spacing w:after="0" w:line="240" w:lineRule="auto"/>
        <w:ind w:firstLine="720"/>
        <w:rPr>
          <w:rFonts w:ascii="Times New Roman" w:hAnsi="Times New Roman" w:cs="Times New Roman"/>
          <w:sz w:val="24"/>
          <w:szCs w:val="24"/>
        </w:rPr>
      </w:pPr>
      <w:r w:rsidRPr="00B95108">
        <w:rPr>
          <w:rFonts w:ascii="Times New Roman" w:hAnsi="Times New Roman" w:cs="Times New Roman"/>
          <w:sz w:val="24"/>
          <w:szCs w:val="24"/>
        </w:rPr>
        <w:t xml:space="preserve">Gene therapy-related delayed adverse events (AEs) included new malignancies, new incidence or exacerbation of a pre-existing neurological disorder, new </w:t>
      </w:r>
      <w:proofErr w:type="gramStart"/>
      <w:r w:rsidRPr="00B95108">
        <w:rPr>
          <w:rFonts w:ascii="Times New Roman" w:hAnsi="Times New Roman" w:cs="Times New Roman"/>
          <w:sz w:val="24"/>
          <w:szCs w:val="24"/>
        </w:rPr>
        <w:t>incidence</w:t>
      </w:r>
      <w:proofErr w:type="gramEnd"/>
      <w:r w:rsidRPr="00B95108">
        <w:rPr>
          <w:rFonts w:ascii="Times New Roman" w:hAnsi="Times New Roman" w:cs="Times New Roman"/>
          <w:sz w:val="24"/>
          <w:szCs w:val="24"/>
        </w:rPr>
        <w:t xml:space="preserve"> or exacerbation of a prior rheumatologic or other autoimmune disorder, new hematologic disorder, opportunistic or serious infections, or unanticipated illness and/or hospitalization deemed related to gene modified cell therapy. The gene therapy-related delayed AEs, molecular replication competent lentivirus testing (quantitative </w:t>
      </w:r>
      <w:r>
        <w:rPr>
          <w:rFonts w:ascii="Times New Roman" w:hAnsi="Times New Roman" w:cs="Times New Roman"/>
          <w:sz w:val="24"/>
          <w:szCs w:val="24"/>
        </w:rPr>
        <w:t>PCR</w:t>
      </w:r>
      <w:r w:rsidRPr="00B95108">
        <w:rPr>
          <w:rFonts w:ascii="Times New Roman" w:hAnsi="Times New Roman" w:cs="Times New Roman"/>
          <w:sz w:val="24"/>
          <w:szCs w:val="24"/>
        </w:rPr>
        <w:t xml:space="preserve"> for the vesicular </w:t>
      </w:r>
      <w:r w:rsidRPr="00B95108">
        <w:rPr>
          <w:rFonts w:ascii="Times New Roman" w:hAnsi="Times New Roman" w:cs="Times New Roman"/>
          <w:sz w:val="24"/>
          <w:szCs w:val="24"/>
        </w:rPr>
        <w:lastRenderedPageBreak/>
        <w:t xml:space="preserve">stomatitis virus-G DNA sequence) and, if necessary, insertional oncogenesis were assessed at </w:t>
      </w:r>
      <w:proofErr w:type="gramStart"/>
      <w:r w:rsidRPr="00B95108">
        <w:rPr>
          <w:rFonts w:ascii="Times New Roman" w:hAnsi="Times New Roman" w:cs="Times New Roman"/>
          <w:sz w:val="24"/>
          <w:szCs w:val="24"/>
        </w:rPr>
        <w:t>3, 6, and 12 months</w:t>
      </w:r>
      <w:proofErr w:type="gramEnd"/>
      <w:r w:rsidRPr="00B95108">
        <w:rPr>
          <w:rFonts w:ascii="Times New Roman" w:hAnsi="Times New Roman" w:cs="Times New Roman"/>
          <w:sz w:val="24"/>
          <w:szCs w:val="24"/>
        </w:rPr>
        <w:t xml:space="preserve"> during year 1; then every 6 months from year 2–5; then annually up to year 15.</w:t>
      </w:r>
    </w:p>
    <w:p w14:paraId="4258A4E9" w14:textId="77777777" w:rsidR="00113170" w:rsidRPr="00B95108" w:rsidRDefault="00113170" w:rsidP="00661AD1">
      <w:pPr>
        <w:spacing w:after="0" w:line="240" w:lineRule="auto"/>
        <w:ind w:firstLine="720"/>
        <w:rPr>
          <w:rFonts w:ascii="Times New Roman" w:hAnsi="Times New Roman" w:cs="Times New Roman"/>
          <w:sz w:val="24"/>
          <w:szCs w:val="24"/>
        </w:rPr>
      </w:pPr>
    </w:p>
    <w:p w14:paraId="5DBB593B" w14:textId="77777777" w:rsidR="00113170" w:rsidRDefault="00113170" w:rsidP="00C04ED5">
      <w:pPr>
        <w:pStyle w:val="Heading2"/>
        <w:spacing w:after="0" w:line="240" w:lineRule="auto"/>
        <w:rPr>
          <w:rFonts w:ascii="Times New Roman" w:hAnsi="Times New Roman" w:cs="Times New Roman"/>
          <w:sz w:val="24"/>
          <w:szCs w:val="24"/>
        </w:rPr>
      </w:pPr>
      <w:bookmarkStart w:id="12" w:name="_Toc87612714"/>
      <w:r w:rsidRPr="00B95108">
        <w:rPr>
          <w:rFonts w:ascii="Times New Roman" w:hAnsi="Times New Roman" w:cs="Times New Roman"/>
          <w:sz w:val="24"/>
          <w:szCs w:val="24"/>
        </w:rPr>
        <w:t>Translational</w:t>
      </w:r>
      <w:bookmarkEnd w:id="12"/>
    </w:p>
    <w:p w14:paraId="775B1D6C" w14:textId="77777777" w:rsidR="00113170" w:rsidRPr="00B95108" w:rsidRDefault="00113170" w:rsidP="00661AD1">
      <w:pPr>
        <w:pStyle w:val="Heading3"/>
        <w:spacing w:after="0" w:line="240" w:lineRule="auto"/>
        <w:rPr>
          <w:rFonts w:ascii="Times New Roman" w:hAnsi="Times New Roman" w:cs="Times New Roman"/>
          <w:sz w:val="24"/>
        </w:rPr>
      </w:pPr>
      <w:bookmarkStart w:id="13" w:name="_Toc87612715"/>
      <w:bookmarkStart w:id="14" w:name="_Hlk76460300"/>
      <w:r w:rsidRPr="00B95108">
        <w:rPr>
          <w:rFonts w:ascii="Times New Roman" w:hAnsi="Times New Roman" w:cs="Times New Roman"/>
          <w:sz w:val="24"/>
        </w:rPr>
        <w:t>Transcriptomic Analysis</w:t>
      </w:r>
      <w:bookmarkEnd w:id="13"/>
    </w:p>
    <w:bookmarkEnd w:id="14"/>
    <w:p w14:paraId="7D84B523" w14:textId="77777777" w:rsidR="00113170" w:rsidRDefault="00113170" w:rsidP="00C04ED5">
      <w:pPr>
        <w:spacing w:after="0" w:line="240" w:lineRule="auto"/>
        <w:ind w:firstLine="720"/>
        <w:rPr>
          <w:rFonts w:ascii="Times New Roman" w:hAnsi="Times New Roman" w:cs="Times New Roman"/>
          <w:sz w:val="24"/>
          <w:szCs w:val="24"/>
        </w:rPr>
      </w:pPr>
      <w:r w:rsidRPr="00B95108">
        <w:rPr>
          <w:rFonts w:ascii="Times New Roman" w:hAnsi="Times New Roman" w:cs="Times New Roman"/>
          <w:sz w:val="24"/>
          <w:szCs w:val="24"/>
        </w:rPr>
        <w:t xml:space="preserve">Transcriptomic analyses </w:t>
      </w:r>
      <w:proofErr w:type="gramStart"/>
      <w:r w:rsidRPr="00B95108">
        <w:rPr>
          <w:rFonts w:ascii="Times New Roman" w:hAnsi="Times New Roman" w:cs="Times New Roman"/>
          <w:sz w:val="24"/>
          <w:szCs w:val="24"/>
        </w:rPr>
        <w:t>were performed</w:t>
      </w:r>
      <w:proofErr w:type="gramEnd"/>
      <w:r w:rsidRPr="00B95108">
        <w:rPr>
          <w:rFonts w:ascii="Times New Roman" w:hAnsi="Times New Roman" w:cs="Times New Roman"/>
          <w:sz w:val="24"/>
          <w:szCs w:val="24"/>
        </w:rPr>
        <w:t xml:space="preserve"> as previously described </w:t>
      </w:r>
      <w:r>
        <w:rPr>
          <w:rFonts w:ascii="Times New Roman" w:hAnsi="Times New Roman" w:cs="Times New Roman"/>
          <w:noProof/>
          <w:sz w:val="24"/>
          <w:szCs w:val="24"/>
        </w:rPr>
        <w:t>(1)</w:t>
      </w:r>
      <w:r w:rsidRPr="00B95108">
        <w:rPr>
          <w:rFonts w:ascii="Times New Roman" w:hAnsi="Times New Roman" w:cs="Times New Roman"/>
          <w:sz w:val="24"/>
          <w:szCs w:val="24"/>
        </w:rPr>
        <w:t xml:space="preserve"> with the following modifications. Background gene count levels were determined for each sample using mean plus two standard deviations of the included negative control counts. For data normalization, background-subtracted counts were then scaled using geometric means of </w:t>
      </w:r>
      <w:proofErr w:type="gramStart"/>
      <w:r w:rsidRPr="00B95108">
        <w:rPr>
          <w:rFonts w:ascii="Times New Roman" w:hAnsi="Times New Roman" w:cs="Times New Roman"/>
          <w:sz w:val="24"/>
          <w:szCs w:val="24"/>
        </w:rPr>
        <w:t>27</w:t>
      </w:r>
      <w:proofErr w:type="gramEnd"/>
      <w:r w:rsidRPr="00B95108">
        <w:rPr>
          <w:rFonts w:ascii="Times New Roman" w:hAnsi="Times New Roman" w:cs="Times New Roman"/>
          <w:sz w:val="24"/>
          <w:szCs w:val="24"/>
        </w:rPr>
        <w:t xml:space="preserve"> housekeeping genes shared between the two gene panels. The following gene signatures </w:t>
      </w:r>
      <w:proofErr w:type="gramStart"/>
      <w:r w:rsidRPr="00B95108">
        <w:rPr>
          <w:rFonts w:ascii="Times New Roman" w:hAnsi="Times New Roman" w:cs="Times New Roman"/>
          <w:sz w:val="24"/>
          <w:szCs w:val="24"/>
        </w:rPr>
        <w:t>were used</w:t>
      </w:r>
      <w:proofErr w:type="gramEnd"/>
      <w:r w:rsidRPr="00B95108">
        <w:rPr>
          <w:rFonts w:ascii="Times New Roman" w:hAnsi="Times New Roman" w:cs="Times New Roman"/>
          <w:sz w:val="24"/>
          <w:szCs w:val="24"/>
        </w:rPr>
        <w:t xml:space="preserve">: antigen processing machinery </w:t>
      </w:r>
      <w:r>
        <w:rPr>
          <w:rFonts w:ascii="Times New Roman" w:hAnsi="Times New Roman" w:cs="Times New Roman"/>
          <w:noProof/>
          <w:sz w:val="24"/>
          <w:szCs w:val="24"/>
        </w:rPr>
        <w:t>(2)</w:t>
      </w:r>
      <w:r w:rsidRPr="00B95108">
        <w:rPr>
          <w:rFonts w:ascii="Times New Roman" w:hAnsi="Times New Roman" w:cs="Times New Roman"/>
          <w:sz w:val="24"/>
          <w:szCs w:val="24"/>
        </w:rPr>
        <w:t xml:space="preserve">, CD3+ T-cells, CD8+ T-cells </w:t>
      </w:r>
      <w:r>
        <w:rPr>
          <w:rFonts w:ascii="Times New Roman" w:hAnsi="Times New Roman" w:cs="Times New Roman"/>
          <w:noProof/>
          <w:sz w:val="24"/>
          <w:szCs w:val="24"/>
        </w:rPr>
        <w:t>(3)</w:t>
      </w:r>
      <w:r w:rsidRPr="00B95108">
        <w:rPr>
          <w:rFonts w:ascii="Times New Roman" w:hAnsi="Times New Roman" w:cs="Times New Roman"/>
          <w:sz w:val="24"/>
          <w:szCs w:val="24"/>
        </w:rPr>
        <w:t xml:space="preserve"> (NanoString Technologies, Seattle, Washington)</w:t>
      </w:r>
      <w:r>
        <w:rPr>
          <w:rFonts w:ascii="Times New Roman" w:hAnsi="Times New Roman" w:cs="Times New Roman"/>
          <w:sz w:val="24"/>
          <w:szCs w:val="24"/>
        </w:rPr>
        <w:t>,</w:t>
      </w:r>
      <w:r w:rsidRPr="00B95108">
        <w:rPr>
          <w:rFonts w:ascii="Times New Roman" w:hAnsi="Times New Roman" w:cs="Times New Roman"/>
          <w:sz w:val="24"/>
          <w:szCs w:val="24"/>
        </w:rPr>
        <w:t xml:space="preserve"> and T-cell exhaustion </w:t>
      </w:r>
      <w:r>
        <w:rPr>
          <w:rFonts w:ascii="Times New Roman" w:hAnsi="Times New Roman" w:cs="Times New Roman"/>
          <w:noProof/>
          <w:sz w:val="24"/>
          <w:szCs w:val="24"/>
        </w:rPr>
        <w:t>(4)</w:t>
      </w:r>
      <w:r w:rsidRPr="00B95108">
        <w:rPr>
          <w:rFonts w:ascii="Times New Roman" w:hAnsi="Times New Roman" w:cs="Times New Roman"/>
          <w:sz w:val="24"/>
          <w:szCs w:val="24"/>
        </w:rPr>
        <w:t xml:space="preserve">. The heatmap represents scores standardized per gene. The scores </w:t>
      </w:r>
      <w:proofErr w:type="gramStart"/>
      <w:r w:rsidRPr="00B95108">
        <w:rPr>
          <w:rFonts w:ascii="Times New Roman" w:hAnsi="Times New Roman" w:cs="Times New Roman"/>
          <w:sz w:val="24"/>
          <w:szCs w:val="24"/>
        </w:rPr>
        <w:t>were generated</w:t>
      </w:r>
      <w:proofErr w:type="gramEnd"/>
      <w:r w:rsidRPr="00B95108">
        <w:rPr>
          <w:rFonts w:ascii="Times New Roman" w:hAnsi="Times New Roman" w:cs="Times New Roman"/>
          <w:sz w:val="24"/>
          <w:szCs w:val="24"/>
        </w:rPr>
        <w:t xml:space="preserve"> as number of standard deviations away from the mean (z-score).</w:t>
      </w:r>
      <w:bookmarkStart w:id="15" w:name="_Hlk76460222"/>
    </w:p>
    <w:p w14:paraId="6725F81F" w14:textId="77777777" w:rsidR="00113170" w:rsidRPr="00B95108" w:rsidRDefault="00113170" w:rsidP="00661AD1">
      <w:pPr>
        <w:spacing w:after="0" w:line="240" w:lineRule="auto"/>
        <w:ind w:firstLine="720"/>
        <w:rPr>
          <w:rFonts w:ascii="Times New Roman" w:hAnsi="Times New Roman" w:cs="Times New Roman"/>
          <w:sz w:val="24"/>
          <w:szCs w:val="24"/>
        </w:rPr>
      </w:pPr>
    </w:p>
    <w:p w14:paraId="36ACB992" w14:textId="77777777" w:rsidR="00113170" w:rsidRPr="00B95108" w:rsidRDefault="00113170" w:rsidP="00661AD1">
      <w:pPr>
        <w:pStyle w:val="Heading3"/>
        <w:spacing w:after="0" w:line="240" w:lineRule="auto"/>
        <w:rPr>
          <w:rFonts w:ascii="Times New Roman" w:hAnsi="Times New Roman" w:cs="Times New Roman"/>
          <w:sz w:val="24"/>
          <w:highlight w:val="yellow"/>
        </w:rPr>
      </w:pPr>
      <w:bookmarkStart w:id="16" w:name="_Toc87612716"/>
      <w:r w:rsidRPr="00B95108">
        <w:rPr>
          <w:rFonts w:ascii="Times New Roman" w:hAnsi="Times New Roman" w:cs="Times New Roman"/>
          <w:sz w:val="24"/>
        </w:rPr>
        <w:t xml:space="preserve">RNA </w:t>
      </w:r>
      <w:r w:rsidRPr="00661AD1">
        <w:rPr>
          <w:rFonts w:ascii="Times New Roman" w:hAnsi="Times New Roman" w:cs="Times New Roman"/>
          <w:i w:val="0"/>
          <w:iCs/>
          <w:sz w:val="24"/>
        </w:rPr>
        <w:t>In Situ</w:t>
      </w:r>
      <w:r w:rsidRPr="00B95108">
        <w:rPr>
          <w:rFonts w:ascii="Times New Roman" w:hAnsi="Times New Roman" w:cs="Times New Roman"/>
          <w:sz w:val="24"/>
        </w:rPr>
        <w:t xml:space="preserve"> Hybridization</w:t>
      </w:r>
      <w:bookmarkEnd w:id="16"/>
    </w:p>
    <w:p w14:paraId="1B57D6A1" w14:textId="77777777" w:rsidR="00113170" w:rsidRDefault="00113170" w:rsidP="00C04ED5">
      <w:pPr>
        <w:spacing w:after="0" w:line="240" w:lineRule="auto"/>
        <w:ind w:firstLine="720"/>
        <w:rPr>
          <w:rFonts w:ascii="Times New Roman" w:hAnsi="Times New Roman" w:cs="Times New Roman"/>
          <w:sz w:val="24"/>
          <w:szCs w:val="24"/>
        </w:rPr>
      </w:pPr>
      <w:bookmarkStart w:id="17" w:name="_Hlk76456282"/>
      <w:bookmarkEnd w:id="15"/>
      <w:r w:rsidRPr="00B95108">
        <w:rPr>
          <w:rFonts w:ascii="Times New Roman" w:hAnsi="Times New Roman" w:cs="Times New Roman"/>
          <w:sz w:val="24"/>
          <w:szCs w:val="24"/>
        </w:rPr>
        <w:t xml:space="preserve">RNA </w:t>
      </w:r>
      <w:r w:rsidRPr="00B95108">
        <w:rPr>
          <w:rFonts w:ascii="Times New Roman" w:hAnsi="Times New Roman" w:cs="Times New Roman"/>
          <w:i/>
          <w:iCs/>
          <w:sz w:val="24"/>
          <w:szCs w:val="24"/>
        </w:rPr>
        <w:t>in situ</w:t>
      </w:r>
      <w:r w:rsidRPr="00B95108">
        <w:rPr>
          <w:rFonts w:ascii="Times New Roman" w:hAnsi="Times New Roman" w:cs="Times New Roman"/>
          <w:sz w:val="24"/>
          <w:szCs w:val="24"/>
        </w:rPr>
        <w:t xml:space="preserve"> hybridization (RNAish) for </w:t>
      </w:r>
      <w:r>
        <w:rPr>
          <w:rFonts w:ascii="Times New Roman" w:hAnsi="Times New Roman" w:cs="Times New Roman"/>
          <w:sz w:val="24"/>
          <w:szCs w:val="24"/>
        </w:rPr>
        <w:t xml:space="preserve">the </w:t>
      </w:r>
      <w:r w:rsidRPr="00B95108">
        <w:rPr>
          <w:rFonts w:ascii="Times New Roman" w:hAnsi="Times New Roman" w:cs="Times New Roman"/>
          <w:sz w:val="24"/>
          <w:szCs w:val="24"/>
        </w:rPr>
        <w:t xml:space="preserve">ADP-A2M10 TCR </w:t>
      </w:r>
      <w:proofErr w:type="gramStart"/>
      <w:r w:rsidRPr="00B95108">
        <w:rPr>
          <w:rFonts w:ascii="Times New Roman" w:hAnsi="Times New Roman" w:cs="Times New Roman"/>
          <w:sz w:val="24"/>
          <w:szCs w:val="24"/>
        </w:rPr>
        <w:t>was performed</w:t>
      </w:r>
      <w:proofErr w:type="gramEnd"/>
      <w:r w:rsidRPr="00B95108">
        <w:rPr>
          <w:rFonts w:ascii="Times New Roman" w:hAnsi="Times New Roman" w:cs="Times New Roman"/>
          <w:sz w:val="24"/>
          <w:szCs w:val="24"/>
        </w:rPr>
        <w:t xml:space="preserve"> using the RNAscope 2.5 LS Red kit (Advanced Cell Diagnostics, Newark, California) and RNAscope probes specific to ADP-A2M10 TCR (Advanced Cell Diagnostics, Newark, California) according to the manufacturer’s instructions. Briefly, 4-μm formalin-fixed, paraffin-embedded tissue sections were pre-treated with heat and protease prior to hybridization with the target oligo probes. Pre-amplifier, amplifier, and AP-labeled oligos </w:t>
      </w:r>
      <w:proofErr w:type="gramStart"/>
      <w:r w:rsidRPr="00B95108">
        <w:rPr>
          <w:rFonts w:ascii="Times New Roman" w:hAnsi="Times New Roman" w:cs="Times New Roman"/>
          <w:sz w:val="24"/>
          <w:szCs w:val="24"/>
        </w:rPr>
        <w:t>were then hybridized</w:t>
      </w:r>
      <w:proofErr w:type="gramEnd"/>
      <w:r w:rsidRPr="00B95108">
        <w:rPr>
          <w:rFonts w:ascii="Times New Roman" w:hAnsi="Times New Roman" w:cs="Times New Roman"/>
          <w:sz w:val="24"/>
          <w:szCs w:val="24"/>
        </w:rPr>
        <w:t xml:space="preserve"> sequentially. RNAish assay </w:t>
      </w:r>
      <w:proofErr w:type="gramStart"/>
      <w:r w:rsidRPr="00B95108">
        <w:rPr>
          <w:rFonts w:ascii="Times New Roman" w:hAnsi="Times New Roman" w:cs="Times New Roman"/>
          <w:sz w:val="24"/>
          <w:szCs w:val="24"/>
        </w:rPr>
        <w:t>was followed</w:t>
      </w:r>
      <w:proofErr w:type="gramEnd"/>
      <w:r w:rsidRPr="00B95108">
        <w:rPr>
          <w:rFonts w:ascii="Times New Roman" w:hAnsi="Times New Roman" w:cs="Times New Roman"/>
          <w:sz w:val="24"/>
          <w:szCs w:val="24"/>
        </w:rPr>
        <w:t xml:space="preserve"> by CD3 chromogenic precipitate IHC (anti-CD3 (2GV6) monoclonal primary antibody (Roche Diagnostics, Indianapolis, Indiana)</w:t>
      </w:r>
      <w:r>
        <w:rPr>
          <w:rFonts w:ascii="Times New Roman" w:hAnsi="Times New Roman" w:cs="Times New Roman"/>
          <w:sz w:val="24"/>
          <w:szCs w:val="24"/>
        </w:rPr>
        <w:t>)</w:t>
      </w:r>
      <w:r w:rsidRPr="00B95108">
        <w:rPr>
          <w:rFonts w:ascii="Times New Roman" w:hAnsi="Times New Roman" w:cs="Times New Roman"/>
          <w:sz w:val="24"/>
          <w:szCs w:val="24"/>
        </w:rPr>
        <w:t xml:space="preserve"> using the DISCOVERY Teal HRP detection kit (Roche Diagnostics). Each sample </w:t>
      </w:r>
      <w:proofErr w:type="gramStart"/>
      <w:r w:rsidRPr="00B95108">
        <w:rPr>
          <w:rFonts w:ascii="Times New Roman" w:hAnsi="Times New Roman" w:cs="Times New Roman"/>
          <w:sz w:val="24"/>
          <w:szCs w:val="24"/>
        </w:rPr>
        <w:t>was quality-controlled</w:t>
      </w:r>
      <w:proofErr w:type="gramEnd"/>
      <w:r w:rsidRPr="00B95108">
        <w:rPr>
          <w:rFonts w:ascii="Times New Roman" w:hAnsi="Times New Roman" w:cs="Times New Roman"/>
          <w:sz w:val="24"/>
          <w:szCs w:val="24"/>
        </w:rPr>
        <w:t xml:space="preserve"> for RNA integrity with a RNAscope probe specific to </w:t>
      </w:r>
      <w:r>
        <w:rPr>
          <w:rFonts w:ascii="Times New Roman" w:hAnsi="Times New Roman" w:cs="Times New Roman"/>
          <w:sz w:val="24"/>
          <w:szCs w:val="24"/>
        </w:rPr>
        <w:t>p</w:t>
      </w:r>
      <w:r w:rsidRPr="00305373">
        <w:rPr>
          <w:rFonts w:ascii="Times New Roman" w:hAnsi="Times New Roman" w:cs="Times New Roman"/>
          <w:sz w:val="24"/>
          <w:szCs w:val="24"/>
        </w:rPr>
        <w:t>eptidylprolyl isomerase B</w:t>
      </w:r>
      <w:r w:rsidRPr="00305373" w:rsidDel="00305373">
        <w:rPr>
          <w:rFonts w:ascii="Times New Roman" w:hAnsi="Times New Roman" w:cs="Times New Roman"/>
          <w:sz w:val="24"/>
          <w:szCs w:val="24"/>
        </w:rPr>
        <w:t xml:space="preserve"> </w:t>
      </w:r>
      <w:r>
        <w:rPr>
          <w:rFonts w:ascii="Times New Roman" w:hAnsi="Times New Roman" w:cs="Times New Roman"/>
          <w:sz w:val="24"/>
          <w:szCs w:val="24"/>
        </w:rPr>
        <w:t>(PPIB)</w:t>
      </w:r>
      <w:r w:rsidRPr="00B95108">
        <w:rPr>
          <w:rFonts w:ascii="Times New Roman" w:hAnsi="Times New Roman" w:cs="Times New Roman"/>
          <w:sz w:val="24"/>
          <w:szCs w:val="24"/>
        </w:rPr>
        <w:t xml:space="preserve"> RNA (Hs-PPIB, Advanced Cell Diagnostics, Newark, CA). </w:t>
      </w:r>
      <w:r>
        <w:rPr>
          <w:rFonts w:ascii="Times New Roman" w:hAnsi="Times New Roman" w:cs="Times New Roman"/>
          <w:sz w:val="24"/>
          <w:szCs w:val="24"/>
        </w:rPr>
        <w:t>A s</w:t>
      </w:r>
      <w:r w:rsidRPr="00B95108">
        <w:rPr>
          <w:rFonts w:ascii="Times New Roman" w:hAnsi="Times New Roman" w:cs="Times New Roman"/>
          <w:sz w:val="24"/>
          <w:szCs w:val="24"/>
        </w:rPr>
        <w:t xml:space="preserve">pecific RNA staining signal </w:t>
      </w:r>
      <w:proofErr w:type="gramStart"/>
      <w:r w:rsidRPr="00B95108">
        <w:rPr>
          <w:rFonts w:ascii="Times New Roman" w:hAnsi="Times New Roman" w:cs="Times New Roman"/>
          <w:sz w:val="24"/>
          <w:szCs w:val="24"/>
        </w:rPr>
        <w:t>was identified</w:t>
      </w:r>
      <w:proofErr w:type="gramEnd"/>
      <w:r w:rsidRPr="00B95108">
        <w:rPr>
          <w:rFonts w:ascii="Times New Roman" w:hAnsi="Times New Roman" w:cs="Times New Roman"/>
          <w:sz w:val="24"/>
          <w:szCs w:val="24"/>
        </w:rPr>
        <w:t xml:space="preserve"> as red punctate dots and CD3 by the Teal signal. Samples were counterstained with hematoxylin. The whole slides </w:t>
      </w:r>
      <w:proofErr w:type="gramStart"/>
      <w:r w:rsidRPr="00B95108">
        <w:rPr>
          <w:rFonts w:ascii="Times New Roman" w:hAnsi="Times New Roman" w:cs="Times New Roman"/>
          <w:sz w:val="24"/>
          <w:szCs w:val="24"/>
        </w:rPr>
        <w:t>were scanned</w:t>
      </w:r>
      <w:proofErr w:type="gramEnd"/>
      <w:r w:rsidRPr="00B95108">
        <w:rPr>
          <w:rFonts w:ascii="Times New Roman" w:hAnsi="Times New Roman" w:cs="Times New Roman"/>
          <w:sz w:val="24"/>
          <w:szCs w:val="24"/>
        </w:rPr>
        <w:t xml:space="preserve"> using AxioScan.Z1 microscope slide scanner and were analyzed using HALO image analysis software (Indica Labs, Albuquerque, New Mexico). Images </w:t>
      </w:r>
      <w:proofErr w:type="gramStart"/>
      <w:r w:rsidRPr="00B95108">
        <w:rPr>
          <w:rFonts w:ascii="Times New Roman" w:hAnsi="Times New Roman" w:cs="Times New Roman"/>
          <w:sz w:val="24"/>
          <w:szCs w:val="24"/>
        </w:rPr>
        <w:t>were annotated</w:t>
      </w:r>
      <w:proofErr w:type="gramEnd"/>
      <w:r w:rsidRPr="00B95108">
        <w:rPr>
          <w:rFonts w:ascii="Times New Roman" w:hAnsi="Times New Roman" w:cs="Times New Roman"/>
          <w:sz w:val="24"/>
          <w:szCs w:val="24"/>
        </w:rPr>
        <w:t xml:space="preserve"> and analyzed using Indica Labs - ISH v3.3.9 algorithm with CD3 staining as the nuclear stain</w:t>
      </w:r>
      <w:r>
        <w:rPr>
          <w:rFonts w:ascii="Times New Roman" w:hAnsi="Times New Roman" w:cs="Times New Roman"/>
          <w:sz w:val="24"/>
          <w:szCs w:val="24"/>
        </w:rPr>
        <w:t>, which</w:t>
      </w:r>
      <w:r w:rsidRPr="00B95108">
        <w:rPr>
          <w:rFonts w:ascii="Times New Roman" w:hAnsi="Times New Roman" w:cs="Times New Roman"/>
          <w:sz w:val="24"/>
          <w:szCs w:val="24"/>
        </w:rPr>
        <w:t xml:space="preserve"> result</w:t>
      </w:r>
      <w:r>
        <w:rPr>
          <w:rFonts w:ascii="Times New Roman" w:hAnsi="Times New Roman" w:cs="Times New Roman"/>
          <w:sz w:val="24"/>
          <w:szCs w:val="24"/>
        </w:rPr>
        <w:t>ed</w:t>
      </w:r>
      <w:r w:rsidRPr="00B95108">
        <w:rPr>
          <w:rFonts w:ascii="Times New Roman" w:hAnsi="Times New Roman" w:cs="Times New Roman"/>
          <w:sz w:val="24"/>
          <w:szCs w:val="24"/>
        </w:rPr>
        <w:t xml:space="preserve"> in CD3+ cell count and ADP-A2M10 TCR percentage positivity.</w:t>
      </w:r>
    </w:p>
    <w:p w14:paraId="13D1A7FF" w14:textId="77777777" w:rsidR="00113170" w:rsidRPr="00B95108" w:rsidRDefault="00113170" w:rsidP="00661AD1">
      <w:pPr>
        <w:spacing w:after="0" w:line="240" w:lineRule="auto"/>
        <w:ind w:firstLine="720"/>
        <w:rPr>
          <w:rFonts w:ascii="Times New Roman" w:hAnsi="Times New Roman" w:cs="Times New Roman"/>
          <w:sz w:val="24"/>
          <w:szCs w:val="24"/>
        </w:rPr>
      </w:pPr>
    </w:p>
    <w:p w14:paraId="6D269C61" w14:textId="77777777" w:rsidR="00113170" w:rsidRDefault="00113170" w:rsidP="00C04ED5">
      <w:pPr>
        <w:pStyle w:val="Heading1"/>
        <w:spacing w:after="0" w:line="240" w:lineRule="auto"/>
        <w:rPr>
          <w:rFonts w:ascii="Times New Roman" w:eastAsiaTheme="minorHAnsi" w:hAnsi="Times New Roman" w:cs="Times New Roman"/>
          <w:sz w:val="24"/>
          <w:szCs w:val="24"/>
          <w:lang w:eastAsia="en-US"/>
        </w:rPr>
      </w:pPr>
      <w:bookmarkStart w:id="18" w:name="_Toc87612717"/>
      <w:r w:rsidRPr="00B95108">
        <w:rPr>
          <w:rFonts w:ascii="Times New Roman" w:eastAsiaTheme="minorHAnsi" w:hAnsi="Times New Roman" w:cs="Times New Roman"/>
          <w:sz w:val="24"/>
          <w:szCs w:val="24"/>
          <w:lang w:eastAsia="en-US"/>
        </w:rPr>
        <w:t>SUPPLEMENTARY RESULTS</w:t>
      </w:r>
      <w:bookmarkEnd w:id="18"/>
    </w:p>
    <w:p w14:paraId="7D4A1EA9" w14:textId="77777777" w:rsidR="00113170" w:rsidRPr="00B95108" w:rsidRDefault="00113170" w:rsidP="00661AD1">
      <w:pPr>
        <w:pStyle w:val="Heading2"/>
        <w:spacing w:after="0" w:line="240" w:lineRule="auto"/>
        <w:rPr>
          <w:rFonts w:ascii="Times New Roman" w:eastAsiaTheme="minorHAnsi" w:hAnsi="Times New Roman" w:cs="Times New Roman"/>
          <w:sz w:val="24"/>
          <w:szCs w:val="24"/>
        </w:rPr>
      </w:pPr>
      <w:bookmarkStart w:id="19" w:name="_Toc87612718"/>
      <w:r w:rsidRPr="00B95108">
        <w:rPr>
          <w:rFonts w:ascii="Times New Roman" w:eastAsiaTheme="minorHAnsi" w:hAnsi="Times New Roman" w:cs="Times New Roman"/>
          <w:sz w:val="24"/>
          <w:szCs w:val="24"/>
        </w:rPr>
        <w:t>Patient Characteristics</w:t>
      </w:r>
      <w:bookmarkEnd w:id="19"/>
    </w:p>
    <w:p w14:paraId="1F87291D" w14:textId="77777777" w:rsidR="00113170" w:rsidRPr="00B95108" w:rsidRDefault="00113170" w:rsidP="00661AD1">
      <w:pPr>
        <w:spacing w:after="0" w:line="240" w:lineRule="auto"/>
        <w:ind w:firstLine="720"/>
        <w:rPr>
          <w:rFonts w:ascii="Times New Roman" w:hAnsi="Times New Roman" w:cs="Times New Roman"/>
          <w:sz w:val="24"/>
          <w:szCs w:val="24"/>
        </w:rPr>
        <w:sectPr w:rsidR="00113170" w:rsidRPr="00B95108" w:rsidSect="000132A5">
          <w:headerReference w:type="default" r:id="rId7"/>
          <w:footerReference w:type="default" r:id="rId8"/>
          <w:pgSz w:w="11906" w:h="16838"/>
          <w:pgMar w:top="1440" w:right="1440" w:bottom="1440" w:left="1440" w:header="708" w:footer="708" w:gutter="0"/>
          <w:cols w:space="708"/>
          <w:docGrid w:linePitch="360"/>
        </w:sectPr>
      </w:pPr>
      <w:r w:rsidRPr="00B95108">
        <w:rPr>
          <w:rFonts w:ascii="Times New Roman" w:hAnsi="Times New Roman" w:cs="Times New Roman"/>
          <w:sz w:val="24"/>
          <w:szCs w:val="24"/>
        </w:rPr>
        <w:t xml:space="preserve">A total of 979 patients with head and neck squamous cell carcinoma (HNSCC; 366), melanoma (447), or urothelial carcinoma (UC; 166) signed informed consent and </w:t>
      </w:r>
      <w:proofErr w:type="gramStart"/>
      <w:r w:rsidRPr="00B95108">
        <w:rPr>
          <w:rFonts w:ascii="Times New Roman" w:hAnsi="Times New Roman" w:cs="Times New Roman"/>
          <w:sz w:val="24"/>
          <w:szCs w:val="24"/>
        </w:rPr>
        <w:t>were enrolled</w:t>
      </w:r>
      <w:proofErr w:type="gramEnd"/>
      <w:r w:rsidRPr="00B95108">
        <w:rPr>
          <w:rFonts w:ascii="Times New Roman" w:hAnsi="Times New Roman" w:cs="Times New Roman"/>
          <w:sz w:val="24"/>
          <w:szCs w:val="24"/>
        </w:rPr>
        <w:t xml:space="preserve"> in ADP 0000-001 for HLA and tumor antigen testing to determine eligibility for enrollment in Adaptimmune clinical studies. ADP-0000-001 is an umbrella screening protocol developed for multiple TCRs and multiple clinical protocols (i.e., ADP-0022-004, ADP-0022-003, and other studies). HLA alleles </w:t>
      </w:r>
      <w:proofErr w:type="gramStart"/>
      <w:r w:rsidRPr="00B95108">
        <w:rPr>
          <w:rFonts w:ascii="Times New Roman" w:hAnsi="Times New Roman" w:cs="Times New Roman"/>
          <w:sz w:val="24"/>
          <w:szCs w:val="24"/>
        </w:rPr>
        <w:t>were assessed</w:t>
      </w:r>
      <w:proofErr w:type="gramEnd"/>
      <w:r w:rsidRPr="00B95108">
        <w:rPr>
          <w:rFonts w:ascii="Times New Roman" w:hAnsi="Times New Roman" w:cs="Times New Roman"/>
          <w:sz w:val="24"/>
          <w:szCs w:val="24"/>
        </w:rPr>
        <w:t xml:space="preserve"> for ADP-A2M10 and other TCRs under this screening protocol. As a result, patients had HLA alleles assessed for all clinical studies though they may not have </w:t>
      </w:r>
      <w:proofErr w:type="gramStart"/>
      <w:r w:rsidRPr="00B95108">
        <w:rPr>
          <w:rFonts w:ascii="Times New Roman" w:hAnsi="Times New Roman" w:cs="Times New Roman"/>
          <w:sz w:val="24"/>
          <w:szCs w:val="24"/>
        </w:rPr>
        <w:t>been screened</w:t>
      </w:r>
      <w:proofErr w:type="gramEnd"/>
      <w:r w:rsidRPr="00B95108">
        <w:rPr>
          <w:rFonts w:ascii="Times New Roman" w:hAnsi="Times New Roman" w:cs="Times New Roman"/>
          <w:sz w:val="24"/>
          <w:szCs w:val="24"/>
        </w:rPr>
        <w:t xml:space="preserve"> for an ADP-A2M10 study, but rather, for another study and vice versa. There were 442 patients, including patients with HNSCC (161), melanoma (201), and UC (80) who had HLA alleles that matched the eligibility criteria for ADP</w:t>
      </w:r>
      <w:r w:rsidRPr="00B95108">
        <w:rPr>
          <w:rFonts w:ascii="Times New Roman" w:hAnsi="Times New Roman" w:cs="Times New Roman"/>
          <w:sz w:val="24"/>
          <w:szCs w:val="24"/>
        </w:rPr>
        <w:noBreakHyphen/>
        <w:t xml:space="preserve">A2M10. Of those, 323 patients with HNSCC (129), melanoma (143), and UC (51) </w:t>
      </w:r>
      <w:proofErr w:type="gramStart"/>
      <w:r w:rsidRPr="00B95108">
        <w:rPr>
          <w:rFonts w:ascii="Times New Roman" w:hAnsi="Times New Roman" w:cs="Times New Roman"/>
          <w:sz w:val="24"/>
          <w:szCs w:val="24"/>
        </w:rPr>
        <w:t>were screened</w:t>
      </w:r>
      <w:proofErr w:type="gramEnd"/>
      <w:r w:rsidRPr="00B95108">
        <w:rPr>
          <w:rFonts w:ascii="Times New Roman" w:hAnsi="Times New Roman" w:cs="Times New Roman"/>
          <w:sz w:val="24"/>
          <w:szCs w:val="24"/>
        </w:rPr>
        <w:t xml:space="preserve"> for the MAGE-A10 antigen (</w:t>
      </w:r>
      <w:r w:rsidRPr="00B95108">
        <w:rPr>
          <w:rFonts w:ascii="Times New Roman" w:hAnsi="Times New Roman" w:cs="Times New Roman"/>
          <w:b/>
          <w:bCs/>
          <w:sz w:val="24"/>
          <w:szCs w:val="24"/>
        </w:rPr>
        <w:t>Supplementary Figure 1</w:t>
      </w:r>
      <w:r w:rsidRPr="00B95108">
        <w:rPr>
          <w:rFonts w:ascii="Times New Roman" w:hAnsi="Times New Roman" w:cs="Times New Roman"/>
          <w:sz w:val="24"/>
          <w:szCs w:val="24"/>
        </w:rPr>
        <w:t xml:space="preserve">). There were </w:t>
      </w:r>
      <w:proofErr w:type="gramStart"/>
      <w:r w:rsidRPr="00B95108">
        <w:rPr>
          <w:rFonts w:ascii="Times New Roman" w:hAnsi="Times New Roman" w:cs="Times New Roman"/>
          <w:sz w:val="24"/>
          <w:szCs w:val="24"/>
        </w:rPr>
        <w:t>64</w:t>
      </w:r>
      <w:proofErr w:type="gramEnd"/>
      <w:r w:rsidRPr="00B95108">
        <w:rPr>
          <w:rFonts w:ascii="Times New Roman" w:hAnsi="Times New Roman" w:cs="Times New Roman"/>
          <w:sz w:val="24"/>
          <w:szCs w:val="24"/>
        </w:rPr>
        <w:t xml:space="preserve"> patients with HNSCC (12), melanoma (35), and UC (17) who were ultimately </w:t>
      </w:r>
      <w:r w:rsidRPr="00B95108">
        <w:rPr>
          <w:rFonts w:ascii="Times New Roman" w:hAnsi="Times New Roman" w:cs="Times New Roman"/>
          <w:sz w:val="24"/>
          <w:szCs w:val="24"/>
        </w:rPr>
        <w:lastRenderedPageBreak/>
        <w:t>eligible for enrollment (</w:t>
      </w:r>
      <w:r w:rsidRPr="00B95108">
        <w:rPr>
          <w:rFonts w:ascii="Times New Roman" w:hAnsi="Times New Roman" w:cs="Times New Roman"/>
          <w:b/>
          <w:bCs/>
          <w:sz w:val="24"/>
          <w:szCs w:val="24"/>
        </w:rPr>
        <w:t>Supplementary Table 1</w:t>
      </w:r>
      <w:r w:rsidRPr="00B95108">
        <w:rPr>
          <w:rFonts w:ascii="Times New Roman" w:hAnsi="Times New Roman" w:cs="Times New Roman"/>
          <w:sz w:val="24"/>
          <w:szCs w:val="24"/>
        </w:rPr>
        <w:t xml:space="preserve">). Eighteen patients with appropriate HLA phenotype and tumor MAGE-A10 expression, and who met all other eligibility requirements, signed informed consent for the study, and underwent leukaphereses. From September 2017 to September 2019, 10 patients underwent lymphodepletion and </w:t>
      </w:r>
      <w:proofErr w:type="gramStart"/>
      <w:r w:rsidRPr="00B95108">
        <w:rPr>
          <w:rFonts w:ascii="Times New Roman" w:hAnsi="Times New Roman" w:cs="Times New Roman"/>
          <w:sz w:val="24"/>
          <w:szCs w:val="24"/>
        </w:rPr>
        <w:t>were treated</w:t>
      </w:r>
      <w:proofErr w:type="gramEnd"/>
      <w:r w:rsidRPr="00B95108">
        <w:rPr>
          <w:rFonts w:ascii="Times New Roman" w:hAnsi="Times New Roman" w:cs="Times New Roman"/>
          <w:sz w:val="24"/>
          <w:szCs w:val="24"/>
        </w:rPr>
        <w:t xml:space="preserve"> with ADP-A2M10. Of the eight patients who did not receive lymphodepletion chemotherapy or ADP-A2M10, eligibility criteria </w:t>
      </w:r>
      <w:proofErr w:type="gramStart"/>
      <w:r w:rsidRPr="00B95108">
        <w:rPr>
          <w:rFonts w:ascii="Times New Roman" w:hAnsi="Times New Roman" w:cs="Times New Roman"/>
          <w:sz w:val="24"/>
          <w:szCs w:val="24"/>
        </w:rPr>
        <w:t>were not met</w:t>
      </w:r>
      <w:proofErr w:type="gramEnd"/>
      <w:r w:rsidRPr="00B95108">
        <w:rPr>
          <w:rFonts w:ascii="Times New Roman" w:hAnsi="Times New Roman" w:cs="Times New Roman"/>
          <w:sz w:val="24"/>
          <w:szCs w:val="24"/>
        </w:rPr>
        <w:t xml:space="preserve"> prior to lymphodepletion in three patients, ADP-A2M10 was unable to be manufactured </w:t>
      </w:r>
      <w:r>
        <w:rPr>
          <w:rFonts w:ascii="Times New Roman" w:hAnsi="Times New Roman" w:cs="Times New Roman"/>
          <w:sz w:val="24"/>
          <w:szCs w:val="24"/>
        </w:rPr>
        <w:t>for</w:t>
      </w:r>
      <w:r w:rsidRPr="00B95108">
        <w:rPr>
          <w:rFonts w:ascii="Times New Roman" w:hAnsi="Times New Roman" w:cs="Times New Roman"/>
          <w:sz w:val="24"/>
          <w:szCs w:val="24"/>
        </w:rPr>
        <w:t xml:space="preserve"> one patient, and the study ended prior to treatment </w:t>
      </w:r>
      <w:r>
        <w:rPr>
          <w:rFonts w:ascii="Times New Roman" w:hAnsi="Times New Roman" w:cs="Times New Roman"/>
          <w:sz w:val="24"/>
          <w:szCs w:val="24"/>
        </w:rPr>
        <w:t>for</w:t>
      </w:r>
      <w:r w:rsidRPr="00B95108">
        <w:rPr>
          <w:rFonts w:ascii="Times New Roman" w:hAnsi="Times New Roman" w:cs="Times New Roman"/>
          <w:sz w:val="24"/>
          <w:szCs w:val="24"/>
        </w:rPr>
        <w:t xml:space="preserve"> four patients.</w:t>
      </w:r>
      <w:bookmarkEnd w:id="17"/>
    </w:p>
    <w:p w14:paraId="1F4110C8" w14:textId="77777777" w:rsidR="00113170" w:rsidRPr="00B95108" w:rsidRDefault="00113170" w:rsidP="006E411F">
      <w:pPr>
        <w:pStyle w:val="Heading1"/>
        <w:rPr>
          <w:rFonts w:ascii="Times New Roman" w:hAnsi="Times New Roman" w:cs="Times New Roman"/>
          <w:sz w:val="24"/>
          <w:szCs w:val="24"/>
        </w:rPr>
      </w:pPr>
      <w:bookmarkStart w:id="20" w:name="_Toc87612719"/>
      <w:bookmarkStart w:id="21" w:name="_Hlk69213699"/>
      <w:r w:rsidRPr="00B95108">
        <w:rPr>
          <w:rFonts w:ascii="Times New Roman" w:hAnsi="Times New Roman" w:cs="Times New Roman"/>
          <w:sz w:val="24"/>
          <w:szCs w:val="24"/>
        </w:rPr>
        <w:lastRenderedPageBreak/>
        <w:t>SUPPLEMENTARY TABLES</w:t>
      </w:r>
      <w:bookmarkEnd w:id="20"/>
    </w:p>
    <w:p w14:paraId="1E2D9AEE" w14:textId="77777777" w:rsidR="00113170" w:rsidRDefault="00113170" w:rsidP="00C04ED5">
      <w:pPr>
        <w:pStyle w:val="Heading2"/>
        <w:spacing w:after="0" w:line="240" w:lineRule="auto"/>
        <w:rPr>
          <w:rFonts w:ascii="Times New Roman" w:hAnsi="Times New Roman" w:cs="Times New Roman"/>
          <w:b w:val="0"/>
          <w:bCs/>
          <w:sz w:val="24"/>
          <w:szCs w:val="24"/>
        </w:rPr>
      </w:pPr>
      <w:bookmarkStart w:id="22" w:name="_Toc87612720"/>
      <w:r w:rsidRPr="00B95108">
        <w:rPr>
          <w:rFonts w:ascii="Times New Roman" w:hAnsi="Times New Roman" w:cs="Times New Roman"/>
          <w:bCs/>
          <w:sz w:val="24"/>
          <w:szCs w:val="24"/>
        </w:rPr>
        <w:t xml:space="preserve">Supplementary Table 1. </w:t>
      </w:r>
      <w:r w:rsidRPr="00661AD1">
        <w:rPr>
          <w:rFonts w:ascii="Times New Roman" w:hAnsi="Times New Roman" w:cs="Times New Roman"/>
          <w:b w:val="0"/>
          <w:bCs/>
          <w:sz w:val="24"/>
          <w:szCs w:val="24"/>
        </w:rPr>
        <w:t>ADP-0022-004 patients screened for HLA and MAGE-A10 under screening protocol ADP-0000-001</w:t>
      </w:r>
      <w:r w:rsidRPr="00B95108">
        <w:rPr>
          <w:rFonts w:ascii="Times New Roman" w:hAnsi="Times New Roman" w:cs="Times New Roman"/>
          <w:b w:val="0"/>
          <w:bCs/>
          <w:sz w:val="24"/>
          <w:szCs w:val="24"/>
        </w:rPr>
        <w:t>.</w:t>
      </w:r>
      <w:bookmarkEnd w:id="22"/>
    </w:p>
    <w:p w14:paraId="569D60DF" w14:textId="77777777" w:rsidR="00113170" w:rsidRPr="00F21286" w:rsidRDefault="00113170" w:rsidP="00661AD1">
      <w:pPr>
        <w:spacing w:after="0" w:line="240" w:lineRule="auto"/>
        <w:rPr>
          <w:rFonts w:ascii="Times New Roman" w:hAnsi="Times New Roman" w:cs="Times New Roman"/>
          <w:sz w:val="24"/>
          <w:szCs w:val="24"/>
        </w:rPr>
      </w:pPr>
    </w:p>
    <w:tbl>
      <w:tblPr>
        <w:tblStyle w:val="C-Table"/>
        <w:tblW w:w="5000" w:type="pct"/>
        <w:tblLook w:val="04A0" w:firstRow="1" w:lastRow="0" w:firstColumn="1" w:lastColumn="0" w:noHBand="0" w:noVBand="1"/>
      </w:tblPr>
      <w:tblGrid>
        <w:gridCol w:w="1247"/>
        <w:gridCol w:w="1220"/>
        <w:gridCol w:w="1209"/>
        <w:gridCol w:w="1121"/>
        <w:gridCol w:w="1104"/>
        <w:gridCol w:w="1172"/>
        <w:gridCol w:w="1275"/>
        <w:gridCol w:w="996"/>
      </w:tblGrid>
      <w:tr w:rsidR="00113170" w:rsidRPr="00B95108" w14:paraId="79E2192F" w14:textId="77777777" w:rsidTr="00BE1972">
        <w:trPr>
          <w:cantSplit w:val="0"/>
          <w:trHeight w:val="407"/>
          <w:tblHeader/>
        </w:trPr>
        <w:tc>
          <w:tcPr>
            <w:tcW w:w="667" w:type="pct"/>
            <w:vMerge w:val="restart"/>
            <w:vAlign w:val="center"/>
          </w:tcPr>
          <w:p w14:paraId="6E9A1EA1" w14:textId="77777777" w:rsidR="00113170" w:rsidRPr="00B95108" w:rsidRDefault="00113170" w:rsidP="00051D61">
            <w:pPr>
              <w:keepNext/>
              <w:spacing w:before="60" w:after="60"/>
              <w:rPr>
                <w:rFonts w:eastAsia="Times New Roman"/>
                <w:b/>
                <w:sz w:val="24"/>
                <w:szCs w:val="24"/>
                <w:lang w:eastAsia="en-US"/>
              </w:rPr>
            </w:pPr>
            <w:r w:rsidRPr="00B95108">
              <w:rPr>
                <w:rFonts w:eastAsia="Times New Roman"/>
                <w:b/>
                <w:sz w:val="24"/>
                <w:szCs w:val="24"/>
                <w:lang w:eastAsia="en-US"/>
              </w:rPr>
              <w:t>Tumor site</w:t>
            </w:r>
          </w:p>
        </w:tc>
        <w:tc>
          <w:tcPr>
            <w:tcW w:w="4333" w:type="pct"/>
            <w:gridSpan w:val="7"/>
            <w:vAlign w:val="center"/>
          </w:tcPr>
          <w:p w14:paraId="2995FB9A" w14:textId="77777777" w:rsidR="00113170" w:rsidRPr="00B95108" w:rsidRDefault="00113170" w:rsidP="006E411F">
            <w:pPr>
              <w:keepNext/>
              <w:spacing w:before="60" w:after="60"/>
              <w:jc w:val="center"/>
              <w:rPr>
                <w:b/>
                <w:color w:val="000000"/>
                <w:sz w:val="24"/>
                <w:szCs w:val="24"/>
              </w:rPr>
            </w:pPr>
            <w:r>
              <w:rPr>
                <w:rFonts w:eastAsia="Times New Roman"/>
                <w:b/>
                <w:sz w:val="24"/>
                <w:szCs w:val="24"/>
                <w:lang w:eastAsia="en-US"/>
              </w:rPr>
              <w:t>Number of patients</w:t>
            </w:r>
          </w:p>
        </w:tc>
      </w:tr>
      <w:tr w:rsidR="00113170" w:rsidRPr="00B95108" w14:paraId="5EFE7E00" w14:textId="77777777" w:rsidTr="00051D61">
        <w:trPr>
          <w:cantSplit w:val="0"/>
          <w:trHeight w:val="407"/>
          <w:tblHeader/>
        </w:trPr>
        <w:tc>
          <w:tcPr>
            <w:tcW w:w="667" w:type="pct"/>
            <w:vMerge/>
            <w:vAlign w:val="center"/>
          </w:tcPr>
          <w:p w14:paraId="71ED22E5" w14:textId="77777777" w:rsidR="00113170" w:rsidRPr="00B95108" w:rsidRDefault="00113170">
            <w:pPr>
              <w:keepNext/>
              <w:spacing w:before="60" w:after="60"/>
              <w:rPr>
                <w:rFonts w:eastAsia="Times New Roman"/>
                <w:b/>
                <w:sz w:val="24"/>
                <w:szCs w:val="24"/>
                <w:lang w:eastAsia="en-US"/>
              </w:rPr>
            </w:pPr>
          </w:p>
        </w:tc>
        <w:tc>
          <w:tcPr>
            <w:tcW w:w="653" w:type="pct"/>
            <w:vAlign w:val="center"/>
          </w:tcPr>
          <w:p w14:paraId="3160B117" w14:textId="77777777" w:rsidR="00113170" w:rsidRPr="00B95108" w:rsidRDefault="00113170" w:rsidP="006E411F">
            <w:pPr>
              <w:keepNext/>
              <w:spacing w:before="60" w:after="60"/>
              <w:jc w:val="center"/>
              <w:rPr>
                <w:rFonts w:eastAsia="Times New Roman"/>
                <w:b/>
                <w:sz w:val="24"/>
                <w:szCs w:val="24"/>
                <w:lang w:eastAsia="en-US"/>
              </w:rPr>
            </w:pPr>
            <w:r w:rsidRPr="00B95108">
              <w:rPr>
                <w:rFonts w:eastAsia="Times New Roman"/>
                <w:b/>
                <w:sz w:val="24"/>
                <w:szCs w:val="24"/>
                <w:lang w:eastAsia="en-US"/>
              </w:rPr>
              <w:t>HLA screened under screening protocol for multiple studies</w:t>
            </w:r>
            <w:r w:rsidRPr="00B95108">
              <w:rPr>
                <w:rFonts w:eastAsia="Times New Roman"/>
                <w:b/>
                <w:sz w:val="24"/>
                <w:szCs w:val="24"/>
                <w:vertAlign w:val="superscript"/>
                <w:lang w:eastAsia="en-US"/>
              </w:rPr>
              <w:t>a</w:t>
            </w:r>
          </w:p>
        </w:tc>
        <w:tc>
          <w:tcPr>
            <w:tcW w:w="647" w:type="pct"/>
            <w:vAlign w:val="center"/>
          </w:tcPr>
          <w:p w14:paraId="6576899C" w14:textId="77777777" w:rsidR="00113170" w:rsidRPr="00B95108" w:rsidRDefault="00113170" w:rsidP="006E411F">
            <w:pPr>
              <w:keepNext/>
              <w:spacing w:before="60" w:after="60"/>
              <w:jc w:val="center"/>
              <w:rPr>
                <w:rFonts w:eastAsia="Times New Roman"/>
                <w:b/>
                <w:sz w:val="24"/>
                <w:szCs w:val="24"/>
                <w:lang w:eastAsia="en-US"/>
              </w:rPr>
            </w:pPr>
            <w:r>
              <w:rPr>
                <w:rFonts w:eastAsia="Times New Roman"/>
                <w:b/>
                <w:sz w:val="24"/>
                <w:szCs w:val="24"/>
                <w:lang w:eastAsia="en-US"/>
              </w:rPr>
              <w:t>Patient</w:t>
            </w:r>
            <w:r w:rsidRPr="00B95108">
              <w:rPr>
                <w:rFonts w:eastAsia="Times New Roman"/>
                <w:b/>
                <w:sz w:val="24"/>
                <w:szCs w:val="24"/>
                <w:lang w:eastAsia="en-US"/>
              </w:rPr>
              <w:t>s with HLA alleles matching ADP-A2M10 eligibility criteria</w:t>
            </w:r>
          </w:p>
        </w:tc>
        <w:tc>
          <w:tcPr>
            <w:tcW w:w="600" w:type="pct"/>
            <w:vAlign w:val="center"/>
          </w:tcPr>
          <w:p w14:paraId="0F89FFBD" w14:textId="77777777" w:rsidR="00113170" w:rsidRPr="00B95108" w:rsidRDefault="00113170" w:rsidP="006E411F">
            <w:pPr>
              <w:keepNext/>
              <w:spacing w:before="60" w:after="60"/>
              <w:jc w:val="center"/>
              <w:rPr>
                <w:rFonts w:eastAsia="Times New Roman"/>
                <w:b/>
                <w:sz w:val="24"/>
                <w:szCs w:val="24"/>
                <w:lang w:eastAsia="en-US"/>
              </w:rPr>
            </w:pPr>
            <w:r w:rsidRPr="00B95108">
              <w:rPr>
                <w:b/>
                <w:color w:val="000000"/>
                <w:sz w:val="24"/>
                <w:szCs w:val="24"/>
              </w:rPr>
              <w:t>MAGE-A10 antigen screened</w:t>
            </w:r>
          </w:p>
        </w:tc>
        <w:tc>
          <w:tcPr>
            <w:tcW w:w="591" w:type="pct"/>
            <w:vAlign w:val="center"/>
          </w:tcPr>
          <w:p w14:paraId="3C24B5E0" w14:textId="77777777" w:rsidR="00113170" w:rsidRPr="00B95108" w:rsidRDefault="00113170" w:rsidP="006E411F">
            <w:pPr>
              <w:keepNext/>
              <w:spacing w:before="60" w:after="60"/>
              <w:jc w:val="center"/>
              <w:rPr>
                <w:rFonts w:eastAsia="Times New Roman"/>
                <w:b/>
                <w:sz w:val="24"/>
                <w:szCs w:val="24"/>
                <w:lang w:eastAsia="en-US"/>
              </w:rPr>
            </w:pPr>
            <w:r w:rsidRPr="00B95108">
              <w:rPr>
                <w:b/>
                <w:color w:val="000000"/>
                <w:sz w:val="24"/>
                <w:szCs w:val="24"/>
              </w:rPr>
              <w:t>MAGE-A10 antigen positive</w:t>
            </w:r>
            <w:r w:rsidRPr="00B95108">
              <w:rPr>
                <w:b/>
                <w:color w:val="000000"/>
                <w:sz w:val="24"/>
                <w:szCs w:val="24"/>
                <w:vertAlign w:val="superscript"/>
              </w:rPr>
              <w:t>b</w:t>
            </w:r>
          </w:p>
        </w:tc>
        <w:tc>
          <w:tcPr>
            <w:tcW w:w="627" w:type="pct"/>
            <w:vAlign w:val="center"/>
          </w:tcPr>
          <w:p w14:paraId="67621F66" w14:textId="77777777" w:rsidR="00113170" w:rsidRPr="00B95108" w:rsidRDefault="00113170" w:rsidP="006E411F">
            <w:pPr>
              <w:keepNext/>
              <w:spacing w:before="60" w:after="60"/>
              <w:jc w:val="center"/>
              <w:rPr>
                <w:rFonts w:eastAsia="Times New Roman"/>
                <w:b/>
                <w:sz w:val="24"/>
                <w:szCs w:val="24"/>
                <w:lang w:eastAsia="en-US"/>
              </w:rPr>
            </w:pPr>
            <w:r w:rsidRPr="00B95108">
              <w:rPr>
                <w:b/>
                <w:color w:val="000000"/>
                <w:sz w:val="24"/>
                <w:szCs w:val="24"/>
              </w:rPr>
              <w:t>MAGE-A10 antigen negative</w:t>
            </w:r>
            <w:r w:rsidRPr="00B95108">
              <w:rPr>
                <w:b/>
                <w:color w:val="000000"/>
                <w:sz w:val="24"/>
                <w:szCs w:val="24"/>
                <w:vertAlign w:val="superscript"/>
              </w:rPr>
              <w:t>b</w:t>
            </w:r>
          </w:p>
        </w:tc>
        <w:tc>
          <w:tcPr>
            <w:tcW w:w="682" w:type="pct"/>
            <w:vAlign w:val="center"/>
          </w:tcPr>
          <w:p w14:paraId="3A5B81C5" w14:textId="77777777" w:rsidR="00113170" w:rsidRPr="00B95108" w:rsidRDefault="00113170" w:rsidP="006E411F">
            <w:pPr>
              <w:keepNext/>
              <w:spacing w:before="60" w:after="60"/>
              <w:jc w:val="center"/>
              <w:rPr>
                <w:rFonts w:eastAsia="Times New Roman"/>
                <w:b/>
                <w:sz w:val="24"/>
                <w:szCs w:val="24"/>
                <w:lang w:eastAsia="en-US"/>
              </w:rPr>
            </w:pPr>
            <w:r w:rsidRPr="00B95108">
              <w:rPr>
                <w:b/>
                <w:color w:val="000000"/>
                <w:sz w:val="24"/>
                <w:szCs w:val="24"/>
              </w:rPr>
              <w:t>MAGE-A10 antigen not evaluable</w:t>
            </w:r>
            <w:r w:rsidRPr="00B95108">
              <w:rPr>
                <w:b/>
                <w:color w:val="000000"/>
                <w:sz w:val="24"/>
                <w:szCs w:val="24"/>
                <w:vertAlign w:val="superscript"/>
              </w:rPr>
              <w:t>c</w:t>
            </w:r>
          </w:p>
        </w:tc>
        <w:tc>
          <w:tcPr>
            <w:tcW w:w="533" w:type="pct"/>
            <w:vAlign w:val="center"/>
          </w:tcPr>
          <w:p w14:paraId="638E23C1" w14:textId="77777777" w:rsidR="00113170" w:rsidRPr="00B95108" w:rsidRDefault="00113170" w:rsidP="006E411F">
            <w:pPr>
              <w:keepNext/>
              <w:spacing w:before="60" w:after="60"/>
              <w:jc w:val="center"/>
              <w:rPr>
                <w:b/>
                <w:color w:val="000000"/>
                <w:sz w:val="24"/>
                <w:szCs w:val="24"/>
              </w:rPr>
            </w:pPr>
            <w:r w:rsidRPr="00B95108">
              <w:rPr>
                <w:b/>
                <w:color w:val="000000"/>
                <w:sz w:val="24"/>
                <w:szCs w:val="24"/>
              </w:rPr>
              <w:t xml:space="preserve">Dosed with </w:t>
            </w:r>
            <w:r w:rsidRPr="00B95108">
              <w:rPr>
                <w:rFonts w:eastAsia="Times New Roman"/>
                <w:b/>
                <w:sz w:val="24"/>
                <w:szCs w:val="24"/>
                <w:lang w:eastAsia="en-US"/>
              </w:rPr>
              <w:t>ADP-A2M10 in ADP-0022-004</w:t>
            </w:r>
          </w:p>
        </w:tc>
      </w:tr>
      <w:tr w:rsidR="00113170" w:rsidRPr="00B95108" w14:paraId="0A13667A" w14:textId="77777777" w:rsidTr="00661AD1">
        <w:trPr>
          <w:cantSplit w:val="0"/>
          <w:trHeight w:val="38"/>
          <w:tblHeader/>
        </w:trPr>
        <w:tc>
          <w:tcPr>
            <w:tcW w:w="667" w:type="pct"/>
            <w:vAlign w:val="center"/>
          </w:tcPr>
          <w:p w14:paraId="6434AC80" w14:textId="77777777" w:rsidR="00113170" w:rsidRPr="00B95108" w:rsidRDefault="00113170">
            <w:pPr>
              <w:keepNext/>
              <w:spacing w:before="60" w:after="60"/>
              <w:rPr>
                <w:bCs/>
                <w:color w:val="000000"/>
                <w:sz w:val="24"/>
                <w:szCs w:val="24"/>
              </w:rPr>
            </w:pPr>
            <w:r w:rsidRPr="00B95108">
              <w:rPr>
                <w:bCs/>
                <w:color w:val="000000"/>
                <w:sz w:val="24"/>
                <w:szCs w:val="24"/>
              </w:rPr>
              <w:t>Head and neck</w:t>
            </w:r>
          </w:p>
        </w:tc>
        <w:tc>
          <w:tcPr>
            <w:tcW w:w="653" w:type="pct"/>
            <w:vAlign w:val="center"/>
          </w:tcPr>
          <w:p w14:paraId="53CA96EC" w14:textId="77777777" w:rsidR="00113170" w:rsidRPr="00B95108" w:rsidRDefault="00113170" w:rsidP="006E411F">
            <w:pPr>
              <w:keepNext/>
              <w:spacing w:before="60" w:after="60"/>
              <w:jc w:val="center"/>
              <w:rPr>
                <w:rFonts w:eastAsia="Times New Roman"/>
                <w:bCs/>
                <w:sz w:val="24"/>
                <w:szCs w:val="24"/>
                <w:lang w:eastAsia="en-US"/>
              </w:rPr>
            </w:pPr>
            <w:r w:rsidRPr="00B95108">
              <w:rPr>
                <w:color w:val="000000"/>
                <w:sz w:val="24"/>
                <w:szCs w:val="24"/>
              </w:rPr>
              <w:t>366</w:t>
            </w:r>
          </w:p>
        </w:tc>
        <w:tc>
          <w:tcPr>
            <w:tcW w:w="647" w:type="pct"/>
            <w:vAlign w:val="center"/>
          </w:tcPr>
          <w:p w14:paraId="1E0CAF35" w14:textId="77777777" w:rsidR="00113170" w:rsidRPr="00B95108" w:rsidRDefault="00113170" w:rsidP="006E411F">
            <w:pPr>
              <w:keepNext/>
              <w:spacing w:before="60" w:after="60"/>
              <w:jc w:val="center"/>
              <w:rPr>
                <w:rFonts w:eastAsia="Times New Roman"/>
                <w:bCs/>
                <w:sz w:val="24"/>
                <w:szCs w:val="24"/>
                <w:lang w:eastAsia="en-US"/>
              </w:rPr>
            </w:pPr>
            <w:r w:rsidRPr="00B95108">
              <w:rPr>
                <w:color w:val="000000"/>
                <w:sz w:val="24"/>
                <w:szCs w:val="24"/>
              </w:rPr>
              <w:t>161</w:t>
            </w:r>
          </w:p>
        </w:tc>
        <w:tc>
          <w:tcPr>
            <w:tcW w:w="600" w:type="pct"/>
            <w:vAlign w:val="center"/>
          </w:tcPr>
          <w:p w14:paraId="67AA4511" w14:textId="77777777" w:rsidR="00113170" w:rsidRPr="00B95108" w:rsidRDefault="00113170" w:rsidP="006E411F">
            <w:pPr>
              <w:keepNext/>
              <w:spacing w:before="60" w:after="60"/>
              <w:jc w:val="center"/>
              <w:rPr>
                <w:rFonts w:eastAsia="Times New Roman"/>
                <w:bCs/>
                <w:sz w:val="24"/>
                <w:szCs w:val="24"/>
                <w:lang w:eastAsia="en-US"/>
              </w:rPr>
            </w:pPr>
            <w:r w:rsidRPr="00B95108">
              <w:rPr>
                <w:color w:val="000000"/>
                <w:sz w:val="24"/>
                <w:szCs w:val="24"/>
              </w:rPr>
              <w:t>129</w:t>
            </w:r>
          </w:p>
        </w:tc>
        <w:tc>
          <w:tcPr>
            <w:tcW w:w="591" w:type="pct"/>
            <w:vAlign w:val="center"/>
          </w:tcPr>
          <w:p w14:paraId="0A287B97" w14:textId="77777777" w:rsidR="00113170" w:rsidRPr="00B95108" w:rsidRDefault="00113170" w:rsidP="006E411F">
            <w:pPr>
              <w:keepNext/>
              <w:spacing w:before="60" w:after="60"/>
              <w:jc w:val="center"/>
              <w:rPr>
                <w:rFonts w:eastAsia="Times New Roman"/>
                <w:bCs/>
                <w:sz w:val="24"/>
                <w:szCs w:val="24"/>
                <w:lang w:eastAsia="en-US"/>
              </w:rPr>
            </w:pPr>
            <w:r w:rsidRPr="00B95108">
              <w:rPr>
                <w:color w:val="000000"/>
                <w:sz w:val="24"/>
                <w:szCs w:val="24"/>
              </w:rPr>
              <w:t>12</w:t>
            </w:r>
          </w:p>
        </w:tc>
        <w:tc>
          <w:tcPr>
            <w:tcW w:w="627" w:type="pct"/>
            <w:vAlign w:val="center"/>
          </w:tcPr>
          <w:p w14:paraId="4E19FE3C" w14:textId="77777777" w:rsidR="00113170" w:rsidRPr="00B95108" w:rsidRDefault="00113170" w:rsidP="006E411F">
            <w:pPr>
              <w:keepNext/>
              <w:spacing w:before="60" w:after="60"/>
              <w:jc w:val="center"/>
              <w:rPr>
                <w:rFonts w:eastAsia="Times New Roman"/>
                <w:bCs/>
                <w:sz w:val="24"/>
                <w:szCs w:val="24"/>
                <w:lang w:eastAsia="en-US"/>
              </w:rPr>
            </w:pPr>
            <w:r w:rsidRPr="00B95108">
              <w:rPr>
                <w:sz w:val="24"/>
                <w:szCs w:val="24"/>
              </w:rPr>
              <w:t>108</w:t>
            </w:r>
          </w:p>
        </w:tc>
        <w:tc>
          <w:tcPr>
            <w:tcW w:w="682" w:type="pct"/>
            <w:vAlign w:val="center"/>
          </w:tcPr>
          <w:p w14:paraId="563B2E58" w14:textId="77777777" w:rsidR="00113170" w:rsidRPr="00B95108" w:rsidRDefault="00113170" w:rsidP="006E411F">
            <w:pPr>
              <w:keepNext/>
              <w:spacing w:before="60" w:after="60"/>
              <w:jc w:val="center"/>
              <w:rPr>
                <w:rFonts w:eastAsia="Times New Roman"/>
                <w:bCs/>
                <w:sz w:val="24"/>
                <w:szCs w:val="24"/>
                <w:lang w:eastAsia="en-US"/>
              </w:rPr>
            </w:pPr>
            <w:r w:rsidRPr="00B95108">
              <w:rPr>
                <w:color w:val="000000"/>
                <w:sz w:val="24"/>
                <w:szCs w:val="24"/>
              </w:rPr>
              <w:t>9</w:t>
            </w:r>
          </w:p>
        </w:tc>
        <w:tc>
          <w:tcPr>
            <w:tcW w:w="533" w:type="pct"/>
            <w:vAlign w:val="center"/>
          </w:tcPr>
          <w:p w14:paraId="376DCB0C" w14:textId="77777777" w:rsidR="00113170" w:rsidRPr="00B95108" w:rsidRDefault="00113170" w:rsidP="006E411F">
            <w:pPr>
              <w:keepNext/>
              <w:spacing w:before="60" w:after="60"/>
              <w:jc w:val="center"/>
              <w:rPr>
                <w:color w:val="000000"/>
                <w:sz w:val="24"/>
                <w:szCs w:val="24"/>
              </w:rPr>
            </w:pPr>
            <w:r w:rsidRPr="00B95108">
              <w:rPr>
                <w:color w:val="000000"/>
                <w:sz w:val="24"/>
                <w:szCs w:val="24"/>
              </w:rPr>
              <w:t>4</w:t>
            </w:r>
          </w:p>
        </w:tc>
      </w:tr>
      <w:tr w:rsidR="00113170" w:rsidRPr="00B95108" w14:paraId="76436E70" w14:textId="77777777" w:rsidTr="00661AD1">
        <w:trPr>
          <w:cantSplit w:val="0"/>
          <w:trHeight w:val="235"/>
        </w:trPr>
        <w:tc>
          <w:tcPr>
            <w:tcW w:w="667" w:type="pct"/>
            <w:vAlign w:val="center"/>
          </w:tcPr>
          <w:p w14:paraId="254F0501" w14:textId="77777777" w:rsidR="00113170" w:rsidRPr="00B95108" w:rsidRDefault="00113170" w:rsidP="006E411F">
            <w:pPr>
              <w:keepNext/>
              <w:spacing w:before="60" w:after="60"/>
              <w:rPr>
                <w:bCs/>
                <w:color w:val="000000"/>
                <w:sz w:val="24"/>
                <w:szCs w:val="24"/>
              </w:rPr>
            </w:pPr>
            <w:r w:rsidRPr="00B95108">
              <w:rPr>
                <w:bCs/>
                <w:color w:val="000000"/>
                <w:sz w:val="24"/>
                <w:szCs w:val="24"/>
              </w:rPr>
              <w:t>Melanoma</w:t>
            </w:r>
          </w:p>
        </w:tc>
        <w:tc>
          <w:tcPr>
            <w:tcW w:w="653" w:type="pct"/>
            <w:vAlign w:val="center"/>
          </w:tcPr>
          <w:p w14:paraId="637FB10E"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447</w:t>
            </w:r>
          </w:p>
        </w:tc>
        <w:tc>
          <w:tcPr>
            <w:tcW w:w="647" w:type="pct"/>
            <w:vAlign w:val="center"/>
          </w:tcPr>
          <w:p w14:paraId="34B8610B"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201</w:t>
            </w:r>
          </w:p>
        </w:tc>
        <w:tc>
          <w:tcPr>
            <w:tcW w:w="600" w:type="pct"/>
            <w:vAlign w:val="center"/>
          </w:tcPr>
          <w:p w14:paraId="206FBF9C"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143</w:t>
            </w:r>
          </w:p>
        </w:tc>
        <w:tc>
          <w:tcPr>
            <w:tcW w:w="591" w:type="pct"/>
            <w:vAlign w:val="center"/>
          </w:tcPr>
          <w:p w14:paraId="7A168AA0"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35</w:t>
            </w:r>
          </w:p>
        </w:tc>
        <w:tc>
          <w:tcPr>
            <w:tcW w:w="627" w:type="pct"/>
            <w:vAlign w:val="center"/>
          </w:tcPr>
          <w:p w14:paraId="4DD11CDA"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99</w:t>
            </w:r>
          </w:p>
        </w:tc>
        <w:tc>
          <w:tcPr>
            <w:tcW w:w="682" w:type="pct"/>
            <w:vAlign w:val="center"/>
          </w:tcPr>
          <w:p w14:paraId="6A4CB36E"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9</w:t>
            </w:r>
          </w:p>
        </w:tc>
        <w:tc>
          <w:tcPr>
            <w:tcW w:w="533" w:type="pct"/>
            <w:vAlign w:val="center"/>
          </w:tcPr>
          <w:p w14:paraId="1B8C73CE" w14:textId="77777777" w:rsidR="00113170" w:rsidRPr="00B95108" w:rsidRDefault="00113170" w:rsidP="006E411F">
            <w:pPr>
              <w:spacing w:before="60" w:after="60"/>
              <w:jc w:val="center"/>
              <w:rPr>
                <w:color w:val="000000"/>
                <w:sz w:val="24"/>
                <w:szCs w:val="24"/>
              </w:rPr>
            </w:pPr>
            <w:r w:rsidRPr="00B95108">
              <w:rPr>
                <w:color w:val="000000"/>
                <w:sz w:val="24"/>
                <w:szCs w:val="24"/>
              </w:rPr>
              <w:t>3</w:t>
            </w:r>
          </w:p>
        </w:tc>
      </w:tr>
      <w:tr w:rsidR="00113170" w:rsidRPr="00B95108" w14:paraId="0C97AEE2" w14:textId="77777777" w:rsidTr="00661AD1">
        <w:trPr>
          <w:cantSplit w:val="0"/>
          <w:trHeight w:val="158"/>
        </w:trPr>
        <w:tc>
          <w:tcPr>
            <w:tcW w:w="667" w:type="pct"/>
            <w:vAlign w:val="center"/>
          </w:tcPr>
          <w:p w14:paraId="13F0BF44" w14:textId="77777777" w:rsidR="00113170" w:rsidRPr="00B95108" w:rsidRDefault="00113170" w:rsidP="006E411F">
            <w:pPr>
              <w:keepNext/>
              <w:spacing w:before="60" w:after="60"/>
              <w:rPr>
                <w:bCs/>
                <w:color w:val="000000"/>
                <w:sz w:val="24"/>
                <w:szCs w:val="24"/>
              </w:rPr>
            </w:pPr>
            <w:r w:rsidRPr="00B95108">
              <w:rPr>
                <w:bCs/>
                <w:color w:val="000000"/>
                <w:sz w:val="24"/>
                <w:szCs w:val="24"/>
              </w:rPr>
              <w:t>Bladder</w:t>
            </w:r>
          </w:p>
        </w:tc>
        <w:tc>
          <w:tcPr>
            <w:tcW w:w="653" w:type="pct"/>
            <w:vAlign w:val="center"/>
          </w:tcPr>
          <w:p w14:paraId="15E661DB"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166</w:t>
            </w:r>
          </w:p>
        </w:tc>
        <w:tc>
          <w:tcPr>
            <w:tcW w:w="647" w:type="pct"/>
            <w:vAlign w:val="center"/>
          </w:tcPr>
          <w:p w14:paraId="4244D358"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80</w:t>
            </w:r>
          </w:p>
        </w:tc>
        <w:tc>
          <w:tcPr>
            <w:tcW w:w="600" w:type="pct"/>
            <w:vAlign w:val="center"/>
          </w:tcPr>
          <w:p w14:paraId="656CA711"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51</w:t>
            </w:r>
          </w:p>
        </w:tc>
        <w:tc>
          <w:tcPr>
            <w:tcW w:w="591" w:type="pct"/>
            <w:vAlign w:val="center"/>
          </w:tcPr>
          <w:p w14:paraId="145217B0"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17</w:t>
            </w:r>
          </w:p>
        </w:tc>
        <w:tc>
          <w:tcPr>
            <w:tcW w:w="627" w:type="pct"/>
            <w:vAlign w:val="center"/>
          </w:tcPr>
          <w:p w14:paraId="2C636C9E"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29</w:t>
            </w:r>
          </w:p>
        </w:tc>
        <w:tc>
          <w:tcPr>
            <w:tcW w:w="682" w:type="pct"/>
            <w:vAlign w:val="center"/>
          </w:tcPr>
          <w:p w14:paraId="7D4AAD48"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5</w:t>
            </w:r>
          </w:p>
        </w:tc>
        <w:tc>
          <w:tcPr>
            <w:tcW w:w="533" w:type="pct"/>
            <w:vAlign w:val="center"/>
          </w:tcPr>
          <w:p w14:paraId="34E692BA" w14:textId="77777777" w:rsidR="00113170" w:rsidRPr="00B95108" w:rsidRDefault="00113170" w:rsidP="006E411F">
            <w:pPr>
              <w:spacing w:before="60" w:after="60"/>
              <w:jc w:val="center"/>
              <w:rPr>
                <w:color w:val="000000"/>
                <w:sz w:val="24"/>
                <w:szCs w:val="24"/>
              </w:rPr>
            </w:pPr>
            <w:r w:rsidRPr="00B95108">
              <w:rPr>
                <w:color w:val="000000"/>
                <w:sz w:val="24"/>
                <w:szCs w:val="24"/>
              </w:rPr>
              <w:t>3</w:t>
            </w:r>
          </w:p>
        </w:tc>
      </w:tr>
      <w:tr w:rsidR="00113170" w:rsidRPr="00B95108" w14:paraId="5287A693" w14:textId="77777777" w:rsidTr="00661AD1">
        <w:trPr>
          <w:cantSplit w:val="0"/>
          <w:trHeight w:val="38"/>
        </w:trPr>
        <w:tc>
          <w:tcPr>
            <w:tcW w:w="667" w:type="pct"/>
            <w:vAlign w:val="center"/>
          </w:tcPr>
          <w:p w14:paraId="321CC841" w14:textId="77777777" w:rsidR="00113170" w:rsidRPr="00B95108" w:rsidRDefault="00113170">
            <w:pPr>
              <w:spacing w:before="60" w:after="60"/>
              <w:rPr>
                <w:rFonts w:eastAsia="Times New Roman"/>
                <w:bCs/>
                <w:w w:val="105"/>
                <w:sz w:val="24"/>
                <w:szCs w:val="24"/>
                <w:lang w:eastAsia="en-US"/>
              </w:rPr>
            </w:pPr>
            <w:r w:rsidRPr="00B95108">
              <w:rPr>
                <w:bCs/>
                <w:color w:val="000000"/>
                <w:sz w:val="24"/>
                <w:szCs w:val="24"/>
              </w:rPr>
              <w:t>Total</w:t>
            </w:r>
          </w:p>
        </w:tc>
        <w:tc>
          <w:tcPr>
            <w:tcW w:w="653" w:type="pct"/>
            <w:vAlign w:val="center"/>
          </w:tcPr>
          <w:p w14:paraId="153B2947"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979</w:t>
            </w:r>
          </w:p>
        </w:tc>
        <w:tc>
          <w:tcPr>
            <w:tcW w:w="647" w:type="pct"/>
            <w:vAlign w:val="center"/>
          </w:tcPr>
          <w:p w14:paraId="19AB3D18"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442</w:t>
            </w:r>
          </w:p>
        </w:tc>
        <w:tc>
          <w:tcPr>
            <w:tcW w:w="600" w:type="pct"/>
            <w:vAlign w:val="center"/>
          </w:tcPr>
          <w:p w14:paraId="59539350" w14:textId="77777777" w:rsidR="00113170" w:rsidRPr="00B95108" w:rsidRDefault="00113170" w:rsidP="006E411F">
            <w:pPr>
              <w:spacing w:before="60" w:after="60"/>
              <w:jc w:val="center"/>
              <w:rPr>
                <w:rFonts w:eastAsia="Times New Roman"/>
                <w:bCs/>
                <w:w w:val="105"/>
                <w:sz w:val="24"/>
                <w:szCs w:val="24"/>
                <w:lang w:eastAsia="en-US"/>
              </w:rPr>
            </w:pPr>
            <w:r w:rsidRPr="00B95108">
              <w:rPr>
                <w:color w:val="000000"/>
                <w:sz w:val="24"/>
                <w:szCs w:val="24"/>
              </w:rPr>
              <w:t>323</w:t>
            </w:r>
          </w:p>
        </w:tc>
        <w:tc>
          <w:tcPr>
            <w:tcW w:w="591" w:type="pct"/>
            <w:vAlign w:val="center"/>
          </w:tcPr>
          <w:p w14:paraId="76475CD8"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64</w:t>
            </w:r>
          </w:p>
        </w:tc>
        <w:tc>
          <w:tcPr>
            <w:tcW w:w="627" w:type="pct"/>
            <w:vAlign w:val="center"/>
          </w:tcPr>
          <w:p w14:paraId="2AC1C32E"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236</w:t>
            </w:r>
          </w:p>
        </w:tc>
        <w:tc>
          <w:tcPr>
            <w:tcW w:w="682" w:type="pct"/>
            <w:vAlign w:val="center"/>
          </w:tcPr>
          <w:p w14:paraId="66698729" w14:textId="77777777" w:rsidR="00113170" w:rsidRPr="00B95108" w:rsidRDefault="00113170" w:rsidP="006E411F">
            <w:pPr>
              <w:spacing w:before="60" w:after="60"/>
              <w:jc w:val="center"/>
              <w:rPr>
                <w:rFonts w:eastAsia="Times New Roman"/>
                <w:bCs/>
                <w:w w:val="102"/>
                <w:sz w:val="24"/>
                <w:szCs w:val="24"/>
                <w:lang w:eastAsia="en-US"/>
              </w:rPr>
            </w:pPr>
            <w:r w:rsidRPr="00B95108">
              <w:rPr>
                <w:color w:val="000000"/>
                <w:sz w:val="24"/>
                <w:szCs w:val="24"/>
              </w:rPr>
              <w:t>23</w:t>
            </w:r>
          </w:p>
        </w:tc>
        <w:tc>
          <w:tcPr>
            <w:tcW w:w="533" w:type="pct"/>
            <w:vAlign w:val="center"/>
          </w:tcPr>
          <w:p w14:paraId="79732CB9" w14:textId="77777777" w:rsidR="00113170" w:rsidRPr="00B95108" w:rsidRDefault="00113170" w:rsidP="006E411F">
            <w:pPr>
              <w:spacing w:before="60" w:after="60"/>
              <w:jc w:val="center"/>
              <w:rPr>
                <w:color w:val="000000"/>
                <w:sz w:val="24"/>
                <w:szCs w:val="24"/>
              </w:rPr>
            </w:pPr>
            <w:r w:rsidRPr="00B95108">
              <w:rPr>
                <w:color w:val="000000"/>
                <w:sz w:val="24"/>
                <w:szCs w:val="24"/>
              </w:rPr>
              <w:t>10</w:t>
            </w:r>
          </w:p>
        </w:tc>
      </w:tr>
    </w:tbl>
    <w:p w14:paraId="390E2880" w14:textId="77777777" w:rsidR="00113170" w:rsidRPr="00661AD1" w:rsidRDefault="00113170" w:rsidP="006E411F">
      <w:pPr>
        <w:tabs>
          <w:tab w:val="left" w:pos="144"/>
        </w:tabs>
        <w:spacing w:after="0" w:line="240" w:lineRule="auto"/>
        <w:jc w:val="both"/>
        <w:rPr>
          <w:rFonts w:ascii="Times New Roman" w:eastAsia="Times New Roman" w:hAnsi="Times New Roman" w:cs="Times New Roman"/>
          <w:w w:val="105"/>
          <w:sz w:val="24"/>
          <w:szCs w:val="24"/>
          <w:lang w:eastAsia="en-US"/>
        </w:rPr>
      </w:pPr>
    </w:p>
    <w:p w14:paraId="6F347AD5" w14:textId="77777777" w:rsidR="00113170" w:rsidRPr="00B95108" w:rsidRDefault="00113170" w:rsidP="006E411F">
      <w:pPr>
        <w:tabs>
          <w:tab w:val="left" w:pos="144"/>
        </w:tabs>
        <w:spacing w:after="0" w:line="240" w:lineRule="auto"/>
        <w:jc w:val="both"/>
        <w:rPr>
          <w:rFonts w:ascii="Times New Roman" w:hAnsi="Times New Roman" w:cs="Times New Roman"/>
          <w:w w:val="105"/>
          <w:sz w:val="24"/>
          <w:szCs w:val="24"/>
        </w:rPr>
      </w:pPr>
      <w:r w:rsidRPr="00B95108">
        <w:rPr>
          <w:rFonts w:ascii="Times New Roman" w:eastAsia="Times New Roman" w:hAnsi="Times New Roman" w:cs="Times New Roman"/>
          <w:w w:val="105"/>
          <w:sz w:val="24"/>
          <w:szCs w:val="24"/>
          <w:vertAlign w:val="superscript"/>
          <w:lang w:eastAsia="en-US"/>
        </w:rPr>
        <w:t>a</w:t>
      </w:r>
      <w:r w:rsidRPr="00B95108">
        <w:rPr>
          <w:rFonts w:ascii="Times New Roman" w:eastAsia="Times New Roman" w:hAnsi="Times New Roman" w:cs="Times New Roman"/>
          <w:w w:val="105"/>
          <w:sz w:val="24"/>
          <w:szCs w:val="24"/>
          <w:lang w:eastAsia="en-US"/>
        </w:rPr>
        <w:t xml:space="preserve">ADP-0000-001 (NCT02636855) screened patients for ADP-0022-004 and other studies throughout the </w:t>
      </w:r>
      <w:proofErr w:type="gramStart"/>
      <w:r w:rsidRPr="00B95108">
        <w:rPr>
          <w:rFonts w:ascii="Times New Roman" w:eastAsia="Times New Roman" w:hAnsi="Times New Roman" w:cs="Times New Roman"/>
          <w:w w:val="105"/>
          <w:sz w:val="24"/>
          <w:szCs w:val="24"/>
          <w:lang w:eastAsia="en-US"/>
        </w:rPr>
        <w:t>time period</w:t>
      </w:r>
      <w:proofErr w:type="gramEnd"/>
      <w:r w:rsidRPr="00B95108">
        <w:rPr>
          <w:rFonts w:ascii="Times New Roman" w:eastAsia="Times New Roman" w:hAnsi="Times New Roman" w:cs="Times New Roman"/>
          <w:w w:val="105"/>
          <w:sz w:val="24"/>
          <w:szCs w:val="24"/>
          <w:lang w:eastAsia="en-US"/>
        </w:rPr>
        <w:t xml:space="preserve"> of this trial.</w:t>
      </w:r>
    </w:p>
    <w:p w14:paraId="4B593065" w14:textId="77777777" w:rsidR="00113170" w:rsidRPr="00B95108" w:rsidRDefault="00113170" w:rsidP="006E411F">
      <w:pPr>
        <w:tabs>
          <w:tab w:val="left" w:pos="144"/>
        </w:tabs>
        <w:spacing w:after="0" w:line="240" w:lineRule="auto"/>
        <w:jc w:val="both"/>
        <w:rPr>
          <w:rFonts w:ascii="Times New Roman" w:hAnsi="Times New Roman" w:cs="Times New Roman"/>
          <w:w w:val="105"/>
          <w:sz w:val="24"/>
          <w:szCs w:val="24"/>
        </w:rPr>
      </w:pPr>
      <w:r w:rsidRPr="00B95108">
        <w:rPr>
          <w:rFonts w:ascii="Times New Roman" w:eastAsia="Times New Roman" w:hAnsi="Times New Roman" w:cs="Times New Roman"/>
          <w:w w:val="105"/>
          <w:sz w:val="24"/>
          <w:szCs w:val="24"/>
          <w:vertAlign w:val="superscript"/>
          <w:lang w:eastAsia="en-US"/>
        </w:rPr>
        <w:t>b</w:t>
      </w:r>
      <w:r w:rsidRPr="00B95108">
        <w:rPr>
          <w:rFonts w:ascii="Times New Roman" w:eastAsia="Times New Roman" w:hAnsi="Times New Roman" w:cs="Times New Roman"/>
          <w:w w:val="105"/>
          <w:sz w:val="24"/>
          <w:szCs w:val="24"/>
          <w:lang w:eastAsia="en-US"/>
        </w:rPr>
        <w:t>M</w:t>
      </w:r>
      <w:r>
        <w:rPr>
          <w:rFonts w:ascii="Times New Roman" w:eastAsia="Times New Roman" w:hAnsi="Times New Roman" w:cs="Times New Roman"/>
          <w:w w:val="105"/>
          <w:sz w:val="24"/>
          <w:szCs w:val="24"/>
          <w:lang w:eastAsia="en-US"/>
        </w:rPr>
        <w:t>AGE</w:t>
      </w:r>
      <w:r w:rsidRPr="00B95108">
        <w:rPr>
          <w:rFonts w:ascii="Times New Roman" w:eastAsia="Times New Roman" w:hAnsi="Times New Roman" w:cs="Times New Roman"/>
          <w:w w:val="105"/>
          <w:sz w:val="24"/>
          <w:szCs w:val="24"/>
          <w:lang w:eastAsia="en-US"/>
        </w:rPr>
        <w:t>-A10 positive and negative staining by immunohistochemistry was determined by the cut-off at the time of testing.</w:t>
      </w:r>
    </w:p>
    <w:p w14:paraId="37A265A3" w14:textId="77777777" w:rsidR="00113170" w:rsidRPr="00B95108" w:rsidRDefault="00113170">
      <w:pPr>
        <w:tabs>
          <w:tab w:val="left" w:pos="144"/>
        </w:tabs>
        <w:spacing w:after="0" w:line="240" w:lineRule="auto"/>
        <w:jc w:val="both"/>
        <w:rPr>
          <w:rFonts w:ascii="Times New Roman" w:eastAsia="Times New Roman" w:hAnsi="Times New Roman" w:cs="Times New Roman"/>
          <w:w w:val="105"/>
          <w:sz w:val="24"/>
          <w:szCs w:val="24"/>
          <w:lang w:eastAsia="en-US"/>
        </w:rPr>
      </w:pPr>
      <w:r w:rsidRPr="00B95108">
        <w:rPr>
          <w:rFonts w:ascii="Times New Roman" w:eastAsia="Times New Roman" w:hAnsi="Times New Roman" w:cs="Times New Roman"/>
          <w:w w:val="105"/>
          <w:sz w:val="24"/>
          <w:szCs w:val="24"/>
          <w:vertAlign w:val="superscript"/>
          <w:lang w:eastAsia="en-US"/>
        </w:rPr>
        <w:t>c</w:t>
      </w:r>
      <w:r w:rsidRPr="00B95108">
        <w:rPr>
          <w:rFonts w:ascii="Times New Roman" w:eastAsia="Times New Roman" w:hAnsi="Times New Roman" w:cs="Times New Roman"/>
          <w:w w:val="105"/>
          <w:sz w:val="24"/>
          <w:szCs w:val="24"/>
          <w:lang w:eastAsia="en-US"/>
        </w:rPr>
        <w:t>Not evaluable defined as: tumor content insufficient (i</w:t>
      </w:r>
      <w:r>
        <w:rPr>
          <w:rFonts w:ascii="Times New Roman" w:eastAsia="Times New Roman" w:hAnsi="Times New Roman" w:cs="Times New Roman"/>
          <w:w w:val="105"/>
          <w:sz w:val="24"/>
          <w:szCs w:val="24"/>
          <w:lang w:eastAsia="en-US"/>
        </w:rPr>
        <w:t>.</w:t>
      </w:r>
      <w:r w:rsidRPr="00B95108">
        <w:rPr>
          <w:rFonts w:ascii="Times New Roman" w:eastAsia="Times New Roman" w:hAnsi="Times New Roman" w:cs="Times New Roman"/>
          <w:w w:val="105"/>
          <w:sz w:val="24"/>
          <w:szCs w:val="24"/>
          <w:lang w:eastAsia="en-US"/>
        </w:rPr>
        <w:t>e</w:t>
      </w:r>
      <w:r>
        <w:rPr>
          <w:rFonts w:ascii="Times New Roman" w:eastAsia="Times New Roman" w:hAnsi="Times New Roman" w:cs="Times New Roman"/>
          <w:w w:val="105"/>
          <w:sz w:val="24"/>
          <w:szCs w:val="24"/>
          <w:lang w:eastAsia="en-US"/>
        </w:rPr>
        <w:t>.</w:t>
      </w:r>
      <w:r w:rsidRPr="00B95108">
        <w:rPr>
          <w:rFonts w:ascii="Times New Roman" w:eastAsia="Times New Roman" w:hAnsi="Times New Roman" w:cs="Times New Roman"/>
          <w:w w:val="105"/>
          <w:sz w:val="24"/>
          <w:szCs w:val="24"/>
          <w:lang w:eastAsia="en-US"/>
        </w:rPr>
        <w:t>, &lt;100 tumor cells, no tumor present, ineligible sample type, or ineligible cancer indication/histology).</w:t>
      </w:r>
    </w:p>
    <w:p w14:paraId="6C21FAF9" w14:textId="77777777" w:rsidR="00113170" w:rsidRPr="00B95108" w:rsidRDefault="00113170" w:rsidP="006E411F">
      <w:pPr>
        <w:tabs>
          <w:tab w:val="left" w:pos="144"/>
        </w:tabs>
        <w:spacing w:after="0" w:line="240" w:lineRule="auto"/>
        <w:jc w:val="both"/>
        <w:rPr>
          <w:rFonts w:ascii="Times New Roman" w:eastAsia="Times New Roman" w:hAnsi="Times New Roman" w:cs="Times New Roman"/>
          <w:w w:val="105"/>
          <w:sz w:val="24"/>
          <w:szCs w:val="24"/>
          <w:lang w:eastAsia="en-US"/>
        </w:rPr>
      </w:pPr>
      <w:r w:rsidRPr="00B95108">
        <w:rPr>
          <w:rFonts w:ascii="Times New Roman" w:eastAsia="Times New Roman" w:hAnsi="Times New Roman" w:cs="Times New Roman"/>
          <w:w w:val="105"/>
          <w:sz w:val="24"/>
          <w:szCs w:val="24"/>
          <w:lang w:eastAsia="en-US"/>
        </w:rPr>
        <w:t>HLA, human leukocyte antigen;</w:t>
      </w:r>
      <w:r>
        <w:rPr>
          <w:rFonts w:ascii="Times New Roman" w:eastAsia="Times New Roman" w:hAnsi="Times New Roman" w:cs="Times New Roman"/>
          <w:w w:val="105"/>
          <w:sz w:val="24"/>
          <w:szCs w:val="24"/>
          <w:lang w:eastAsia="en-US"/>
        </w:rPr>
        <w:t xml:space="preserve"> MAGE, </w:t>
      </w:r>
      <w:r w:rsidRPr="00BA4ADF">
        <w:rPr>
          <w:rFonts w:ascii="Times New Roman" w:hAnsi="Times New Roman" w:cs="Times New Roman"/>
          <w:sz w:val="24"/>
          <w:szCs w:val="24"/>
        </w:rPr>
        <w:t>melanoma-associated antigen</w:t>
      </w:r>
      <w:r w:rsidRPr="00B95108">
        <w:rPr>
          <w:rFonts w:ascii="Times New Roman" w:eastAsia="Times New Roman" w:hAnsi="Times New Roman" w:cs="Times New Roman"/>
          <w:w w:val="105"/>
          <w:sz w:val="24"/>
          <w:szCs w:val="24"/>
          <w:lang w:eastAsia="en-US"/>
        </w:rPr>
        <w:t>.</w:t>
      </w:r>
    </w:p>
    <w:p w14:paraId="6EA61DB6" w14:textId="77777777" w:rsidR="00113170" w:rsidRDefault="00113170" w:rsidP="00C04ED5">
      <w:pPr>
        <w:pStyle w:val="Heading2"/>
        <w:pageBreakBefore/>
        <w:spacing w:after="0" w:line="240" w:lineRule="auto"/>
        <w:rPr>
          <w:rFonts w:ascii="Times New Roman" w:hAnsi="Times New Roman" w:cs="Times New Roman"/>
          <w:b w:val="0"/>
          <w:bCs/>
          <w:sz w:val="24"/>
          <w:szCs w:val="24"/>
        </w:rPr>
      </w:pPr>
      <w:bookmarkStart w:id="23" w:name="_Toc87612721"/>
      <w:r w:rsidRPr="00B95108">
        <w:rPr>
          <w:rFonts w:ascii="Times New Roman" w:hAnsi="Times New Roman" w:cs="Times New Roman"/>
          <w:bCs/>
          <w:sz w:val="24"/>
          <w:szCs w:val="24"/>
        </w:rPr>
        <w:lastRenderedPageBreak/>
        <w:t xml:space="preserve">Supplementary Table 2. </w:t>
      </w:r>
      <w:bookmarkStart w:id="24" w:name="_Hlk76643120"/>
      <w:r w:rsidRPr="00661AD1">
        <w:rPr>
          <w:rFonts w:ascii="Times New Roman" w:hAnsi="Times New Roman" w:cs="Times New Roman"/>
          <w:b w:val="0"/>
          <w:bCs/>
          <w:sz w:val="24"/>
          <w:szCs w:val="24"/>
        </w:rPr>
        <w:t>All AEs related</w:t>
      </w:r>
      <w:r w:rsidRPr="00661AD1">
        <w:rPr>
          <w:rFonts w:ascii="Times New Roman" w:hAnsi="Times New Roman" w:cs="Times New Roman"/>
          <w:b w:val="0"/>
          <w:bCs/>
          <w:sz w:val="24"/>
          <w:szCs w:val="24"/>
          <w:vertAlign w:val="superscript"/>
        </w:rPr>
        <w:t>a</w:t>
      </w:r>
      <w:r w:rsidRPr="00661AD1">
        <w:rPr>
          <w:rFonts w:ascii="Times New Roman" w:hAnsi="Times New Roman" w:cs="Times New Roman"/>
          <w:b w:val="0"/>
          <w:bCs/>
          <w:sz w:val="24"/>
          <w:szCs w:val="24"/>
        </w:rPr>
        <w:t xml:space="preserve"> to ADP-A2M10 by grade ≥3 (mITT population)</w:t>
      </w:r>
      <w:bookmarkEnd w:id="24"/>
      <w:r w:rsidRPr="00B95108">
        <w:rPr>
          <w:rFonts w:ascii="Times New Roman" w:hAnsi="Times New Roman" w:cs="Times New Roman"/>
          <w:b w:val="0"/>
          <w:bCs/>
          <w:sz w:val="24"/>
          <w:szCs w:val="24"/>
        </w:rPr>
        <w:t>.</w:t>
      </w:r>
      <w:bookmarkEnd w:id="23"/>
    </w:p>
    <w:p w14:paraId="75CEC7AD" w14:textId="77777777" w:rsidR="00113170" w:rsidRPr="00F21286" w:rsidRDefault="00113170" w:rsidP="00661AD1">
      <w:pPr>
        <w:spacing w:after="0" w:line="240" w:lineRule="auto"/>
        <w:rPr>
          <w:rFonts w:ascii="Times New Roman" w:hAnsi="Times New Roman" w:cs="Times New Roman"/>
          <w:sz w:val="24"/>
          <w:szCs w:val="24"/>
        </w:rPr>
      </w:pPr>
    </w:p>
    <w:tbl>
      <w:tblPr>
        <w:tblStyle w:val="C-Table"/>
        <w:tblW w:w="5000" w:type="pct"/>
        <w:tblLayout w:type="fixed"/>
        <w:tblLook w:val="04A0" w:firstRow="1" w:lastRow="0" w:firstColumn="1" w:lastColumn="0" w:noHBand="0" w:noVBand="1"/>
      </w:tblPr>
      <w:tblGrid>
        <w:gridCol w:w="4804"/>
        <w:gridCol w:w="1514"/>
        <w:gridCol w:w="1514"/>
        <w:gridCol w:w="1512"/>
      </w:tblGrid>
      <w:tr w:rsidR="00113170" w:rsidRPr="00B95108" w14:paraId="0BA6AD49" w14:textId="77777777" w:rsidTr="00661AD1">
        <w:trPr>
          <w:cantSplit w:val="0"/>
          <w:trHeight w:val="149"/>
          <w:tblHeader/>
        </w:trPr>
        <w:tc>
          <w:tcPr>
            <w:tcW w:w="2571" w:type="pct"/>
          </w:tcPr>
          <w:p w14:paraId="18CF1BBB" w14:textId="77777777" w:rsidR="00113170" w:rsidRPr="00B95108" w:rsidRDefault="00113170" w:rsidP="00386915">
            <w:pPr>
              <w:keepNext/>
              <w:spacing w:before="60" w:after="60"/>
              <w:rPr>
                <w:rFonts w:eastAsia="Times New Roman"/>
                <w:b/>
                <w:sz w:val="24"/>
                <w:szCs w:val="24"/>
                <w:lang w:eastAsia="en-US"/>
              </w:rPr>
            </w:pPr>
          </w:p>
        </w:tc>
        <w:tc>
          <w:tcPr>
            <w:tcW w:w="2429" w:type="pct"/>
            <w:gridSpan w:val="3"/>
          </w:tcPr>
          <w:p w14:paraId="5C678D5A" w14:textId="77777777" w:rsidR="00113170" w:rsidRPr="00B95108" w:rsidRDefault="00113170" w:rsidP="00386915">
            <w:pPr>
              <w:keepNext/>
              <w:spacing w:before="60" w:after="60"/>
              <w:jc w:val="center"/>
              <w:rPr>
                <w:rFonts w:eastAsia="Times New Roman"/>
                <w:bCs/>
                <w:sz w:val="24"/>
                <w:szCs w:val="24"/>
                <w:lang w:eastAsia="en-US"/>
              </w:rPr>
            </w:pPr>
            <w:r w:rsidRPr="00B95108">
              <w:rPr>
                <w:rFonts w:eastAsia="Times New Roman"/>
                <w:b/>
                <w:sz w:val="24"/>
                <w:szCs w:val="24"/>
                <w:lang w:eastAsia="en-US"/>
              </w:rPr>
              <w:t>Number of patients (N = 10)</w:t>
            </w:r>
          </w:p>
        </w:tc>
      </w:tr>
      <w:tr w:rsidR="00113170" w:rsidRPr="00B95108" w14:paraId="16AB34B2" w14:textId="77777777" w:rsidTr="00661AD1">
        <w:trPr>
          <w:cantSplit w:val="0"/>
          <w:trHeight w:val="155"/>
          <w:tblHeader/>
        </w:trPr>
        <w:tc>
          <w:tcPr>
            <w:tcW w:w="2571" w:type="pct"/>
          </w:tcPr>
          <w:p w14:paraId="1452791A" w14:textId="77777777" w:rsidR="00113170" w:rsidRPr="00B95108" w:rsidRDefault="00113170" w:rsidP="00386915">
            <w:pPr>
              <w:keepNext/>
              <w:spacing w:before="60" w:after="60"/>
              <w:rPr>
                <w:rFonts w:eastAsia="Times New Roman"/>
                <w:b/>
                <w:sz w:val="24"/>
                <w:szCs w:val="24"/>
                <w:lang w:eastAsia="en-US"/>
              </w:rPr>
            </w:pPr>
            <w:r w:rsidRPr="00B95108">
              <w:rPr>
                <w:rFonts w:eastAsia="Times New Roman"/>
                <w:b/>
                <w:sz w:val="24"/>
                <w:szCs w:val="24"/>
                <w:lang w:eastAsia="en-US"/>
              </w:rPr>
              <w:t>Preferred term</w:t>
            </w:r>
          </w:p>
        </w:tc>
        <w:tc>
          <w:tcPr>
            <w:tcW w:w="810" w:type="pct"/>
          </w:tcPr>
          <w:p w14:paraId="3AFC9B09" w14:textId="77777777" w:rsidR="00113170" w:rsidRPr="00B95108" w:rsidRDefault="00113170" w:rsidP="00386915">
            <w:pPr>
              <w:keepNext/>
              <w:spacing w:before="60" w:after="60"/>
              <w:rPr>
                <w:rFonts w:eastAsia="Times New Roman"/>
                <w:b/>
                <w:sz w:val="24"/>
                <w:szCs w:val="24"/>
                <w:lang w:eastAsia="en-US"/>
              </w:rPr>
            </w:pPr>
            <w:r w:rsidRPr="00B95108">
              <w:rPr>
                <w:rFonts w:eastAsia="Times New Roman"/>
                <w:b/>
                <w:sz w:val="24"/>
                <w:szCs w:val="24"/>
                <w:lang w:eastAsia="en-US"/>
              </w:rPr>
              <w:t>Any grade</w:t>
            </w:r>
          </w:p>
        </w:tc>
        <w:tc>
          <w:tcPr>
            <w:tcW w:w="810" w:type="pct"/>
          </w:tcPr>
          <w:p w14:paraId="07D471C7" w14:textId="77777777" w:rsidR="00113170" w:rsidRPr="00B95108" w:rsidRDefault="00113170" w:rsidP="00386915">
            <w:pPr>
              <w:keepNext/>
              <w:spacing w:before="60" w:after="60"/>
              <w:rPr>
                <w:rFonts w:eastAsia="Times New Roman"/>
                <w:sz w:val="24"/>
                <w:szCs w:val="24"/>
                <w:lang w:eastAsia="en-US"/>
              </w:rPr>
            </w:pPr>
            <w:r w:rsidRPr="00B95108">
              <w:rPr>
                <w:rFonts w:eastAsia="Times New Roman"/>
                <w:b/>
                <w:sz w:val="24"/>
                <w:szCs w:val="24"/>
                <w:lang w:eastAsia="en-US"/>
              </w:rPr>
              <w:t>Grade 3</w:t>
            </w:r>
          </w:p>
        </w:tc>
        <w:tc>
          <w:tcPr>
            <w:tcW w:w="810" w:type="pct"/>
          </w:tcPr>
          <w:p w14:paraId="7C1D9A09" w14:textId="77777777" w:rsidR="00113170" w:rsidRPr="00B95108" w:rsidRDefault="00113170" w:rsidP="00386915">
            <w:pPr>
              <w:keepNext/>
              <w:spacing w:before="60" w:after="60"/>
              <w:rPr>
                <w:rFonts w:eastAsia="Times New Roman"/>
                <w:sz w:val="24"/>
                <w:szCs w:val="24"/>
                <w:lang w:eastAsia="en-US"/>
              </w:rPr>
            </w:pPr>
            <w:r w:rsidRPr="00B95108">
              <w:rPr>
                <w:rFonts w:eastAsia="Times New Roman"/>
                <w:b/>
                <w:sz w:val="24"/>
                <w:szCs w:val="24"/>
                <w:lang w:eastAsia="en-US"/>
              </w:rPr>
              <w:t>Grade 4</w:t>
            </w:r>
          </w:p>
        </w:tc>
      </w:tr>
      <w:tr w:rsidR="00113170" w:rsidRPr="00B95108" w14:paraId="37CD13D6" w14:textId="77777777" w:rsidTr="00661AD1">
        <w:trPr>
          <w:cantSplit w:val="0"/>
          <w:trHeight w:val="161"/>
          <w:tblHeader/>
        </w:trPr>
        <w:tc>
          <w:tcPr>
            <w:tcW w:w="2571" w:type="pct"/>
          </w:tcPr>
          <w:p w14:paraId="41115A05" w14:textId="77777777" w:rsidR="00113170" w:rsidRPr="00B95108" w:rsidRDefault="00113170" w:rsidP="00386915">
            <w:pPr>
              <w:keepNext/>
              <w:spacing w:before="60" w:after="60"/>
              <w:rPr>
                <w:rFonts w:eastAsia="Times New Roman"/>
                <w:bCs/>
                <w:sz w:val="24"/>
                <w:szCs w:val="24"/>
                <w:lang w:eastAsia="en-US"/>
              </w:rPr>
            </w:pPr>
            <w:r w:rsidRPr="00B95108">
              <w:rPr>
                <w:rFonts w:eastAsia="Times New Roman"/>
                <w:bCs/>
                <w:sz w:val="24"/>
                <w:szCs w:val="24"/>
                <w:lang w:eastAsia="en-US"/>
              </w:rPr>
              <w:t>Patients with any AE</w:t>
            </w:r>
          </w:p>
        </w:tc>
        <w:tc>
          <w:tcPr>
            <w:tcW w:w="810" w:type="pct"/>
          </w:tcPr>
          <w:p w14:paraId="51B744FC" w14:textId="77777777" w:rsidR="00113170" w:rsidRPr="00B95108" w:rsidRDefault="00113170" w:rsidP="00386915">
            <w:pPr>
              <w:keepNext/>
              <w:spacing w:before="60" w:after="60"/>
              <w:rPr>
                <w:rFonts w:eastAsia="Times New Roman"/>
                <w:bCs/>
                <w:sz w:val="24"/>
                <w:szCs w:val="24"/>
                <w:lang w:eastAsia="en-US"/>
              </w:rPr>
            </w:pPr>
            <w:r w:rsidRPr="00B95108">
              <w:rPr>
                <w:rFonts w:eastAsia="Times New Roman"/>
                <w:bCs/>
                <w:sz w:val="24"/>
                <w:szCs w:val="24"/>
                <w:lang w:eastAsia="en-US"/>
              </w:rPr>
              <w:t>9</w:t>
            </w:r>
          </w:p>
        </w:tc>
        <w:tc>
          <w:tcPr>
            <w:tcW w:w="810" w:type="pct"/>
          </w:tcPr>
          <w:p w14:paraId="7EDE6936" w14:textId="77777777" w:rsidR="00113170" w:rsidRPr="00B95108" w:rsidRDefault="00113170" w:rsidP="00386915">
            <w:pPr>
              <w:keepNext/>
              <w:spacing w:before="60" w:after="60"/>
              <w:rPr>
                <w:rFonts w:eastAsia="Times New Roman"/>
                <w:bCs/>
                <w:sz w:val="24"/>
                <w:szCs w:val="24"/>
                <w:lang w:eastAsia="en-US"/>
              </w:rPr>
            </w:pPr>
            <w:r w:rsidRPr="00B95108">
              <w:rPr>
                <w:rFonts w:eastAsia="Times New Roman"/>
                <w:bCs/>
                <w:sz w:val="24"/>
                <w:szCs w:val="24"/>
                <w:lang w:eastAsia="en-US"/>
              </w:rPr>
              <w:t>4</w:t>
            </w:r>
          </w:p>
        </w:tc>
        <w:tc>
          <w:tcPr>
            <w:tcW w:w="810" w:type="pct"/>
          </w:tcPr>
          <w:p w14:paraId="35772B83" w14:textId="77777777" w:rsidR="00113170" w:rsidRPr="00B95108" w:rsidRDefault="00113170" w:rsidP="00386915">
            <w:pPr>
              <w:keepNext/>
              <w:spacing w:before="60" w:after="60"/>
              <w:rPr>
                <w:rFonts w:eastAsia="Times New Roman"/>
                <w:bCs/>
                <w:sz w:val="24"/>
                <w:szCs w:val="24"/>
                <w:lang w:eastAsia="en-US"/>
              </w:rPr>
            </w:pPr>
            <w:r w:rsidRPr="00B95108">
              <w:rPr>
                <w:rFonts w:eastAsia="Times New Roman"/>
                <w:bCs/>
                <w:sz w:val="24"/>
                <w:szCs w:val="24"/>
                <w:lang w:eastAsia="en-US"/>
              </w:rPr>
              <w:t>4</w:t>
            </w:r>
          </w:p>
        </w:tc>
      </w:tr>
      <w:tr w:rsidR="00113170" w:rsidRPr="00B95108" w14:paraId="27433527" w14:textId="77777777" w:rsidTr="00661AD1">
        <w:trPr>
          <w:cantSplit w:val="0"/>
          <w:trHeight w:val="235"/>
        </w:trPr>
        <w:tc>
          <w:tcPr>
            <w:tcW w:w="2571" w:type="pct"/>
          </w:tcPr>
          <w:p w14:paraId="517ECB03"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Pyrexia</w:t>
            </w:r>
          </w:p>
        </w:tc>
        <w:tc>
          <w:tcPr>
            <w:tcW w:w="810" w:type="pct"/>
          </w:tcPr>
          <w:p w14:paraId="083F1CDE"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5</w:t>
            </w:r>
          </w:p>
        </w:tc>
        <w:tc>
          <w:tcPr>
            <w:tcW w:w="810" w:type="pct"/>
          </w:tcPr>
          <w:p w14:paraId="78431DE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41DF1C08"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r>
      <w:tr w:rsidR="00113170" w:rsidRPr="00B95108" w14:paraId="11E93653" w14:textId="77777777" w:rsidTr="00661AD1">
        <w:trPr>
          <w:cantSplit w:val="0"/>
          <w:trHeight w:val="158"/>
        </w:trPr>
        <w:tc>
          <w:tcPr>
            <w:tcW w:w="2571" w:type="pct"/>
          </w:tcPr>
          <w:p w14:paraId="585ACF44"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Rash</w:t>
            </w:r>
          </w:p>
        </w:tc>
        <w:tc>
          <w:tcPr>
            <w:tcW w:w="810" w:type="pct"/>
          </w:tcPr>
          <w:p w14:paraId="2ECE431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4</w:t>
            </w:r>
          </w:p>
        </w:tc>
        <w:tc>
          <w:tcPr>
            <w:tcW w:w="810" w:type="pct"/>
          </w:tcPr>
          <w:p w14:paraId="39F08599"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c>
          <w:tcPr>
            <w:tcW w:w="810" w:type="pct"/>
          </w:tcPr>
          <w:p w14:paraId="5B4219EB"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r>
      <w:tr w:rsidR="00113170" w:rsidRPr="00B95108" w14:paraId="26DA2DE2" w14:textId="77777777" w:rsidTr="00661AD1">
        <w:trPr>
          <w:cantSplit w:val="0"/>
          <w:trHeight w:val="163"/>
        </w:trPr>
        <w:tc>
          <w:tcPr>
            <w:tcW w:w="2571" w:type="pct"/>
          </w:tcPr>
          <w:p w14:paraId="3AD5BB7C"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Neutropenia/neutrophil count decreased</w:t>
            </w:r>
          </w:p>
        </w:tc>
        <w:tc>
          <w:tcPr>
            <w:tcW w:w="810" w:type="pct"/>
          </w:tcPr>
          <w:p w14:paraId="348659C4"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3</w:t>
            </w:r>
          </w:p>
        </w:tc>
        <w:tc>
          <w:tcPr>
            <w:tcW w:w="810" w:type="pct"/>
          </w:tcPr>
          <w:p w14:paraId="212E8640"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10E11B1F"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r>
      <w:tr w:rsidR="00113170" w:rsidRPr="00B95108" w14:paraId="3AB8F94E" w14:textId="77777777" w:rsidTr="00661AD1">
        <w:trPr>
          <w:cantSplit w:val="0"/>
          <w:trHeight w:val="158"/>
        </w:trPr>
        <w:tc>
          <w:tcPr>
            <w:tcW w:w="2571" w:type="pct"/>
          </w:tcPr>
          <w:p w14:paraId="1B1F04BB"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Anemia/red blood cell count decreased</w:t>
            </w:r>
          </w:p>
        </w:tc>
        <w:tc>
          <w:tcPr>
            <w:tcW w:w="810" w:type="pct"/>
          </w:tcPr>
          <w:p w14:paraId="1005344E"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2</w:t>
            </w:r>
          </w:p>
        </w:tc>
        <w:tc>
          <w:tcPr>
            <w:tcW w:w="810" w:type="pct"/>
          </w:tcPr>
          <w:p w14:paraId="32B45AEB"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2</w:t>
            </w:r>
          </w:p>
        </w:tc>
        <w:tc>
          <w:tcPr>
            <w:tcW w:w="810" w:type="pct"/>
          </w:tcPr>
          <w:p w14:paraId="4C10C741"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r>
      <w:tr w:rsidR="00113170" w:rsidRPr="00B95108" w14:paraId="218080DD" w14:textId="77777777" w:rsidTr="00661AD1">
        <w:trPr>
          <w:cantSplit w:val="0"/>
          <w:trHeight w:val="158"/>
        </w:trPr>
        <w:tc>
          <w:tcPr>
            <w:tcW w:w="2571" w:type="pct"/>
          </w:tcPr>
          <w:p w14:paraId="6541065E"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CRS</w:t>
            </w:r>
          </w:p>
        </w:tc>
        <w:tc>
          <w:tcPr>
            <w:tcW w:w="810" w:type="pct"/>
          </w:tcPr>
          <w:p w14:paraId="0A9E269C"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2</w:t>
            </w:r>
          </w:p>
        </w:tc>
        <w:tc>
          <w:tcPr>
            <w:tcW w:w="810" w:type="pct"/>
          </w:tcPr>
          <w:p w14:paraId="703BD5B5"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428272F2"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r>
      <w:tr w:rsidR="00113170" w:rsidRPr="00B95108" w14:paraId="0679534B" w14:textId="77777777" w:rsidTr="00661AD1">
        <w:trPr>
          <w:cantSplit w:val="0"/>
          <w:trHeight w:val="163"/>
        </w:trPr>
        <w:tc>
          <w:tcPr>
            <w:tcW w:w="2571" w:type="pct"/>
          </w:tcPr>
          <w:p w14:paraId="59DC54AF"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Thrombocytopenia/platelet count decreased</w:t>
            </w:r>
          </w:p>
        </w:tc>
        <w:tc>
          <w:tcPr>
            <w:tcW w:w="810" w:type="pct"/>
          </w:tcPr>
          <w:p w14:paraId="74A9927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2</w:t>
            </w:r>
          </w:p>
        </w:tc>
        <w:tc>
          <w:tcPr>
            <w:tcW w:w="810" w:type="pct"/>
          </w:tcPr>
          <w:p w14:paraId="2864D7B8"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c>
          <w:tcPr>
            <w:tcW w:w="810" w:type="pct"/>
          </w:tcPr>
          <w:p w14:paraId="3FB46451"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r>
      <w:tr w:rsidR="00113170" w:rsidRPr="00B95108" w14:paraId="165B2F6F" w14:textId="77777777" w:rsidTr="00661AD1">
        <w:trPr>
          <w:cantSplit w:val="0"/>
          <w:trHeight w:val="163"/>
        </w:trPr>
        <w:tc>
          <w:tcPr>
            <w:tcW w:w="2571" w:type="pct"/>
          </w:tcPr>
          <w:p w14:paraId="777D0BE1"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Alanine aminotransferase increased</w:t>
            </w:r>
          </w:p>
        </w:tc>
        <w:tc>
          <w:tcPr>
            <w:tcW w:w="810" w:type="pct"/>
          </w:tcPr>
          <w:p w14:paraId="133DBA51"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4221676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1688BA2E"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r>
      <w:tr w:rsidR="00113170" w:rsidRPr="00B95108" w14:paraId="2B538EF8" w14:textId="77777777" w:rsidTr="00661AD1">
        <w:trPr>
          <w:cantSplit w:val="0"/>
          <w:trHeight w:val="163"/>
        </w:trPr>
        <w:tc>
          <w:tcPr>
            <w:tcW w:w="2571" w:type="pct"/>
          </w:tcPr>
          <w:p w14:paraId="43377C0F"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Amylase increased</w:t>
            </w:r>
          </w:p>
        </w:tc>
        <w:tc>
          <w:tcPr>
            <w:tcW w:w="810" w:type="pct"/>
          </w:tcPr>
          <w:p w14:paraId="429F10E8"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6B587CBB"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c>
          <w:tcPr>
            <w:tcW w:w="810" w:type="pct"/>
          </w:tcPr>
          <w:p w14:paraId="3CB5F3B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r>
      <w:tr w:rsidR="00113170" w:rsidRPr="00B95108" w14:paraId="6E03C1DC" w14:textId="77777777" w:rsidTr="00661AD1">
        <w:trPr>
          <w:cantSplit w:val="0"/>
          <w:trHeight w:val="163"/>
        </w:trPr>
        <w:tc>
          <w:tcPr>
            <w:tcW w:w="2571" w:type="pct"/>
          </w:tcPr>
          <w:p w14:paraId="3FA0919E"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Aspartate aminotransferase increased</w:t>
            </w:r>
          </w:p>
        </w:tc>
        <w:tc>
          <w:tcPr>
            <w:tcW w:w="810" w:type="pct"/>
          </w:tcPr>
          <w:p w14:paraId="0DFF25DB"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105BF2AA"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c>
          <w:tcPr>
            <w:tcW w:w="810" w:type="pct"/>
          </w:tcPr>
          <w:p w14:paraId="32792EC3"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r>
      <w:tr w:rsidR="00113170" w:rsidRPr="00B95108" w14:paraId="5978CD8C" w14:textId="77777777" w:rsidTr="00661AD1">
        <w:trPr>
          <w:cantSplit w:val="0"/>
          <w:trHeight w:val="163"/>
        </w:trPr>
        <w:tc>
          <w:tcPr>
            <w:tcW w:w="2571" w:type="pct"/>
          </w:tcPr>
          <w:p w14:paraId="2130F8A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Hypermagnesemia</w:t>
            </w:r>
          </w:p>
        </w:tc>
        <w:tc>
          <w:tcPr>
            <w:tcW w:w="810" w:type="pct"/>
          </w:tcPr>
          <w:p w14:paraId="6EBFEF83"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5454746B"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4703023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r>
      <w:tr w:rsidR="00113170" w:rsidRPr="00B95108" w14:paraId="3C4386C1" w14:textId="77777777" w:rsidTr="00661AD1">
        <w:trPr>
          <w:cantSplit w:val="0"/>
          <w:trHeight w:val="163"/>
        </w:trPr>
        <w:tc>
          <w:tcPr>
            <w:tcW w:w="2571" w:type="pct"/>
          </w:tcPr>
          <w:p w14:paraId="0A725E56"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Hypotension</w:t>
            </w:r>
          </w:p>
        </w:tc>
        <w:tc>
          <w:tcPr>
            <w:tcW w:w="810" w:type="pct"/>
          </w:tcPr>
          <w:p w14:paraId="6099C0FD"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058D8926"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21D3251D"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r>
      <w:tr w:rsidR="00113170" w:rsidRPr="00B95108" w14:paraId="369CDE9F" w14:textId="77777777" w:rsidTr="00661AD1">
        <w:trPr>
          <w:cantSplit w:val="0"/>
          <w:trHeight w:val="163"/>
        </w:trPr>
        <w:tc>
          <w:tcPr>
            <w:tcW w:w="2571" w:type="pct"/>
          </w:tcPr>
          <w:p w14:paraId="05955CF4"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Leukopenia/white blood cell count decreased</w:t>
            </w:r>
          </w:p>
        </w:tc>
        <w:tc>
          <w:tcPr>
            <w:tcW w:w="810" w:type="pct"/>
          </w:tcPr>
          <w:p w14:paraId="4E1BB104"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1762BF05"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c>
          <w:tcPr>
            <w:tcW w:w="810" w:type="pct"/>
          </w:tcPr>
          <w:p w14:paraId="4246F11E"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r>
      <w:tr w:rsidR="00113170" w:rsidRPr="00B95108" w14:paraId="6AD69CDD" w14:textId="77777777" w:rsidTr="00661AD1">
        <w:trPr>
          <w:cantSplit w:val="0"/>
          <w:trHeight w:val="163"/>
        </w:trPr>
        <w:tc>
          <w:tcPr>
            <w:tcW w:w="2571" w:type="pct"/>
          </w:tcPr>
          <w:p w14:paraId="3B15419E"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Lymphopenia/lymphocyte count decreased</w:t>
            </w:r>
          </w:p>
        </w:tc>
        <w:tc>
          <w:tcPr>
            <w:tcW w:w="810" w:type="pct"/>
          </w:tcPr>
          <w:p w14:paraId="39832BA8"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782E9D0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2F4AFCF2"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r>
      <w:tr w:rsidR="00113170" w:rsidRPr="00B95108" w14:paraId="2ED2852E" w14:textId="77777777" w:rsidTr="00661AD1">
        <w:trPr>
          <w:cantSplit w:val="0"/>
          <w:trHeight w:val="163"/>
        </w:trPr>
        <w:tc>
          <w:tcPr>
            <w:tcW w:w="2571" w:type="pct"/>
          </w:tcPr>
          <w:p w14:paraId="464CB907"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Pancytopenia</w:t>
            </w:r>
          </w:p>
        </w:tc>
        <w:tc>
          <w:tcPr>
            <w:tcW w:w="810" w:type="pct"/>
          </w:tcPr>
          <w:p w14:paraId="08632D5E"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5FD0313C"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1</w:t>
            </w:r>
          </w:p>
        </w:tc>
        <w:tc>
          <w:tcPr>
            <w:tcW w:w="810" w:type="pct"/>
          </w:tcPr>
          <w:p w14:paraId="50FDAC94"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2"/>
                <w:sz w:val="24"/>
                <w:szCs w:val="24"/>
                <w:lang w:eastAsia="en-US"/>
              </w:rPr>
              <w:t>0</w:t>
            </w:r>
          </w:p>
        </w:tc>
      </w:tr>
    </w:tbl>
    <w:p w14:paraId="5D4C0043" w14:textId="77777777" w:rsidR="00113170" w:rsidRPr="00B95108" w:rsidRDefault="00113170" w:rsidP="00386915">
      <w:pPr>
        <w:tabs>
          <w:tab w:val="left" w:pos="144"/>
        </w:tabs>
        <w:spacing w:after="0" w:line="240" w:lineRule="auto"/>
        <w:jc w:val="both"/>
        <w:rPr>
          <w:rFonts w:ascii="Times New Roman" w:eastAsia="Times New Roman" w:hAnsi="Times New Roman" w:cs="Times New Roman"/>
          <w:sz w:val="24"/>
          <w:szCs w:val="24"/>
          <w:lang w:eastAsia="en-US"/>
        </w:rPr>
      </w:pPr>
    </w:p>
    <w:p w14:paraId="47B30047" w14:textId="77777777" w:rsidR="00113170" w:rsidRPr="00B95108" w:rsidRDefault="00113170" w:rsidP="00AA21D4">
      <w:pPr>
        <w:tabs>
          <w:tab w:val="left" w:pos="144"/>
        </w:tabs>
        <w:spacing w:after="0" w:line="240" w:lineRule="auto"/>
        <w:jc w:val="both"/>
        <w:rPr>
          <w:rFonts w:ascii="Times New Roman" w:eastAsia="Times New Roman" w:hAnsi="Times New Roman" w:cs="Times New Roman"/>
          <w:w w:val="105"/>
          <w:sz w:val="24"/>
          <w:szCs w:val="24"/>
          <w:lang w:eastAsia="en-US"/>
        </w:rPr>
      </w:pPr>
      <w:r w:rsidRPr="00B95108">
        <w:rPr>
          <w:rFonts w:ascii="Times New Roman" w:eastAsia="Times New Roman" w:hAnsi="Times New Roman" w:cs="Times New Roman"/>
          <w:sz w:val="24"/>
          <w:szCs w:val="24"/>
          <w:vertAlign w:val="superscript"/>
          <w:lang w:eastAsia="en-US"/>
        </w:rPr>
        <w:t>a</w:t>
      </w:r>
      <w:r w:rsidRPr="00B95108">
        <w:rPr>
          <w:rFonts w:ascii="Times New Roman" w:eastAsia="Times New Roman" w:hAnsi="Times New Roman" w:cs="Times New Roman"/>
          <w:w w:val="105"/>
          <w:sz w:val="24"/>
          <w:szCs w:val="24"/>
          <w:lang w:eastAsia="en-US"/>
        </w:rPr>
        <w:t xml:space="preserve">Related AEs </w:t>
      </w:r>
      <w:proofErr w:type="gramStart"/>
      <w:r w:rsidRPr="00B95108">
        <w:rPr>
          <w:rFonts w:ascii="Times New Roman" w:eastAsia="Times New Roman" w:hAnsi="Times New Roman" w:cs="Times New Roman"/>
          <w:w w:val="105"/>
          <w:sz w:val="24"/>
          <w:szCs w:val="24"/>
          <w:lang w:eastAsia="en-US"/>
        </w:rPr>
        <w:t>include definitely, probably</w:t>
      </w:r>
      <w:proofErr w:type="gramEnd"/>
      <w:r w:rsidRPr="00B95108">
        <w:rPr>
          <w:rFonts w:ascii="Times New Roman" w:eastAsia="Times New Roman" w:hAnsi="Times New Roman" w:cs="Times New Roman"/>
          <w:w w:val="105"/>
          <w:sz w:val="24"/>
          <w:szCs w:val="24"/>
          <w:lang w:eastAsia="en-US"/>
        </w:rPr>
        <w:t>, or possibly related events.</w:t>
      </w:r>
    </w:p>
    <w:p w14:paraId="391E79E3" w14:textId="77777777" w:rsidR="00113170" w:rsidRPr="00B95108" w:rsidRDefault="00113170" w:rsidP="00AA21D4">
      <w:pPr>
        <w:tabs>
          <w:tab w:val="left" w:pos="144"/>
        </w:tabs>
        <w:spacing w:after="0" w:line="240" w:lineRule="auto"/>
        <w:jc w:val="both"/>
        <w:rPr>
          <w:rFonts w:ascii="Times New Roman" w:eastAsia="Times New Roman" w:hAnsi="Times New Roman" w:cs="Times New Roman"/>
          <w:sz w:val="24"/>
          <w:szCs w:val="24"/>
          <w:lang w:eastAsia="en-US"/>
        </w:rPr>
      </w:pPr>
      <w:r w:rsidRPr="00B95108">
        <w:rPr>
          <w:rFonts w:ascii="Times New Roman" w:eastAsia="Times New Roman" w:hAnsi="Times New Roman" w:cs="Times New Roman"/>
          <w:sz w:val="24"/>
          <w:szCs w:val="24"/>
          <w:lang w:eastAsia="en-US"/>
        </w:rPr>
        <w:t>AE, adverse event; CRS, cytokine release syndrome; mITT, modified intent-to-treat.</w:t>
      </w:r>
    </w:p>
    <w:p w14:paraId="6136C7FD" w14:textId="77777777" w:rsidR="00113170" w:rsidRPr="00B95108" w:rsidRDefault="00113170">
      <w:pPr>
        <w:rPr>
          <w:rFonts w:ascii="Times New Roman" w:eastAsiaTheme="majorEastAsia" w:hAnsi="Times New Roman" w:cs="Times New Roman"/>
          <w:b/>
          <w:bCs/>
          <w:sz w:val="24"/>
          <w:szCs w:val="24"/>
          <w:lang w:eastAsia="en-US"/>
        </w:rPr>
      </w:pPr>
      <w:r w:rsidRPr="00B95108">
        <w:rPr>
          <w:rFonts w:ascii="Times New Roman" w:eastAsiaTheme="majorEastAsia" w:hAnsi="Times New Roman" w:cs="Times New Roman"/>
          <w:b/>
          <w:bCs/>
          <w:sz w:val="24"/>
          <w:szCs w:val="24"/>
          <w:lang w:eastAsia="en-US"/>
        </w:rPr>
        <w:br w:type="page"/>
      </w:r>
    </w:p>
    <w:p w14:paraId="0DA31C8A" w14:textId="77777777" w:rsidR="00113170" w:rsidRDefault="00113170" w:rsidP="00C04ED5">
      <w:pPr>
        <w:pStyle w:val="Heading2"/>
        <w:spacing w:after="0" w:line="240" w:lineRule="auto"/>
        <w:rPr>
          <w:rFonts w:ascii="Times New Roman" w:hAnsi="Times New Roman" w:cs="Times New Roman"/>
          <w:b w:val="0"/>
          <w:bCs/>
          <w:sz w:val="24"/>
          <w:szCs w:val="24"/>
        </w:rPr>
      </w:pPr>
      <w:bookmarkStart w:id="25" w:name="_Toc86335014"/>
      <w:bookmarkStart w:id="26" w:name="_Toc87612722"/>
      <w:r w:rsidRPr="00661AD1">
        <w:rPr>
          <w:rFonts w:ascii="Times New Roman" w:hAnsi="Times New Roman" w:cs="Times New Roman"/>
          <w:sz w:val="24"/>
          <w:szCs w:val="24"/>
        </w:rPr>
        <w:lastRenderedPageBreak/>
        <w:t xml:space="preserve">Supplementary Table 3. </w:t>
      </w:r>
      <w:r w:rsidRPr="00661AD1">
        <w:rPr>
          <w:rFonts w:ascii="Times New Roman" w:hAnsi="Times New Roman" w:cs="Times New Roman"/>
          <w:b w:val="0"/>
          <w:bCs/>
          <w:sz w:val="24"/>
          <w:szCs w:val="24"/>
        </w:rPr>
        <w:t>Peak persistence and time to peak persistence by dose group (mITT population)</w:t>
      </w:r>
      <w:bookmarkEnd w:id="25"/>
      <w:r w:rsidRPr="00B95108">
        <w:rPr>
          <w:rFonts w:ascii="Times New Roman" w:hAnsi="Times New Roman" w:cs="Times New Roman"/>
          <w:b w:val="0"/>
          <w:bCs/>
          <w:sz w:val="24"/>
          <w:szCs w:val="24"/>
        </w:rPr>
        <w:t>.</w:t>
      </w:r>
      <w:bookmarkEnd w:id="26"/>
    </w:p>
    <w:p w14:paraId="458A95A0" w14:textId="77777777" w:rsidR="00113170" w:rsidRPr="00661AD1" w:rsidRDefault="00113170" w:rsidP="00661AD1">
      <w:pPr>
        <w:spacing w:after="0" w:line="240" w:lineRule="auto"/>
        <w:rPr>
          <w:rFonts w:ascii="Times New Roman" w:hAnsi="Times New Roman" w:cs="Times New Roman"/>
          <w:sz w:val="24"/>
          <w:szCs w:val="24"/>
        </w:rPr>
      </w:pPr>
    </w:p>
    <w:tbl>
      <w:tblPr>
        <w:tblStyle w:val="C-Table"/>
        <w:tblW w:w="5000" w:type="pct"/>
        <w:tblLayout w:type="fixed"/>
        <w:tblLook w:val="04A0" w:firstRow="1" w:lastRow="0" w:firstColumn="1" w:lastColumn="0" w:noHBand="0" w:noVBand="1"/>
      </w:tblPr>
      <w:tblGrid>
        <w:gridCol w:w="1027"/>
        <w:gridCol w:w="1669"/>
        <w:gridCol w:w="2325"/>
        <w:gridCol w:w="2325"/>
        <w:gridCol w:w="1998"/>
      </w:tblGrid>
      <w:tr w:rsidR="00113170" w:rsidRPr="00B95108" w14:paraId="61FE6738" w14:textId="77777777" w:rsidTr="00661AD1">
        <w:trPr>
          <w:cantSplit w:val="0"/>
          <w:trHeight w:val="345"/>
          <w:tblHeader/>
        </w:trPr>
        <w:tc>
          <w:tcPr>
            <w:tcW w:w="550" w:type="pct"/>
          </w:tcPr>
          <w:p w14:paraId="709AFD81" w14:textId="77777777" w:rsidR="00113170" w:rsidRPr="00B95108" w:rsidRDefault="00113170" w:rsidP="00386915">
            <w:pPr>
              <w:keepNext/>
              <w:spacing w:before="60" w:after="60"/>
              <w:rPr>
                <w:rFonts w:eastAsia="Times New Roman"/>
                <w:b/>
                <w:sz w:val="24"/>
                <w:szCs w:val="24"/>
                <w:lang w:eastAsia="en-US"/>
              </w:rPr>
            </w:pPr>
          </w:p>
        </w:tc>
        <w:tc>
          <w:tcPr>
            <w:tcW w:w="893" w:type="pct"/>
          </w:tcPr>
          <w:p w14:paraId="04FC2AAA" w14:textId="77777777" w:rsidR="00113170" w:rsidRPr="00B95108" w:rsidRDefault="00113170" w:rsidP="00386915">
            <w:pPr>
              <w:keepNext/>
              <w:spacing w:before="60" w:after="60"/>
              <w:jc w:val="center"/>
              <w:rPr>
                <w:rFonts w:eastAsia="Times New Roman"/>
                <w:b/>
                <w:w w:val="105"/>
                <w:sz w:val="24"/>
                <w:szCs w:val="24"/>
                <w:lang w:eastAsia="en-US"/>
              </w:rPr>
            </w:pPr>
            <w:r w:rsidRPr="00B95108">
              <w:rPr>
                <w:rFonts w:eastAsia="Times New Roman"/>
                <w:b/>
                <w:w w:val="105"/>
                <w:sz w:val="24"/>
                <w:szCs w:val="24"/>
                <w:lang w:eastAsia="en-US"/>
              </w:rPr>
              <w:t>Group 1</w:t>
            </w:r>
          </w:p>
          <w:p w14:paraId="58FD6558" w14:textId="77777777" w:rsidR="00113170" w:rsidRPr="00B95108" w:rsidRDefault="00113170" w:rsidP="00386915">
            <w:pPr>
              <w:keepNext/>
              <w:spacing w:before="60" w:after="60"/>
              <w:jc w:val="center"/>
              <w:rPr>
                <w:rFonts w:eastAsia="Times New Roman"/>
                <w:b/>
                <w:w w:val="105"/>
                <w:sz w:val="24"/>
                <w:szCs w:val="24"/>
                <w:lang w:eastAsia="en-US"/>
              </w:rPr>
            </w:pPr>
            <w:r w:rsidRPr="00B95108">
              <w:rPr>
                <w:rFonts w:eastAsia="Times New Roman"/>
                <w:b/>
                <w:w w:val="105"/>
                <w:sz w:val="24"/>
                <w:szCs w:val="24"/>
                <w:lang w:eastAsia="en-US"/>
              </w:rPr>
              <w:t>(n = 3)</w:t>
            </w:r>
          </w:p>
        </w:tc>
        <w:tc>
          <w:tcPr>
            <w:tcW w:w="1244" w:type="pct"/>
          </w:tcPr>
          <w:p w14:paraId="0C25B38B" w14:textId="77777777" w:rsidR="00113170" w:rsidRPr="00B95108" w:rsidRDefault="00113170" w:rsidP="00386915">
            <w:pPr>
              <w:keepNext/>
              <w:spacing w:before="60" w:after="60"/>
              <w:jc w:val="center"/>
              <w:rPr>
                <w:rFonts w:eastAsia="Times New Roman"/>
                <w:b/>
                <w:w w:val="105"/>
                <w:sz w:val="24"/>
                <w:szCs w:val="24"/>
                <w:lang w:eastAsia="en-US"/>
              </w:rPr>
            </w:pPr>
            <w:r w:rsidRPr="00B95108">
              <w:rPr>
                <w:rFonts w:eastAsia="Times New Roman"/>
                <w:b/>
                <w:w w:val="105"/>
                <w:sz w:val="24"/>
                <w:szCs w:val="24"/>
                <w:lang w:eastAsia="en-US"/>
              </w:rPr>
              <w:t>Group 3</w:t>
            </w:r>
          </w:p>
          <w:p w14:paraId="1D65956B" w14:textId="77777777" w:rsidR="00113170" w:rsidRPr="00B95108" w:rsidRDefault="00113170" w:rsidP="00386915">
            <w:pPr>
              <w:keepNext/>
              <w:spacing w:before="60" w:after="60"/>
              <w:jc w:val="center"/>
              <w:rPr>
                <w:rFonts w:eastAsia="Times New Roman"/>
                <w:b/>
                <w:w w:val="105"/>
                <w:sz w:val="24"/>
                <w:szCs w:val="24"/>
                <w:lang w:eastAsia="en-US"/>
              </w:rPr>
            </w:pPr>
            <w:r w:rsidRPr="00B95108">
              <w:rPr>
                <w:rFonts w:eastAsia="Times New Roman"/>
                <w:b/>
                <w:w w:val="105"/>
                <w:sz w:val="24"/>
                <w:szCs w:val="24"/>
                <w:lang w:eastAsia="en-US"/>
              </w:rPr>
              <w:t>(n = 3)</w:t>
            </w:r>
          </w:p>
        </w:tc>
        <w:tc>
          <w:tcPr>
            <w:tcW w:w="1244" w:type="pct"/>
          </w:tcPr>
          <w:p w14:paraId="5D21ED01" w14:textId="77777777" w:rsidR="00113170" w:rsidRPr="00B95108" w:rsidRDefault="00113170" w:rsidP="00386915">
            <w:pPr>
              <w:keepNext/>
              <w:spacing w:before="60" w:after="60"/>
              <w:jc w:val="center"/>
              <w:rPr>
                <w:rFonts w:eastAsia="Times New Roman"/>
                <w:b/>
                <w:w w:val="105"/>
                <w:sz w:val="24"/>
                <w:szCs w:val="24"/>
                <w:lang w:eastAsia="en-US"/>
              </w:rPr>
            </w:pPr>
            <w:r w:rsidRPr="00B95108">
              <w:rPr>
                <w:rFonts w:eastAsia="Times New Roman"/>
                <w:b/>
                <w:w w:val="105"/>
                <w:sz w:val="24"/>
                <w:szCs w:val="24"/>
                <w:lang w:eastAsia="en-US"/>
              </w:rPr>
              <w:t>Expansion group</w:t>
            </w:r>
          </w:p>
          <w:p w14:paraId="798E35F9" w14:textId="77777777" w:rsidR="00113170" w:rsidRPr="00B95108" w:rsidRDefault="00113170" w:rsidP="00386915">
            <w:pPr>
              <w:keepNext/>
              <w:spacing w:before="60" w:after="60"/>
              <w:jc w:val="center"/>
              <w:rPr>
                <w:rFonts w:eastAsia="Times New Roman"/>
                <w:b/>
                <w:w w:val="105"/>
                <w:sz w:val="24"/>
                <w:szCs w:val="24"/>
                <w:lang w:eastAsia="en-US"/>
              </w:rPr>
            </w:pPr>
            <w:r w:rsidRPr="00B95108">
              <w:rPr>
                <w:rFonts w:eastAsia="Times New Roman"/>
                <w:b/>
                <w:w w:val="105"/>
                <w:sz w:val="24"/>
                <w:szCs w:val="24"/>
                <w:lang w:eastAsia="en-US"/>
              </w:rPr>
              <w:t>(n = 4)</w:t>
            </w:r>
          </w:p>
        </w:tc>
        <w:tc>
          <w:tcPr>
            <w:tcW w:w="1069" w:type="pct"/>
          </w:tcPr>
          <w:p w14:paraId="5FB97FE6" w14:textId="77777777" w:rsidR="00113170" w:rsidRPr="00B95108" w:rsidRDefault="00113170" w:rsidP="00386915">
            <w:pPr>
              <w:keepNext/>
              <w:spacing w:before="60" w:after="60"/>
              <w:jc w:val="center"/>
              <w:rPr>
                <w:rFonts w:eastAsia="Times New Roman"/>
                <w:b/>
                <w:w w:val="105"/>
                <w:sz w:val="24"/>
                <w:szCs w:val="24"/>
                <w:lang w:eastAsia="en-US"/>
              </w:rPr>
            </w:pPr>
            <w:r w:rsidRPr="00B95108">
              <w:rPr>
                <w:rFonts w:eastAsia="Times New Roman"/>
                <w:b/>
                <w:w w:val="105"/>
                <w:sz w:val="24"/>
                <w:szCs w:val="24"/>
                <w:lang w:eastAsia="en-US"/>
              </w:rPr>
              <w:t>Overall</w:t>
            </w:r>
          </w:p>
          <w:p w14:paraId="6A6C90DD" w14:textId="77777777" w:rsidR="00113170" w:rsidRPr="00B95108" w:rsidRDefault="00113170" w:rsidP="00386915">
            <w:pPr>
              <w:keepNext/>
              <w:spacing w:before="60" w:after="60"/>
              <w:jc w:val="center"/>
              <w:rPr>
                <w:rFonts w:eastAsia="Times New Roman"/>
                <w:b/>
                <w:w w:val="105"/>
                <w:sz w:val="24"/>
                <w:szCs w:val="24"/>
                <w:lang w:eastAsia="en-US"/>
              </w:rPr>
            </w:pPr>
            <w:r w:rsidRPr="00B95108">
              <w:rPr>
                <w:rFonts w:eastAsia="Times New Roman"/>
                <w:b/>
                <w:w w:val="105"/>
                <w:sz w:val="24"/>
                <w:szCs w:val="24"/>
                <w:lang w:eastAsia="en-US"/>
              </w:rPr>
              <w:t>(N = 10)</w:t>
            </w:r>
          </w:p>
        </w:tc>
      </w:tr>
      <w:tr w:rsidR="00113170" w:rsidRPr="00B95108" w14:paraId="35C076A0" w14:textId="77777777" w:rsidTr="00661AD1">
        <w:trPr>
          <w:cantSplit w:val="0"/>
          <w:trHeight w:val="345"/>
          <w:tblHeader/>
        </w:trPr>
        <w:tc>
          <w:tcPr>
            <w:tcW w:w="5000" w:type="pct"/>
            <w:gridSpan w:val="5"/>
          </w:tcPr>
          <w:p w14:paraId="77CAAFA0" w14:textId="77777777" w:rsidR="00113170" w:rsidRPr="00B95108" w:rsidRDefault="00113170" w:rsidP="00386915">
            <w:pPr>
              <w:keepNext/>
              <w:spacing w:before="60" w:after="60"/>
              <w:rPr>
                <w:rFonts w:eastAsia="Times New Roman"/>
                <w:w w:val="105"/>
                <w:sz w:val="24"/>
                <w:szCs w:val="24"/>
                <w:lang w:eastAsia="en-US"/>
              </w:rPr>
            </w:pPr>
            <w:r w:rsidRPr="00B95108">
              <w:rPr>
                <w:rFonts w:eastAsia="Times New Roman"/>
                <w:w w:val="105"/>
                <w:sz w:val="24"/>
                <w:szCs w:val="24"/>
                <w:lang w:eastAsia="en-US"/>
              </w:rPr>
              <w:t>Peak persistence (</w:t>
            </w:r>
            <w:r w:rsidRPr="00B95108">
              <w:rPr>
                <w:rFonts w:eastAsia="Times New Roman"/>
                <w:sz w:val="24"/>
                <w:szCs w:val="24"/>
                <w:lang w:eastAsia="en-US"/>
              </w:rPr>
              <w:t>copies/microgram of DNA)</w:t>
            </w:r>
          </w:p>
        </w:tc>
      </w:tr>
      <w:tr w:rsidR="00113170" w:rsidRPr="00B95108" w14:paraId="0D89A6A7" w14:textId="77777777" w:rsidTr="00661AD1">
        <w:trPr>
          <w:cantSplit w:val="0"/>
          <w:trHeight w:val="182"/>
        </w:trPr>
        <w:tc>
          <w:tcPr>
            <w:tcW w:w="550" w:type="pct"/>
          </w:tcPr>
          <w:p w14:paraId="3393A860"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Mean</w:t>
            </w:r>
          </w:p>
        </w:tc>
        <w:tc>
          <w:tcPr>
            <w:tcW w:w="893" w:type="pct"/>
          </w:tcPr>
          <w:p w14:paraId="42AF32F5"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3397.9</w:t>
            </w:r>
          </w:p>
        </w:tc>
        <w:tc>
          <w:tcPr>
            <w:tcW w:w="1244" w:type="pct"/>
          </w:tcPr>
          <w:p w14:paraId="5642B0CD"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97,827.5</w:t>
            </w:r>
          </w:p>
        </w:tc>
        <w:tc>
          <w:tcPr>
            <w:tcW w:w="1244" w:type="pct"/>
          </w:tcPr>
          <w:p w14:paraId="57859378"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70,898.6</w:t>
            </w:r>
          </w:p>
        </w:tc>
        <w:tc>
          <w:tcPr>
            <w:tcW w:w="1069" w:type="pct"/>
          </w:tcPr>
          <w:p w14:paraId="3A774B1F"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58,727.1</w:t>
            </w:r>
          </w:p>
        </w:tc>
      </w:tr>
      <w:tr w:rsidR="00113170" w:rsidRPr="00B95108" w14:paraId="67DEC870" w14:textId="77777777" w:rsidTr="00661AD1">
        <w:trPr>
          <w:cantSplit w:val="0"/>
          <w:trHeight w:val="182"/>
        </w:trPr>
        <w:tc>
          <w:tcPr>
            <w:tcW w:w="550" w:type="pct"/>
          </w:tcPr>
          <w:p w14:paraId="74CB0598"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Median</w:t>
            </w:r>
          </w:p>
        </w:tc>
        <w:tc>
          <w:tcPr>
            <w:tcW w:w="893" w:type="pct"/>
          </w:tcPr>
          <w:p w14:paraId="2BA28983"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1264.9</w:t>
            </w:r>
          </w:p>
        </w:tc>
        <w:tc>
          <w:tcPr>
            <w:tcW w:w="1244" w:type="pct"/>
          </w:tcPr>
          <w:p w14:paraId="158232A5"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82,548.9</w:t>
            </w:r>
          </w:p>
        </w:tc>
        <w:tc>
          <w:tcPr>
            <w:tcW w:w="1244" w:type="pct"/>
          </w:tcPr>
          <w:p w14:paraId="3EDDA56E"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64,160.1</w:t>
            </w:r>
          </w:p>
        </w:tc>
        <w:tc>
          <w:tcPr>
            <w:tcW w:w="1069" w:type="pct"/>
          </w:tcPr>
          <w:p w14:paraId="58203D5C"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55,642.5</w:t>
            </w:r>
          </w:p>
        </w:tc>
      </w:tr>
      <w:tr w:rsidR="00113170" w:rsidRPr="00B95108" w14:paraId="543822E9" w14:textId="77777777" w:rsidTr="00661AD1">
        <w:trPr>
          <w:cantSplit w:val="0"/>
          <w:trHeight w:val="185"/>
        </w:trPr>
        <w:tc>
          <w:tcPr>
            <w:tcW w:w="550" w:type="pct"/>
          </w:tcPr>
          <w:p w14:paraId="68BC5E9B"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Range</w:t>
            </w:r>
          </w:p>
        </w:tc>
        <w:tc>
          <w:tcPr>
            <w:tcW w:w="893" w:type="pct"/>
          </w:tcPr>
          <w:p w14:paraId="1D864C0F"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193.9–8734.9</w:t>
            </w:r>
          </w:p>
        </w:tc>
        <w:tc>
          <w:tcPr>
            <w:tcW w:w="1244" w:type="pct"/>
          </w:tcPr>
          <w:p w14:paraId="44209691"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76,591.6–134,342.0</w:t>
            </w:r>
          </w:p>
        </w:tc>
        <w:tc>
          <w:tcPr>
            <w:tcW w:w="1244" w:type="pct"/>
          </w:tcPr>
          <w:p w14:paraId="313D1E94"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13,270.1–142,004.2</w:t>
            </w:r>
          </w:p>
        </w:tc>
        <w:tc>
          <w:tcPr>
            <w:tcW w:w="1069" w:type="pct"/>
          </w:tcPr>
          <w:p w14:paraId="10CAEECF"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193.9–142,004.2</w:t>
            </w:r>
          </w:p>
        </w:tc>
      </w:tr>
      <w:tr w:rsidR="00113170" w:rsidRPr="00B95108" w14:paraId="034AFAE0" w14:textId="77777777" w:rsidTr="00661AD1">
        <w:trPr>
          <w:cantSplit w:val="0"/>
          <w:trHeight w:val="355"/>
        </w:trPr>
        <w:tc>
          <w:tcPr>
            <w:tcW w:w="5000" w:type="pct"/>
            <w:gridSpan w:val="5"/>
          </w:tcPr>
          <w:p w14:paraId="08A028D4" w14:textId="77777777" w:rsidR="00113170" w:rsidRPr="00B95108" w:rsidRDefault="00113170" w:rsidP="00386915">
            <w:pPr>
              <w:spacing w:before="60" w:after="60"/>
              <w:rPr>
                <w:rFonts w:eastAsia="Times New Roman"/>
                <w:sz w:val="24"/>
                <w:szCs w:val="24"/>
                <w:lang w:eastAsia="en-US"/>
              </w:rPr>
            </w:pPr>
            <w:r w:rsidRPr="00B95108">
              <w:rPr>
                <w:rFonts w:eastAsia="Times New Roman"/>
                <w:w w:val="105"/>
                <w:sz w:val="24"/>
                <w:szCs w:val="24"/>
                <w:lang w:eastAsia="en-US"/>
              </w:rPr>
              <w:t>Time to peak persistence (days)</w:t>
            </w:r>
          </w:p>
        </w:tc>
      </w:tr>
      <w:tr w:rsidR="00113170" w:rsidRPr="00B95108" w14:paraId="00BEA76C" w14:textId="77777777" w:rsidTr="00661AD1">
        <w:trPr>
          <w:cantSplit w:val="0"/>
          <w:trHeight w:val="182"/>
        </w:trPr>
        <w:tc>
          <w:tcPr>
            <w:tcW w:w="550" w:type="pct"/>
          </w:tcPr>
          <w:p w14:paraId="6E871D24"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Mean</w:t>
            </w:r>
          </w:p>
        </w:tc>
        <w:tc>
          <w:tcPr>
            <w:tcW w:w="893" w:type="pct"/>
          </w:tcPr>
          <w:p w14:paraId="5075F001"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8.7</w:t>
            </w:r>
          </w:p>
        </w:tc>
        <w:tc>
          <w:tcPr>
            <w:tcW w:w="1244" w:type="pct"/>
          </w:tcPr>
          <w:p w14:paraId="578545EE"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3.3</w:t>
            </w:r>
          </w:p>
        </w:tc>
        <w:tc>
          <w:tcPr>
            <w:tcW w:w="1244" w:type="pct"/>
          </w:tcPr>
          <w:p w14:paraId="2ED8A70F"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3.5</w:t>
            </w:r>
          </w:p>
        </w:tc>
        <w:tc>
          <w:tcPr>
            <w:tcW w:w="1069" w:type="pct"/>
          </w:tcPr>
          <w:p w14:paraId="488DBDFE"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5.0</w:t>
            </w:r>
          </w:p>
        </w:tc>
      </w:tr>
      <w:tr w:rsidR="00113170" w:rsidRPr="00B95108" w14:paraId="25400720" w14:textId="77777777" w:rsidTr="00661AD1">
        <w:trPr>
          <w:cantSplit w:val="0"/>
          <w:trHeight w:val="182"/>
        </w:trPr>
        <w:tc>
          <w:tcPr>
            <w:tcW w:w="550" w:type="pct"/>
          </w:tcPr>
          <w:p w14:paraId="2D298E29"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Median</w:t>
            </w:r>
          </w:p>
        </w:tc>
        <w:tc>
          <w:tcPr>
            <w:tcW w:w="893" w:type="pct"/>
          </w:tcPr>
          <w:p w14:paraId="2E3F9004"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11.0</w:t>
            </w:r>
          </w:p>
        </w:tc>
        <w:tc>
          <w:tcPr>
            <w:tcW w:w="1244" w:type="pct"/>
          </w:tcPr>
          <w:p w14:paraId="5784B59E"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4.0</w:t>
            </w:r>
          </w:p>
        </w:tc>
        <w:tc>
          <w:tcPr>
            <w:tcW w:w="1244" w:type="pct"/>
          </w:tcPr>
          <w:p w14:paraId="19384D86"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2.0</w:t>
            </w:r>
          </w:p>
        </w:tc>
        <w:tc>
          <w:tcPr>
            <w:tcW w:w="1069" w:type="pct"/>
          </w:tcPr>
          <w:p w14:paraId="2002C4AE"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4.0</w:t>
            </w:r>
          </w:p>
        </w:tc>
      </w:tr>
      <w:tr w:rsidR="00113170" w:rsidRPr="00B95108" w14:paraId="17A61D13" w14:textId="77777777" w:rsidTr="00661AD1">
        <w:trPr>
          <w:cantSplit w:val="0"/>
          <w:trHeight w:val="185"/>
        </w:trPr>
        <w:tc>
          <w:tcPr>
            <w:tcW w:w="550" w:type="pct"/>
          </w:tcPr>
          <w:p w14:paraId="245E2E25" w14:textId="77777777" w:rsidR="00113170" w:rsidRPr="00B95108" w:rsidRDefault="00113170" w:rsidP="00386915">
            <w:pPr>
              <w:spacing w:before="60" w:after="60"/>
              <w:rPr>
                <w:rFonts w:eastAsia="Times New Roman"/>
                <w:w w:val="105"/>
                <w:sz w:val="24"/>
                <w:szCs w:val="24"/>
                <w:lang w:eastAsia="en-US"/>
              </w:rPr>
            </w:pPr>
            <w:r w:rsidRPr="00B95108">
              <w:rPr>
                <w:rFonts w:eastAsia="Times New Roman"/>
                <w:w w:val="105"/>
                <w:sz w:val="24"/>
                <w:szCs w:val="24"/>
                <w:lang w:eastAsia="en-US"/>
              </w:rPr>
              <w:t>Range</w:t>
            </w:r>
          </w:p>
        </w:tc>
        <w:tc>
          <w:tcPr>
            <w:tcW w:w="893" w:type="pct"/>
          </w:tcPr>
          <w:p w14:paraId="4C1CFAE9"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4–11</w:t>
            </w:r>
          </w:p>
        </w:tc>
        <w:tc>
          <w:tcPr>
            <w:tcW w:w="1244" w:type="pct"/>
          </w:tcPr>
          <w:p w14:paraId="0ED2A2B3"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2–4</w:t>
            </w:r>
          </w:p>
        </w:tc>
        <w:tc>
          <w:tcPr>
            <w:tcW w:w="1244" w:type="pct"/>
          </w:tcPr>
          <w:p w14:paraId="41B86FA4"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2–8</w:t>
            </w:r>
          </w:p>
        </w:tc>
        <w:tc>
          <w:tcPr>
            <w:tcW w:w="1069" w:type="pct"/>
          </w:tcPr>
          <w:p w14:paraId="5B9FAC69" w14:textId="77777777" w:rsidR="00113170" w:rsidRPr="00B95108" w:rsidRDefault="00113170" w:rsidP="00386915">
            <w:pPr>
              <w:spacing w:before="60" w:after="60"/>
              <w:jc w:val="center"/>
              <w:rPr>
                <w:rFonts w:eastAsia="Times New Roman"/>
                <w:w w:val="105"/>
                <w:sz w:val="24"/>
                <w:szCs w:val="24"/>
                <w:lang w:eastAsia="en-US"/>
              </w:rPr>
            </w:pPr>
            <w:r w:rsidRPr="00B95108">
              <w:rPr>
                <w:rFonts w:eastAsia="Times New Roman"/>
                <w:w w:val="105"/>
                <w:sz w:val="24"/>
                <w:szCs w:val="24"/>
                <w:lang w:eastAsia="en-US"/>
              </w:rPr>
              <w:t>2–11</w:t>
            </w:r>
          </w:p>
        </w:tc>
      </w:tr>
    </w:tbl>
    <w:p w14:paraId="5AB62F14" w14:textId="77777777" w:rsidR="00113170" w:rsidRDefault="00113170" w:rsidP="00661AD1">
      <w:pPr>
        <w:spacing w:after="0" w:line="240" w:lineRule="auto"/>
        <w:rPr>
          <w:rFonts w:ascii="Times New Roman" w:eastAsiaTheme="majorEastAsia" w:hAnsi="Times New Roman" w:cs="Times New Roman"/>
          <w:sz w:val="24"/>
          <w:szCs w:val="24"/>
          <w:lang w:eastAsia="en-US"/>
        </w:rPr>
      </w:pPr>
    </w:p>
    <w:p w14:paraId="1A38EF8E" w14:textId="77777777" w:rsidR="00113170" w:rsidRPr="00B95108" w:rsidRDefault="00113170" w:rsidP="00386915">
      <w:pPr>
        <w:rPr>
          <w:rFonts w:ascii="Times New Roman" w:eastAsiaTheme="majorEastAsia" w:hAnsi="Times New Roman" w:cs="Times New Roman"/>
          <w:sz w:val="24"/>
          <w:szCs w:val="24"/>
          <w:lang w:eastAsia="en-US"/>
        </w:rPr>
      </w:pPr>
      <w:r w:rsidRPr="00B95108">
        <w:rPr>
          <w:rFonts w:ascii="Times New Roman" w:eastAsiaTheme="majorEastAsia" w:hAnsi="Times New Roman" w:cs="Times New Roman"/>
          <w:sz w:val="24"/>
          <w:szCs w:val="24"/>
          <w:lang w:eastAsia="en-US"/>
        </w:rPr>
        <w:t>mITT, modified intent-to-treat.</w:t>
      </w:r>
    </w:p>
    <w:p w14:paraId="154AD389" w14:textId="77777777" w:rsidR="00113170" w:rsidRPr="00B95108" w:rsidRDefault="00113170" w:rsidP="00661AD1">
      <w:pPr>
        <w:pStyle w:val="Heading1"/>
        <w:pageBreakBefore/>
        <w:rPr>
          <w:rFonts w:ascii="Times New Roman" w:hAnsi="Times New Roman" w:cs="Times New Roman"/>
          <w:sz w:val="24"/>
          <w:szCs w:val="24"/>
          <w:lang w:eastAsia="en-US"/>
        </w:rPr>
      </w:pPr>
      <w:bookmarkStart w:id="27" w:name="_Toc87612723"/>
      <w:r w:rsidRPr="00B95108">
        <w:rPr>
          <w:rFonts w:ascii="Times New Roman" w:hAnsi="Times New Roman" w:cs="Times New Roman"/>
          <w:sz w:val="24"/>
          <w:szCs w:val="24"/>
        </w:rPr>
        <w:lastRenderedPageBreak/>
        <w:t>SUPPLEMENTARY FIGURES</w:t>
      </w:r>
      <w:bookmarkEnd w:id="27"/>
    </w:p>
    <w:p w14:paraId="72A1E40A" w14:textId="77777777" w:rsidR="00113170" w:rsidRDefault="00113170" w:rsidP="009160EA">
      <w:pPr>
        <w:jc w:val="center"/>
        <w:rPr>
          <w:rFonts w:ascii="Times New Roman" w:eastAsiaTheme="minorHAnsi" w:hAnsi="Times New Roman" w:cs="Times New Roman"/>
          <w:strike/>
          <w:sz w:val="24"/>
          <w:szCs w:val="24"/>
          <w:lang w:eastAsia="en-US"/>
        </w:rPr>
      </w:pPr>
    </w:p>
    <w:p w14:paraId="47B65974" w14:textId="77777777" w:rsidR="00113170" w:rsidRPr="00B95108" w:rsidRDefault="00113170" w:rsidP="009160EA">
      <w:pPr>
        <w:jc w:val="center"/>
        <w:rPr>
          <w:rFonts w:ascii="Times New Roman" w:eastAsiaTheme="minorHAnsi" w:hAnsi="Times New Roman" w:cs="Times New Roman"/>
          <w:strike/>
          <w:sz w:val="24"/>
          <w:szCs w:val="24"/>
          <w:lang w:eastAsia="en-US"/>
        </w:rPr>
      </w:pPr>
      <w:r>
        <w:rPr>
          <w:rFonts w:ascii="Times New Roman" w:eastAsiaTheme="minorHAnsi" w:hAnsi="Times New Roman" w:cs="Times New Roman"/>
          <w:strike/>
          <w:noProof/>
          <w:sz w:val="24"/>
          <w:szCs w:val="24"/>
          <w:lang w:eastAsia="en-US"/>
        </w:rPr>
        <w:drawing>
          <wp:inline distT="0" distB="0" distL="0" distR="0" wp14:anchorId="3D7F91B1" wp14:editId="62050978">
            <wp:extent cx="3112008" cy="4803648"/>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2008" cy="4803648"/>
                    </a:xfrm>
                    <a:prstGeom prst="rect">
                      <a:avLst/>
                    </a:prstGeom>
                  </pic:spPr>
                </pic:pic>
              </a:graphicData>
            </a:graphic>
          </wp:inline>
        </w:drawing>
      </w:r>
    </w:p>
    <w:p w14:paraId="3992A0DD" w14:textId="77777777" w:rsidR="00113170" w:rsidRDefault="00113170">
      <w:pPr>
        <w:pStyle w:val="Heading2"/>
        <w:spacing w:after="0" w:line="240" w:lineRule="auto"/>
        <w:rPr>
          <w:rFonts w:ascii="Times New Roman" w:hAnsi="Times New Roman" w:cs="Times New Roman"/>
          <w:sz w:val="24"/>
          <w:szCs w:val="24"/>
        </w:rPr>
      </w:pPr>
      <w:bookmarkStart w:id="28" w:name="_Toc87612724"/>
      <w:r w:rsidRPr="00661AD1">
        <w:rPr>
          <w:rFonts w:ascii="Times New Roman" w:hAnsi="Times New Roman" w:cs="Times New Roman"/>
          <w:sz w:val="24"/>
          <w:szCs w:val="24"/>
        </w:rPr>
        <w:t>Supplementary Figure 1. Patient disposition.</w:t>
      </w:r>
      <w:bookmarkEnd w:id="28"/>
    </w:p>
    <w:p w14:paraId="49322370" w14:textId="77777777" w:rsidR="00113170" w:rsidRPr="00B95108" w:rsidRDefault="00113170">
      <w:pPr>
        <w:rPr>
          <w:rFonts w:eastAsiaTheme="minorHAnsi"/>
          <w:b/>
          <w:color w:val="000000" w:themeColor="text1"/>
          <w:lang w:eastAsia="en-US"/>
        </w:rPr>
        <w:sectPr w:rsidR="00113170" w:rsidRPr="00B95108">
          <w:pgSz w:w="12240" w:h="15840"/>
          <w:pgMar w:top="1440" w:right="1440" w:bottom="1440" w:left="1440" w:header="720" w:footer="720" w:gutter="0"/>
          <w:cols w:space="720"/>
          <w:docGrid w:linePitch="360"/>
        </w:sectPr>
      </w:pPr>
      <w:r w:rsidRPr="00661AD1">
        <w:rPr>
          <w:rFonts w:ascii="Times New Roman" w:hAnsi="Times New Roman" w:cs="Times New Roman"/>
          <w:sz w:val="24"/>
          <w:szCs w:val="24"/>
        </w:rPr>
        <w:t xml:space="preserve">HNSCC, head and neck squamous cell carcinoma; PD, progressive disease; UC, urothelial </w:t>
      </w:r>
      <w:r>
        <w:rPr>
          <w:rFonts w:ascii="Times New Roman" w:hAnsi="Times New Roman" w:cs="Times New Roman"/>
          <w:sz w:val="24"/>
          <w:szCs w:val="24"/>
        </w:rPr>
        <w:t>carcinoma</w:t>
      </w:r>
      <w:r w:rsidRPr="00661AD1">
        <w:rPr>
          <w:rFonts w:ascii="Times New Roman" w:hAnsi="Times New Roman" w:cs="Times New Roman"/>
          <w:sz w:val="24"/>
          <w:szCs w:val="24"/>
        </w:rPr>
        <w:t>.</w:t>
      </w:r>
      <w:bookmarkEnd w:id="21"/>
    </w:p>
    <w:p w14:paraId="238661C5" w14:textId="77777777" w:rsidR="00113170" w:rsidRPr="00B95108" w:rsidRDefault="00113170" w:rsidP="00661AD1">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lang w:eastAsia="en-US"/>
        </w:rPr>
        <w:lastRenderedPageBreak/>
        <w:drawing>
          <wp:inline distT="0" distB="0" distL="0" distR="0" wp14:anchorId="76492D16" wp14:editId="7053A5CB">
            <wp:extent cx="6312408" cy="3596640"/>
            <wp:effectExtent l="0" t="0" r="0" b="3810"/>
            <wp:docPr id="5" name="Picture 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2408" cy="3596640"/>
                    </a:xfrm>
                    <a:prstGeom prst="rect">
                      <a:avLst/>
                    </a:prstGeom>
                  </pic:spPr>
                </pic:pic>
              </a:graphicData>
            </a:graphic>
          </wp:inline>
        </w:drawing>
      </w:r>
    </w:p>
    <w:p w14:paraId="7561937C" w14:textId="77777777" w:rsidR="00113170" w:rsidRPr="00661AD1" w:rsidRDefault="00113170">
      <w:pPr>
        <w:pStyle w:val="Heading2"/>
        <w:spacing w:after="0" w:line="240" w:lineRule="auto"/>
        <w:rPr>
          <w:rFonts w:ascii="Times New Roman" w:hAnsi="Times New Roman" w:cs="Times New Roman"/>
          <w:sz w:val="24"/>
          <w:szCs w:val="24"/>
        </w:rPr>
      </w:pPr>
      <w:bookmarkStart w:id="29" w:name="_Toc87612725"/>
      <w:bookmarkStart w:id="30" w:name="_Toc86335015"/>
      <w:r w:rsidRPr="00661AD1">
        <w:rPr>
          <w:rFonts w:ascii="Times New Roman" w:hAnsi="Times New Roman" w:cs="Times New Roman"/>
          <w:sz w:val="24"/>
          <w:szCs w:val="24"/>
        </w:rPr>
        <w:t>Supplementary Figure 2. Elevation of selected serum cytokines after infusion in mITT population.</w:t>
      </w:r>
      <w:bookmarkEnd w:id="29"/>
    </w:p>
    <w:p w14:paraId="3B6402D8" w14:textId="77777777" w:rsidR="00113170" w:rsidRPr="00661AD1" w:rsidRDefault="00113170" w:rsidP="00661AD1">
      <w:pPr>
        <w:rPr>
          <w:rFonts w:ascii="Times New Roman" w:hAnsi="Times New Roman" w:cs="Times New Roman"/>
          <w:sz w:val="24"/>
          <w:szCs w:val="24"/>
        </w:rPr>
        <w:sectPr w:rsidR="00113170" w:rsidRPr="00661AD1" w:rsidSect="0068462E">
          <w:pgSz w:w="15840" w:h="12240" w:orient="landscape"/>
          <w:pgMar w:top="1440" w:right="1440" w:bottom="1440" w:left="1440" w:header="720" w:footer="720" w:gutter="0"/>
          <w:cols w:space="720"/>
          <w:docGrid w:linePitch="360"/>
        </w:sectPr>
      </w:pPr>
      <w:r w:rsidRPr="00661AD1">
        <w:rPr>
          <w:rFonts w:ascii="Times New Roman" w:hAnsi="Times New Roman" w:cs="Times New Roman"/>
          <w:sz w:val="24"/>
          <w:szCs w:val="24"/>
        </w:rPr>
        <w:t xml:space="preserve">Serum IFNγ, IL-6, IL-8, and IL-10 </w:t>
      </w:r>
      <w:proofErr w:type="gramStart"/>
      <w:r w:rsidRPr="00661AD1">
        <w:rPr>
          <w:rFonts w:ascii="Times New Roman" w:hAnsi="Times New Roman" w:cs="Times New Roman"/>
          <w:sz w:val="24"/>
          <w:szCs w:val="24"/>
        </w:rPr>
        <w:t>were measured</w:t>
      </w:r>
      <w:proofErr w:type="gramEnd"/>
      <w:r w:rsidRPr="00661AD1">
        <w:rPr>
          <w:rFonts w:ascii="Times New Roman" w:hAnsi="Times New Roman" w:cs="Times New Roman"/>
          <w:sz w:val="24"/>
          <w:szCs w:val="24"/>
        </w:rPr>
        <w:t xml:space="preserve"> via a multiplexed electrochemiluminescence-based immunoassay (Meso Scale Diagnostics, LLC, Rockville, Maryland) at the indicated days pre- and post-infusion. Patients with (left panels) and without (right panels) CRS events </w:t>
      </w:r>
      <w:proofErr w:type="gramStart"/>
      <w:r w:rsidRPr="00661AD1">
        <w:rPr>
          <w:rFonts w:ascii="Times New Roman" w:hAnsi="Times New Roman" w:cs="Times New Roman"/>
          <w:sz w:val="24"/>
          <w:szCs w:val="24"/>
        </w:rPr>
        <w:t>are shown</w:t>
      </w:r>
      <w:proofErr w:type="gramEnd"/>
      <w:r w:rsidRPr="00661AD1">
        <w:rPr>
          <w:rFonts w:ascii="Times New Roman" w:hAnsi="Times New Roman" w:cs="Times New Roman"/>
          <w:sz w:val="24"/>
          <w:szCs w:val="24"/>
        </w:rPr>
        <w:t xml:space="preserve"> separately. </w:t>
      </w:r>
      <w:r>
        <w:rPr>
          <w:rFonts w:ascii="Times New Roman" w:hAnsi="Times New Roman" w:cs="Times New Roman"/>
          <w:sz w:val="24"/>
          <w:szCs w:val="24"/>
        </w:rPr>
        <w:t xml:space="preserve">BL, baseline; </w:t>
      </w:r>
      <w:r w:rsidRPr="00661AD1">
        <w:rPr>
          <w:rFonts w:ascii="Times New Roman" w:hAnsi="Times New Roman" w:cs="Times New Roman"/>
          <w:sz w:val="24"/>
          <w:szCs w:val="24"/>
        </w:rPr>
        <w:t>CRS, cytokine release syndrome; IFN, interferon; IL, interleukin; mITT, modified intent-to-treat.</w:t>
      </w:r>
      <w:bookmarkEnd w:id="30"/>
    </w:p>
    <w:p w14:paraId="06CDE99F" w14:textId="77777777" w:rsidR="00113170" w:rsidRPr="00B95108" w:rsidRDefault="00113170" w:rsidP="006E411F">
      <w:pPr>
        <w:rPr>
          <w:rFonts w:ascii="Times New Roman" w:eastAsiaTheme="majorEastAsia" w:hAnsi="Times New Roman" w:cs="Times New Roman"/>
          <w:sz w:val="24"/>
          <w:szCs w:val="24"/>
          <w:lang w:eastAsia="en-US"/>
        </w:rPr>
      </w:pPr>
    </w:p>
    <w:p w14:paraId="24882160" w14:textId="77777777" w:rsidR="00113170" w:rsidRPr="00B95108" w:rsidRDefault="00113170" w:rsidP="00386915">
      <w:pPr>
        <w:rPr>
          <w:rFonts w:ascii="Times New Roman" w:eastAsiaTheme="minorHAnsi" w:hAnsi="Times New Roman" w:cs="Times New Roman"/>
          <w:sz w:val="24"/>
          <w:szCs w:val="24"/>
          <w:lang w:eastAsia="en-US"/>
        </w:rPr>
      </w:pPr>
    </w:p>
    <w:p w14:paraId="15752496" w14:textId="77777777" w:rsidR="00113170" w:rsidRPr="00B95108" w:rsidRDefault="00113170" w:rsidP="00661AD1">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lang w:eastAsia="en-US"/>
        </w:rPr>
        <w:drawing>
          <wp:inline distT="0" distB="0" distL="0" distR="0" wp14:anchorId="540C3FE0" wp14:editId="74FB5A33">
            <wp:extent cx="3112008" cy="2456688"/>
            <wp:effectExtent l="0" t="0" r="0" b="127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2008" cy="2456688"/>
                    </a:xfrm>
                    <a:prstGeom prst="rect">
                      <a:avLst/>
                    </a:prstGeom>
                  </pic:spPr>
                </pic:pic>
              </a:graphicData>
            </a:graphic>
          </wp:inline>
        </w:drawing>
      </w:r>
    </w:p>
    <w:p w14:paraId="4A09579F" w14:textId="77777777" w:rsidR="00113170" w:rsidRPr="00661AD1" w:rsidRDefault="00113170" w:rsidP="00256CD5">
      <w:pPr>
        <w:pStyle w:val="Heading2"/>
        <w:spacing w:after="0" w:line="240" w:lineRule="auto"/>
        <w:rPr>
          <w:rFonts w:ascii="Times New Roman" w:hAnsi="Times New Roman" w:cs="Times New Roman"/>
          <w:sz w:val="24"/>
          <w:szCs w:val="28"/>
        </w:rPr>
      </w:pPr>
      <w:bookmarkStart w:id="31" w:name="_Toc87612726"/>
      <w:bookmarkStart w:id="32" w:name="_Toc86335016"/>
      <w:r w:rsidRPr="00661AD1">
        <w:rPr>
          <w:rFonts w:ascii="Times New Roman" w:hAnsi="Times New Roman" w:cs="Times New Roman"/>
          <w:sz w:val="24"/>
          <w:szCs w:val="28"/>
        </w:rPr>
        <w:t xml:space="preserve">Supplementary Figure 3. There was no evidence of enrichment of ADP-A2M10 in bone marrow of patient </w:t>
      </w:r>
      <w:proofErr w:type="gramStart"/>
      <w:r w:rsidRPr="00661AD1">
        <w:rPr>
          <w:rFonts w:ascii="Times New Roman" w:hAnsi="Times New Roman" w:cs="Times New Roman"/>
          <w:sz w:val="24"/>
          <w:szCs w:val="28"/>
        </w:rPr>
        <w:t>10</w:t>
      </w:r>
      <w:proofErr w:type="gramEnd"/>
      <w:r w:rsidRPr="00661AD1">
        <w:rPr>
          <w:rFonts w:ascii="Times New Roman" w:hAnsi="Times New Roman" w:cs="Times New Roman"/>
          <w:sz w:val="24"/>
          <w:szCs w:val="28"/>
        </w:rPr>
        <w:t xml:space="preserve"> compared with peripheral blood.</w:t>
      </w:r>
      <w:bookmarkEnd w:id="31"/>
    </w:p>
    <w:p w14:paraId="63735363" w14:textId="77777777" w:rsidR="00113170" w:rsidRPr="00661AD1" w:rsidRDefault="00113170" w:rsidP="00256CD5">
      <w:pPr>
        <w:rPr>
          <w:rFonts w:ascii="Times New Roman" w:eastAsiaTheme="majorEastAsia" w:hAnsi="Times New Roman" w:cs="Times New Roman"/>
        </w:rPr>
      </w:pPr>
      <w:r w:rsidRPr="00661AD1">
        <w:rPr>
          <w:rFonts w:ascii="Times New Roman" w:eastAsiaTheme="majorEastAsia" w:hAnsi="Times New Roman" w:cs="Times New Roman"/>
          <w:sz w:val="24"/>
          <w:szCs w:val="24"/>
        </w:rPr>
        <w:t xml:space="preserve">Persistence of ADP-A2M10 </w:t>
      </w:r>
      <w:proofErr w:type="gramStart"/>
      <w:r w:rsidRPr="00661AD1">
        <w:rPr>
          <w:rFonts w:ascii="Times New Roman" w:eastAsiaTheme="majorEastAsia" w:hAnsi="Times New Roman" w:cs="Times New Roman"/>
          <w:sz w:val="24"/>
          <w:szCs w:val="24"/>
        </w:rPr>
        <w:t>was measured</w:t>
      </w:r>
      <w:proofErr w:type="gramEnd"/>
      <w:r w:rsidRPr="00661AD1">
        <w:rPr>
          <w:rFonts w:ascii="Times New Roman" w:eastAsiaTheme="majorEastAsia" w:hAnsi="Times New Roman" w:cs="Times New Roman"/>
          <w:sz w:val="24"/>
          <w:szCs w:val="24"/>
        </w:rPr>
        <w:t xml:space="preserve"> by quantitative </w:t>
      </w:r>
      <w:r>
        <w:rPr>
          <w:rFonts w:ascii="Times New Roman" w:eastAsiaTheme="majorEastAsia" w:hAnsi="Times New Roman" w:cs="Times New Roman"/>
          <w:sz w:val="24"/>
          <w:szCs w:val="24"/>
        </w:rPr>
        <w:t>PCR</w:t>
      </w:r>
      <w:r w:rsidRPr="00661AD1" w:rsidDel="00F53C8C">
        <w:rPr>
          <w:rFonts w:ascii="Times New Roman" w:eastAsiaTheme="majorEastAsia" w:hAnsi="Times New Roman" w:cs="Times New Roman"/>
          <w:sz w:val="24"/>
          <w:szCs w:val="24"/>
        </w:rPr>
        <w:t xml:space="preserve"> </w:t>
      </w:r>
      <w:r w:rsidRPr="00661AD1">
        <w:rPr>
          <w:rFonts w:ascii="Times New Roman" w:eastAsiaTheme="majorEastAsia" w:hAnsi="Times New Roman" w:cs="Times New Roman"/>
          <w:sz w:val="24"/>
          <w:szCs w:val="24"/>
        </w:rPr>
        <w:t>of the Psi element sequence in genomic DNA extracted from peripheral blood and bone marrow mononuclear cells.</w:t>
      </w:r>
      <w:bookmarkEnd w:id="32"/>
    </w:p>
    <w:p w14:paraId="5A52FAFE" w14:textId="77777777" w:rsidR="00113170" w:rsidRPr="00B95108" w:rsidRDefault="00113170" w:rsidP="00386915">
      <w:pPr>
        <w:rPr>
          <w:rFonts w:ascii="Times New Roman" w:eastAsiaTheme="minorHAnsi" w:hAnsi="Times New Roman" w:cs="Times New Roman"/>
          <w:sz w:val="24"/>
          <w:szCs w:val="24"/>
          <w:lang w:eastAsia="en-US"/>
        </w:rPr>
      </w:pPr>
    </w:p>
    <w:p w14:paraId="3C73D00B" w14:textId="77777777" w:rsidR="00113170" w:rsidRPr="00B95108" w:rsidRDefault="00113170" w:rsidP="00386915">
      <w:pPr>
        <w:rPr>
          <w:rFonts w:ascii="Times New Roman" w:eastAsiaTheme="minorHAnsi" w:hAnsi="Times New Roman" w:cs="Times New Roman"/>
          <w:sz w:val="24"/>
          <w:szCs w:val="24"/>
          <w:lang w:eastAsia="en-US"/>
        </w:rPr>
      </w:pPr>
    </w:p>
    <w:p w14:paraId="420113CE" w14:textId="77777777" w:rsidR="00113170" w:rsidRPr="00B95108" w:rsidRDefault="00113170" w:rsidP="00661AD1">
      <w:pPr>
        <w:pageBreakBefore/>
        <w:jc w:val="center"/>
        <w:rPr>
          <w:rFonts w:ascii="Times New Roman" w:eastAsiaTheme="majorEastAsia" w:hAnsi="Times New Roman" w:cs="Times New Roman"/>
          <w:sz w:val="24"/>
          <w:szCs w:val="24"/>
          <w:lang w:eastAsia="en-US"/>
        </w:rPr>
      </w:pPr>
      <w:r w:rsidRPr="00B95108">
        <w:rPr>
          <w:rFonts w:ascii="Times New Roman" w:eastAsiaTheme="majorEastAsia" w:hAnsi="Times New Roman" w:cs="Times New Roman"/>
          <w:noProof/>
          <w:sz w:val="24"/>
          <w:szCs w:val="24"/>
          <w:lang w:eastAsia="en-US"/>
        </w:rPr>
        <w:lastRenderedPageBreak/>
        <mc:AlternateContent>
          <mc:Choice Requires="wps">
            <w:drawing>
              <wp:anchor distT="0" distB="0" distL="114300" distR="114300" simplePos="0" relativeHeight="251659264" behindDoc="0" locked="0" layoutInCell="1" allowOverlap="1" wp14:anchorId="69C050F5" wp14:editId="11EEBFB7">
                <wp:simplePos x="0" y="0"/>
                <wp:positionH relativeFrom="column">
                  <wp:posOffset>4347018</wp:posOffset>
                </wp:positionH>
                <wp:positionV relativeFrom="paragraph">
                  <wp:posOffset>-232410</wp:posOffset>
                </wp:positionV>
                <wp:extent cx="1251585" cy="338455"/>
                <wp:effectExtent l="0" t="0" r="0" b="0"/>
                <wp:wrapNone/>
                <wp:docPr id="2" name="TextBox 10"/>
                <wp:cNvGraphicFramePr/>
                <a:graphic xmlns:a="http://schemas.openxmlformats.org/drawingml/2006/main">
                  <a:graphicData uri="http://schemas.microsoft.com/office/word/2010/wordprocessingShape">
                    <wps:wsp>
                      <wps:cNvSpPr txBox="1"/>
                      <wps:spPr>
                        <a:xfrm>
                          <a:off x="0" y="0"/>
                          <a:ext cx="1251585" cy="338455"/>
                        </a:xfrm>
                        <a:prstGeom prst="rect">
                          <a:avLst/>
                        </a:prstGeom>
                        <a:noFill/>
                      </wps:spPr>
                      <wps:txbx>
                        <w:txbxContent>
                          <w:p w14:paraId="556E00F9" w14:textId="77777777" w:rsidR="00113170" w:rsidRDefault="00113170" w:rsidP="00386915">
                            <w:pPr>
                              <w:rPr>
                                <w:rFonts w:ascii="Arial" w:hAnsi="Arial" w:cs="Arial"/>
                                <w:color w:val="000000" w:themeColor="text1"/>
                                <w:kern w:val="24"/>
                                <w:sz w:val="32"/>
                                <w:szCs w:val="32"/>
                              </w:rPr>
                            </w:pPr>
                          </w:p>
                        </w:txbxContent>
                      </wps:txbx>
                      <wps:bodyPr wrap="square" rtlCol="0">
                        <a:spAutoFit/>
                      </wps:bodyPr>
                    </wps:wsp>
                  </a:graphicData>
                </a:graphic>
              </wp:anchor>
            </w:drawing>
          </mc:Choice>
          <mc:Fallback>
            <w:pict>
              <v:shapetype w14:anchorId="69C050F5" id="_x0000_t202" coordsize="21600,21600" o:spt="202" path="m,l,21600r21600,l21600,xe">
                <v:stroke joinstyle="miter"/>
                <v:path gradientshapeok="t" o:connecttype="rect"/>
              </v:shapetype>
              <v:shape id="TextBox 10" o:spid="_x0000_s1026" type="#_x0000_t202" style="position:absolute;left:0;text-align:left;margin-left:342.3pt;margin-top:-18.3pt;width:98.55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" filled="f" stroked="f">
                <v:textbox style="mso-fit-shape-to-text:t">
                  <w:txbxContent>
                    <w:p w14:paraId="556E00F9" w14:textId="77777777" w:rsidR="00113170" w:rsidRDefault="00113170" w:rsidP="00386915">
                      <w:pPr>
                        <w:rPr>
                          <w:rFonts w:ascii="Arial" w:hAnsi="Arial" w:cs="Arial"/>
                          <w:color w:val="000000" w:themeColor="text1"/>
                          <w:kern w:val="24"/>
                          <w:sz w:val="32"/>
                          <w:szCs w:val="32"/>
                        </w:rPr>
                      </w:pPr>
                    </w:p>
                  </w:txbxContent>
                </v:textbox>
              </v:shape>
            </w:pict>
          </mc:Fallback>
        </mc:AlternateContent>
      </w:r>
      <w:r>
        <w:rPr>
          <w:rFonts w:ascii="Times New Roman" w:eastAsiaTheme="majorEastAsia" w:hAnsi="Times New Roman" w:cs="Times New Roman"/>
          <w:noProof/>
          <w:sz w:val="24"/>
          <w:szCs w:val="24"/>
          <w:lang w:eastAsia="en-US"/>
        </w:rPr>
        <w:drawing>
          <wp:inline distT="0" distB="0" distL="0" distR="0" wp14:anchorId="0F3D9ADD" wp14:editId="496AB96C">
            <wp:extent cx="3112008" cy="2456688"/>
            <wp:effectExtent l="0" t="0" r="0" b="1270"/>
            <wp:docPr id="4" name="Picture 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2008" cy="2456688"/>
                    </a:xfrm>
                    <a:prstGeom prst="rect">
                      <a:avLst/>
                    </a:prstGeom>
                  </pic:spPr>
                </pic:pic>
              </a:graphicData>
            </a:graphic>
          </wp:inline>
        </w:drawing>
      </w:r>
    </w:p>
    <w:p w14:paraId="3E61AF8F" w14:textId="77777777" w:rsidR="00113170" w:rsidRPr="00256CD5" w:rsidRDefault="00113170" w:rsidP="00661AD1">
      <w:pPr>
        <w:pStyle w:val="Heading2"/>
        <w:spacing w:after="0" w:line="240" w:lineRule="auto"/>
        <w:rPr>
          <w:rFonts w:ascii="Times New Roman" w:hAnsi="Times New Roman" w:cs="Times New Roman"/>
          <w:b w:val="0"/>
          <w:bCs/>
          <w:sz w:val="24"/>
          <w:szCs w:val="24"/>
        </w:rPr>
      </w:pPr>
      <w:bookmarkStart w:id="33" w:name="_Toc87612727"/>
      <w:bookmarkStart w:id="34" w:name="_Toc86335017"/>
      <w:r w:rsidRPr="00661AD1">
        <w:rPr>
          <w:rFonts w:ascii="Times New Roman" w:hAnsi="Times New Roman" w:cs="Times New Roman"/>
          <w:sz w:val="24"/>
          <w:szCs w:val="24"/>
        </w:rPr>
        <w:t>Supplementary Figure 4. Variability of APM, CD3+ T-cell, CD8+ T-cell, and T-cell exhaustion gene signature expression in pre-infusion tumor tissue across the patients.</w:t>
      </w:r>
      <w:bookmarkEnd w:id="33"/>
    </w:p>
    <w:p w14:paraId="4498E61A" w14:textId="77777777" w:rsidR="00113170" w:rsidRPr="00661AD1" w:rsidRDefault="00113170" w:rsidP="00661AD1">
      <w:pPr>
        <w:rPr>
          <w:rFonts w:ascii="Times New Roman" w:eastAsiaTheme="minorHAnsi" w:hAnsi="Times New Roman" w:cs="Times New Roman"/>
          <w:sz w:val="24"/>
          <w:szCs w:val="24"/>
        </w:rPr>
      </w:pPr>
      <w:r w:rsidRPr="00661AD1">
        <w:rPr>
          <w:rFonts w:ascii="Times New Roman" w:hAnsi="Times New Roman" w:cs="Times New Roman"/>
          <w:sz w:val="24"/>
          <w:szCs w:val="24"/>
        </w:rPr>
        <w:t xml:space="preserve">Gene expression analysis </w:t>
      </w:r>
      <w:proofErr w:type="gramStart"/>
      <w:r w:rsidRPr="00661AD1">
        <w:rPr>
          <w:rFonts w:ascii="Times New Roman" w:hAnsi="Times New Roman" w:cs="Times New Roman"/>
          <w:sz w:val="24"/>
          <w:szCs w:val="24"/>
        </w:rPr>
        <w:t>was performed</w:t>
      </w:r>
      <w:proofErr w:type="gramEnd"/>
      <w:r w:rsidRPr="00661AD1">
        <w:rPr>
          <w:rFonts w:ascii="Times New Roman" w:hAnsi="Times New Roman" w:cs="Times New Roman"/>
          <w:sz w:val="24"/>
          <w:szCs w:val="24"/>
        </w:rPr>
        <w:t xml:space="preserve"> using the NanoString nCounter system (NanoString Technologies, Seattle, Washington) and presented as a heatmap of scores standardized per gene. The scores </w:t>
      </w:r>
      <w:proofErr w:type="gramStart"/>
      <w:r w:rsidRPr="00661AD1">
        <w:rPr>
          <w:rFonts w:ascii="Times New Roman" w:hAnsi="Times New Roman" w:cs="Times New Roman"/>
          <w:sz w:val="24"/>
          <w:szCs w:val="24"/>
        </w:rPr>
        <w:t>were obtained</w:t>
      </w:r>
      <w:proofErr w:type="gramEnd"/>
      <w:r w:rsidRPr="00661AD1">
        <w:rPr>
          <w:rFonts w:ascii="Times New Roman" w:hAnsi="Times New Roman" w:cs="Times New Roman"/>
          <w:sz w:val="24"/>
          <w:szCs w:val="24"/>
        </w:rPr>
        <w:t xml:space="preserve"> as number of standard deviations away from the mean (z-score). Patient </w:t>
      </w:r>
      <w:proofErr w:type="gramStart"/>
      <w:r w:rsidRPr="00661AD1">
        <w:rPr>
          <w:rFonts w:ascii="Times New Roman" w:hAnsi="Times New Roman" w:cs="Times New Roman"/>
          <w:sz w:val="24"/>
          <w:szCs w:val="24"/>
        </w:rPr>
        <w:t>5</w:t>
      </w:r>
      <w:proofErr w:type="gramEnd"/>
      <w:r w:rsidRPr="00661AD1">
        <w:rPr>
          <w:rFonts w:ascii="Times New Roman" w:hAnsi="Times New Roman" w:cs="Times New Roman"/>
          <w:sz w:val="24"/>
          <w:szCs w:val="24"/>
        </w:rPr>
        <w:t xml:space="preserve"> did not have enough tumor for </w:t>
      </w:r>
      <w:r w:rsidRPr="00D66372">
        <w:rPr>
          <w:rFonts w:ascii="Times New Roman" w:hAnsi="Times New Roman" w:cs="Times New Roman"/>
          <w:sz w:val="24"/>
          <w:szCs w:val="24"/>
        </w:rPr>
        <w:t>assessment. APM, antigen processing machinery; HNSCC, head and neck squamous cell carcinoma; N</w:t>
      </w:r>
      <w:r w:rsidRPr="006D5552">
        <w:rPr>
          <w:rFonts w:ascii="Times New Roman" w:hAnsi="Times New Roman" w:cs="Times New Roman"/>
          <w:sz w:val="24"/>
          <w:szCs w:val="24"/>
        </w:rPr>
        <w:t>E</w:t>
      </w:r>
      <w:r w:rsidRPr="00D66372">
        <w:rPr>
          <w:rFonts w:ascii="Times New Roman" w:hAnsi="Times New Roman" w:cs="Times New Roman"/>
          <w:sz w:val="24"/>
          <w:szCs w:val="24"/>
        </w:rPr>
        <w:t xml:space="preserve">, not </w:t>
      </w:r>
      <w:r w:rsidRPr="00D66372">
        <w:rPr>
          <w:rFonts w:ascii="Times New Roman" w:hAnsi="Times New Roman" w:cs="Times New Roman"/>
          <w:bCs/>
          <w:sz w:val="24"/>
          <w:szCs w:val="24"/>
        </w:rPr>
        <w:t>evaluable</w:t>
      </w:r>
      <w:r w:rsidRPr="00D66372">
        <w:rPr>
          <w:rFonts w:ascii="Times New Roman" w:hAnsi="Times New Roman" w:cs="Times New Roman"/>
          <w:sz w:val="24"/>
          <w:szCs w:val="24"/>
        </w:rPr>
        <w:t>; PD, progressive disease; SD, stable disease; UC, urothelial carcinoma.</w:t>
      </w:r>
      <w:bookmarkStart w:id="35" w:name="_Ref53062021"/>
      <w:bookmarkEnd w:id="34"/>
      <w:bookmarkEnd w:id="35"/>
    </w:p>
    <w:p w14:paraId="38C05587" w14:textId="77777777" w:rsidR="00113170" w:rsidRPr="00B95108" w:rsidRDefault="00113170" w:rsidP="006E411F">
      <w:pPr>
        <w:pStyle w:val="Heading1"/>
        <w:pageBreakBefore/>
        <w:rPr>
          <w:rFonts w:ascii="Times New Roman" w:eastAsiaTheme="minorHAnsi" w:hAnsi="Times New Roman" w:cs="Times New Roman"/>
          <w:sz w:val="24"/>
          <w:szCs w:val="24"/>
          <w:lang w:eastAsia="en-US"/>
        </w:rPr>
      </w:pPr>
      <w:bookmarkStart w:id="36" w:name="_Toc86335018"/>
      <w:bookmarkStart w:id="37" w:name="_Toc87612728"/>
      <w:r w:rsidRPr="00B95108">
        <w:rPr>
          <w:rFonts w:ascii="Times New Roman" w:eastAsiaTheme="minorHAnsi" w:hAnsi="Times New Roman" w:cs="Times New Roman"/>
          <w:sz w:val="24"/>
          <w:szCs w:val="24"/>
          <w:lang w:eastAsia="en-US"/>
        </w:rPr>
        <w:lastRenderedPageBreak/>
        <w:t>REFERENCES</w:t>
      </w:r>
      <w:bookmarkEnd w:id="36"/>
      <w:bookmarkEnd w:id="37"/>
    </w:p>
    <w:p w14:paraId="459DECF7" w14:textId="7F66AB7B" w:rsidR="00113170" w:rsidRPr="00225275" w:rsidRDefault="00113170" w:rsidP="00AC5A7B">
      <w:pPr>
        <w:pStyle w:val="EndNoteBibliography"/>
        <w:spacing w:after="0"/>
        <w:ind w:left="720" w:hanging="720"/>
        <w:rPr>
          <w:szCs w:val="24"/>
        </w:rPr>
      </w:pPr>
      <w:r w:rsidRPr="00AC5A7B">
        <w:t>1.</w:t>
      </w:r>
      <w:r w:rsidRPr="00AC5A7B">
        <w:tab/>
      </w:r>
      <w:r w:rsidRPr="00225275">
        <w:rPr>
          <w:szCs w:val="24"/>
        </w:rPr>
        <w:t xml:space="preserve">Ramachandran I, Lowther DE, Dryer-Minnerly R, Wang R, Fayngerts S, Nunez D, et al. Systemic and </w:t>
      </w:r>
      <w:r w:rsidR="00225275" w:rsidRPr="00225275">
        <w:rPr>
          <w:szCs w:val="24"/>
        </w:rPr>
        <w:t>L</w:t>
      </w:r>
      <w:r w:rsidRPr="00225275">
        <w:rPr>
          <w:szCs w:val="24"/>
        </w:rPr>
        <w:t xml:space="preserve">ocal </w:t>
      </w:r>
      <w:r w:rsidR="00225275" w:rsidRPr="00225275">
        <w:rPr>
          <w:szCs w:val="24"/>
        </w:rPr>
        <w:t>I</w:t>
      </w:r>
      <w:r w:rsidRPr="00225275">
        <w:rPr>
          <w:szCs w:val="24"/>
        </w:rPr>
        <w:t xml:space="preserve">mmunity </w:t>
      </w:r>
      <w:r w:rsidR="00225275" w:rsidRPr="00225275">
        <w:rPr>
          <w:szCs w:val="24"/>
        </w:rPr>
        <w:t>F</w:t>
      </w:r>
      <w:r w:rsidRPr="00225275">
        <w:rPr>
          <w:szCs w:val="24"/>
        </w:rPr>
        <w:t xml:space="preserve">ollowing </w:t>
      </w:r>
      <w:r w:rsidR="00225275" w:rsidRPr="00225275">
        <w:rPr>
          <w:szCs w:val="24"/>
        </w:rPr>
        <w:t>A</w:t>
      </w:r>
      <w:r w:rsidRPr="00225275">
        <w:rPr>
          <w:szCs w:val="24"/>
        </w:rPr>
        <w:t xml:space="preserve">doptive </w:t>
      </w:r>
      <w:r w:rsidR="00225275" w:rsidRPr="00225275">
        <w:rPr>
          <w:szCs w:val="24"/>
        </w:rPr>
        <w:t>T</w:t>
      </w:r>
      <w:r w:rsidRPr="00225275">
        <w:rPr>
          <w:szCs w:val="24"/>
        </w:rPr>
        <w:t xml:space="preserve">ransfer of NY-ESO-1 SPEAR T </w:t>
      </w:r>
      <w:r w:rsidR="00225275" w:rsidRPr="00225275">
        <w:rPr>
          <w:szCs w:val="24"/>
        </w:rPr>
        <w:t>C</w:t>
      </w:r>
      <w:r w:rsidRPr="00225275">
        <w:rPr>
          <w:szCs w:val="24"/>
        </w:rPr>
        <w:t xml:space="preserve">ells in </w:t>
      </w:r>
      <w:r w:rsidR="00225275" w:rsidRPr="00225275">
        <w:rPr>
          <w:szCs w:val="24"/>
        </w:rPr>
        <w:t>S</w:t>
      </w:r>
      <w:r w:rsidRPr="00225275">
        <w:rPr>
          <w:szCs w:val="24"/>
        </w:rPr>
        <w:t xml:space="preserve">ynovial </w:t>
      </w:r>
      <w:r w:rsidR="00225275" w:rsidRPr="00225275">
        <w:rPr>
          <w:szCs w:val="24"/>
        </w:rPr>
        <w:t>S</w:t>
      </w:r>
      <w:r w:rsidRPr="00225275">
        <w:rPr>
          <w:szCs w:val="24"/>
        </w:rPr>
        <w:t xml:space="preserve">arcoma. </w:t>
      </w:r>
      <w:r w:rsidRPr="00225275">
        <w:rPr>
          <w:i/>
          <w:szCs w:val="24"/>
        </w:rPr>
        <w:t>J Immunother Cancer</w:t>
      </w:r>
      <w:r w:rsidRPr="00225275">
        <w:rPr>
          <w:szCs w:val="24"/>
        </w:rPr>
        <w:t xml:space="preserve"> (2019) 7(1):276. doi: 10.1186/s40425-019-0762-2</w:t>
      </w:r>
    </w:p>
    <w:p w14:paraId="5698A02A" w14:textId="75EF0DF3" w:rsidR="00113170" w:rsidRPr="00225275" w:rsidRDefault="00113170" w:rsidP="00AC5A7B">
      <w:pPr>
        <w:pStyle w:val="EndNoteBibliography"/>
        <w:spacing w:after="0"/>
        <w:ind w:left="720" w:hanging="720"/>
        <w:rPr>
          <w:szCs w:val="24"/>
        </w:rPr>
      </w:pPr>
      <w:r w:rsidRPr="00225275">
        <w:rPr>
          <w:szCs w:val="24"/>
        </w:rPr>
        <w:t>2.</w:t>
      </w:r>
      <w:r w:rsidRPr="00225275">
        <w:rPr>
          <w:szCs w:val="24"/>
        </w:rPr>
        <w:tab/>
        <w:t xml:space="preserve">Şenbabaoğlu Y, Gejman RS, Winer AG, Liu M, Van Allen EM, de Velasco G, et al. Tumor </w:t>
      </w:r>
      <w:r w:rsidR="00225275" w:rsidRPr="00225275">
        <w:rPr>
          <w:szCs w:val="24"/>
        </w:rPr>
        <w:t>I</w:t>
      </w:r>
      <w:r w:rsidRPr="00225275">
        <w:rPr>
          <w:szCs w:val="24"/>
        </w:rPr>
        <w:t xml:space="preserve">mmune </w:t>
      </w:r>
      <w:r w:rsidR="00225275" w:rsidRPr="00225275">
        <w:rPr>
          <w:szCs w:val="24"/>
        </w:rPr>
        <w:t>M</w:t>
      </w:r>
      <w:r w:rsidRPr="00225275">
        <w:rPr>
          <w:szCs w:val="24"/>
        </w:rPr>
        <w:t xml:space="preserve">icroenvironment </w:t>
      </w:r>
      <w:r w:rsidR="00225275" w:rsidRPr="00225275">
        <w:rPr>
          <w:szCs w:val="24"/>
        </w:rPr>
        <w:t>C</w:t>
      </w:r>
      <w:r w:rsidRPr="00225275">
        <w:rPr>
          <w:szCs w:val="24"/>
        </w:rPr>
        <w:t xml:space="preserve">haracterization in </w:t>
      </w:r>
      <w:r w:rsidR="00225275" w:rsidRPr="00225275">
        <w:rPr>
          <w:szCs w:val="24"/>
        </w:rPr>
        <w:t>C</w:t>
      </w:r>
      <w:r w:rsidRPr="00225275">
        <w:rPr>
          <w:szCs w:val="24"/>
        </w:rPr>
        <w:t xml:space="preserve">lear </w:t>
      </w:r>
      <w:r w:rsidR="00225275" w:rsidRPr="00225275">
        <w:rPr>
          <w:szCs w:val="24"/>
        </w:rPr>
        <w:t>C</w:t>
      </w:r>
      <w:r w:rsidRPr="00225275">
        <w:rPr>
          <w:szCs w:val="24"/>
        </w:rPr>
        <w:t xml:space="preserve">ell </w:t>
      </w:r>
      <w:r w:rsidR="00225275" w:rsidRPr="00225275">
        <w:rPr>
          <w:szCs w:val="24"/>
        </w:rPr>
        <w:t>R</w:t>
      </w:r>
      <w:r w:rsidRPr="00225275">
        <w:rPr>
          <w:szCs w:val="24"/>
        </w:rPr>
        <w:t xml:space="preserve">enal </w:t>
      </w:r>
      <w:r w:rsidR="00225275" w:rsidRPr="00225275">
        <w:rPr>
          <w:szCs w:val="24"/>
        </w:rPr>
        <w:t>C</w:t>
      </w:r>
      <w:r w:rsidRPr="00225275">
        <w:rPr>
          <w:szCs w:val="24"/>
        </w:rPr>
        <w:t xml:space="preserve">ell </w:t>
      </w:r>
      <w:r w:rsidR="00225275" w:rsidRPr="00225275">
        <w:rPr>
          <w:szCs w:val="24"/>
        </w:rPr>
        <w:t>C</w:t>
      </w:r>
      <w:r w:rsidRPr="00225275">
        <w:rPr>
          <w:szCs w:val="24"/>
        </w:rPr>
        <w:t xml:space="preserve">arcinoma </w:t>
      </w:r>
      <w:r w:rsidR="00225275" w:rsidRPr="00225275">
        <w:rPr>
          <w:szCs w:val="24"/>
        </w:rPr>
        <w:t>I</w:t>
      </w:r>
      <w:r w:rsidRPr="00225275">
        <w:rPr>
          <w:szCs w:val="24"/>
        </w:rPr>
        <w:t xml:space="preserve">dentifies </w:t>
      </w:r>
      <w:r w:rsidR="00225275" w:rsidRPr="00225275">
        <w:rPr>
          <w:szCs w:val="24"/>
        </w:rPr>
        <w:t>P</w:t>
      </w:r>
      <w:r w:rsidRPr="00225275">
        <w:rPr>
          <w:szCs w:val="24"/>
        </w:rPr>
        <w:t xml:space="preserve">rognostic and </w:t>
      </w:r>
      <w:r w:rsidR="00225275" w:rsidRPr="00225275">
        <w:rPr>
          <w:szCs w:val="24"/>
        </w:rPr>
        <w:t>I</w:t>
      </w:r>
      <w:r w:rsidRPr="00225275">
        <w:rPr>
          <w:szCs w:val="24"/>
        </w:rPr>
        <w:t xml:space="preserve">mmunotherapeutically </w:t>
      </w:r>
      <w:r w:rsidR="00225275" w:rsidRPr="00225275">
        <w:rPr>
          <w:szCs w:val="24"/>
        </w:rPr>
        <w:t>R</w:t>
      </w:r>
      <w:r w:rsidRPr="00225275">
        <w:rPr>
          <w:szCs w:val="24"/>
        </w:rPr>
        <w:t xml:space="preserve">elevant </w:t>
      </w:r>
      <w:r w:rsidR="00225275" w:rsidRPr="00225275">
        <w:rPr>
          <w:szCs w:val="24"/>
        </w:rPr>
        <w:t>M</w:t>
      </w:r>
      <w:r w:rsidRPr="00225275">
        <w:rPr>
          <w:szCs w:val="24"/>
        </w:rPr>
        <w:t xml:space="preserve">essenger RNA </w:t>
      </w:r>
      <w:r w:rsidR="00225275" w:rsidRPr="00225275">
        <w:rPr>
          <w:szCs w:val="24"/>
        </w:rPr>
        <w:t>S</w:t>
      </w:r>
      <w:r w:rsidRPr="00225275">
        <w:rPr>
          <w:szCs w:val="24"/>
        </w:rPr>
        <w:t xml:space="preserve">ignatures. </w:t>
      </w:r>
      <w:r w:rsidRPr="00225275">
        <w:rPr>
          <w:i/>
          <w:szCs w:val="24"/>
        </w:rPr>
        <w:t>Genome Biol</w:t>
      </w:r>
      <w:r w:rsidRPr="00225275">
        <w:rPr>
          <w:szCs w:val="24"/>
        </w:rPr>
        <w:t xml:space="preserve"> (2016) 17(1):231. doi: 10.1186/s13059-016-1092-z</w:t>
      </w:r>
    </w:p>
    <w:p w14:paraId="38453C55" w14:textId="77777777" w:rsidR="00113170" w:rsidRPr="00225275" w:rsidRDefault="00113170" w:rsidP="00AC5A7B">
      <w:pPr>
        <w:pStyle w:val="EndNoteBibliography"/>
        <w:spacing w:after="0"/>
        <w:ind w:left="720" w:hanging="720"/>
        <w:rPr>
          <w:szCs w:val="24"/>
        </w:rPr>
      </w:pPr>
      <w:r w:rsidRPr="00225275">
        <w:rPr>
          <w:szCs w:val="24"/>
        </w:rPr>
        <w:t>3.</w:t>
      </w:r>
      <w:r w:rsidRPr="00225275">
        <w:rPr>
          <w:szCs w:val="24"/>
        </w:rPr>
        <w:tab/>
        <w:t xml:space="preserve">Rhodes M, Danaher P, Dennis L, Mashadi-Hossein A, Irving L, Beechem J. </w:t>
      </w:r>
      <w:r w:rsidRPr="00225275">
        <w:rPr>
          <w:i/>
          <w:szCs w:val="24"/>
        </w:rPr>
        <w:t>Using the PanCancer Immune Profiling Advanced Analysis Module</w:t>
      </w:r>
      <w:r w:rsidRPr="00225275">
        <w:rPr>
          <w:szCs w:val="24"/>
        </w:rPr>
        <w:t xml:space="preserve"> (2019). Available at: https://www.nanostring.com/wp-content/uploads/2020/12/WP_MK1190_PanCancer_Immune_Profiling_Advanced_Analysis.pdf.</w:t>
      </w:r>
    </w:p>
    <w:p w14:paraId="532850E2" w14:textId="25D54521" w:rsidR="00113170" w:rsidRPr="00225275" w:rsidRDefault="00113170" w:rsidP="00AC5A7B">
      <w:pPr>
        <w:pStyle w:val="EndNoteBibliography"/>
        <w:ind w:left="720" w:hanging="720"/>
        <w:rPr>
          <w:szCs w:val="24"/>
        </w:rPr>
      </w:pPr>
      <w:r w:rsidRPr="00225275">
        <w:rPr>
          <w:szCs w:val="24"/>
        </w:rPr>
        <w:t>4.</w:t>
      </w:r>
      <w:r w:rsidRPr="00225275">
        <w:rPr>
          <w:szCs w:val="24"/>
        </w:rPr>
        <w:tab/>
        <w:t>Woroniecka K, Chongsathidkiet P, Rhodin K, Kemeny H, Dechant C, Farber SH, et al. T-</w:t>
      </w:r>
      <w:r w:rsidR="00225275">
        <w:rPr>
          <w:szCs w:val="24"/>
        </w:rPr>
        <w:t>C</w:t>
      </w:r>
      <w:r w:rsidRPr="00225275">
        <w:rPr>
          <w:szCs w:val="24"/>
        </w:rPr>
        <w:t xml:space="preserve">ell </w:t>
      </w:r>
      <w:r w:rsidR="00225275">
        <w:rPr>
          <w:szCs w:val="24"/>
        </w:rPr>
        <w:t>E</w:t>
      </w:r>
      <w:r w:rsidRPr="00225275">
        <w:rPr>
          <w:szCs w:val="24"/>
        </w:rPr>
        <w:t xml:space="preserve">xhaustion </w:t>
      </w:r>
      <w:r w:rsidR="00225275">
        <w:rPr>
          <w:szCs w:val="24"/>
        </w:rPr>
        <w:t>S</w:t>
      </w:r>
      <w:r w:rsidRPr="00225275">
        <w:rPr>
          <w:szCs w:val="24"/>
        </w:rPr>
        <w:t xml:space="preserve">ignatures </w:t>
      </w:r>
      <w:r w:rsidR="00225275">
        <w:rPr>
          <w:szCs w:val="24"/>
        </w:rPr>
        <w:t>V</w:t>
      </w:r>
      <w:r w:rsidRPr="00225275">
        <w:rPr>
          <w:szCs w:val="24"/>
        </w:rPr>
        <w:t xml:space="preserve">ary </w:t>
      </w:r>
      <w:r w:rsidR="00225275">
        <w:rPr>
          <w:szCs w:val="24"/>
        </w:rPr>
        <w:t>W</w:t>
      </w:r>
      <w:r w:rsidRPr="00225275">
        <w:rPr>
          <w:szCs w:val="24"/>
        </w:rPr>
        <w:t xml:space="preserve">ith </w:t>
      </w:r>
      <w:r w:rsidR="00225275">
        <w:rPr>
          <w:szCs w:val="24"/>
        </w:rPr>
        <w:t>T</w:t>
      </w:r>
      <w:r w:rsidRPr="00225275">
        <w:rPr>
          <w:szCs w:val="24"/>
        </w:rPr>
        <w:t xml:space="preserve">umor </w:t>
      </w:r>
      <w:r w:rsidR="00225275">
        <w:rPr>
          <w:szCs w:val="24"/>
        </w:rPr>
        <w:t>T</w:t>
      </w:r>
      <w:r w:rsidRPr="00225275">
        <w:rPr>
          <w:szCs w:val="24"/>
        </w:rPr>
        <w:t xml:space="preserve">ype and are </w:t>
      </w:r>
      <w:r w:rsidR="00225275">
        <w:rPr>
          <w:szCs w:val="24"/>
        </w:rPr>
        <w:t>S</w:t>
      </w:r>
      <w:r w:rsidRPr="00225275">
        <w:rPr>
          <w:szCs w:val="24"/>
        </w:rPr>
        <w:t xml:space="preserve">evere in </w:t>
      </w:r>
      <w:r w:rsidR="00225275">
        <w:rPr>
          <w:szCs w:val="24"/>
        </w:rPr>
        <w:t>G</w:t>
      </w:r>
      <w:r w:rsidRPr="00225275">
        <w:rPr>
          <w:szCs w:val="24"/>
        </w:rPr>
        <w:t xml:space="preserve">lioblastoma. </w:t>
      </w:r>
      <w:r w:rsidRPr="00225275">
        <w:rPr>
          <w:i/>
          <w:szCs w:val="24"/>
        </w:rPr>
        <w:t>Clin Cancer Res</w:t>
      </w:r>
      <w:r w:rsidRPr="00225275">
        <w:rPr>
          <w:szCs w:val="24"/>
        </w:rPr>
        <w:t xml:space="preserve"> (2018) 24(17):4175–86. doi: 10.1158/1078-0432.CCR-17-1846</w:t>
      </w:r>
    </w:p>
    <w:p w14:paraId="4CB3DD4B" w14:textId="77777777" w:rsidR="00113170" w:rsidRPr="00B95108" w:rsidRDefault="00113170" w:rsidP="00661F98">
      <w:pPr>
        <w:keepNext/>
        <w:keepLines/>
        <w:spacing w:before="40" w:after="0"/>
        <w:jc w:val="both"/>
        <w:outlineLvl w:val="1"/>
        <w:rPr>
          <w:rFonts w:ascii="Times New Roman" w:hAnsi="Times New Roman" w:cs="Times New Roman"/>
          <w:sz w:val="24"/>
          <w:szCs w:val="24"/>
        </w:rPr>
      </w:pPr>
    </w:p>
    <w:p w14:paraId="2B3D755E" w14:textId="77777777" w:rsidR="00AD008E" w:rsidRDefault="00AD008E"/>
    <w:sectPr w:rsidR="00AD008E" w:rsidSect="006846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D8A3" w14:textId="77777777" w:rsidR="000C4886" w:rsidRDefault="000C4886">
      <w:pPr>
        <w:spacing w:after="0" w:line="240" w:lineRule="auto"/>
      </w:pPr>
      <w:r>
        <w:separator/>
      </w:r>
    </w:p>
  </w:endnote>
  <w:endnote w:type="continuationSeparator" w:id="0">
    <w:p w14:paraId="401019EA" w14:textId="77777777" w:rsidR="000C4886" w:rsidRDefault="000C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2A6D" w14:textId="77777777" w:rsidR="0098224D" w:rsidRDefault="000C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6DDF" w14:textId="77777777" w:rsidR="000C4886" w:rsidRDefault="000C4886">
      <w:pPr>
        <w:spacing w:after="0" w:line="240" w:lineRule="auto"/>
      </w:pPr>
      <w:r>
        <w:separator/>
      </w:r>
    </w:p>
  </w:footnote>
  <w:footnote w:type="continuationSeparator" w:id="0">
    <w:p w14:paraId="25D74858" w14:textId="77777777" w:rsidR="000C4886" w:rsidRDefault="000C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849427"/>
      <w:docPartObj>
        <w:docPartGallery w:val="Page Numbers (Top of Page)"/>
        <w:docPartUnique/>
      </w:docPartObj>
    </w:sdtPr>
    <w:sdtEndPr>
      <w:rPr>
        <w:noProof/>
      </w:rPr>
    </w:sdtEndPr>
    <w:sdtContent>
      <w:p w14:paraId="1E58335C" w14:textId="77777777" w:rsidR="007375DE" w:rsidRDefault="00225275" w:rsidP="006E41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13170"/>
    <w:rsid w:val="000132A5"/>
    <w:rsid w:val="000C4886"/>
    <w:rsid w:val="000D4BCE"/>
    <w:rsid w:val="00113170"/>
    <w:rsid w:val="0015150D"/>
    <w:rsid w:val="00225275"/>
    <w:rsid w:val="00393265"/>
    <w:rsid w:val="0054248B"/>
    <w:rsid w:val="006B3D34"/>
    <w:rsid w:val="007D4A5A"/>
    <w:rsid w:val="00887FC0"/>
    <w:rsid w:val="00975F01"/>
    <w:rsid w:val="00AD008E"/>
    <w:rsid w:val="00BC38C1"/>
    <w:rsid w:val="00C426F1"/>
    <w:rsid w:val="00C86817"/>
    <w:rsid w:val="00DF74F1"/>
    <w:rsid w:val="00E070D1"/>
    <w:rsid w:val="00E80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187E"/>
  <w15:chartTrackingRefBased/>
  <w15:docId w15:val="{D3133CA6-13AC-4271-AF53-15CDFE34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170"/>
    <w:rPr>
      <w:rFonts w:eastAsiaTheme="minorEastAsia"/>
      <w:lang w:val="en-US" w:eastAsia="ja-JP"/>
    </w:rPr>
  </w:style>
  <w:style w:type="paragraph" w:styleId="Heading1">
    <w:name w:val="heading 1"/>
    <w:basedOn w:val="Normal"/>
    <w:next w:val="Normal"/>
    <w:link w:val="Heading1Char"/>
    <w:uiPriority w:val="9"/>
    <w:qFormat/>
    <w:rsid w:val="00113170"/>
    <w:pPr>
      <w:keepNext/>
      <w:keepLines/>
      <w:spacing w:line="360" w:lineRule="auto"/>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uiPriority w:val="9"/>
    <w:unhideWhenUsed/>
    <w:qFormat/>
    <w:rsid w:val="00113170"/>
    <w:pPr>
      <w:keepNext/>
      <w:keepLines/>
      <w:spacing w:line="360" w:lineRule="auto"/>
      <w:outlineLvl w:val="1"/>
    </w:pPr>
    <w:rPr>
      <w:rFonts w:ascii="Arial" w:eastAsiaTheme="majorEastAsia" w:hAnsi="Arial" w:cstheme="majorBidi"/>
      <w:b/>
      <w:color w:val="000000" w:themeColor="text1"/>
      <w:szCs w:val="26"/>
      <w:lang w:eastAsia="en-US"/>
    </w:rPr>
  </w:style>
  <w:style w:type="paragraph" w:styleId="Heading3">
    <w:name w:val="heading 3"/>
    <w:basedOn w:val="Normal"/>
    <w:next w:val="Normal"/>
    <w:link w:val="Heading3Char"/>
    <w:uiPriority w:val="9"/>
    <w:unhideWhenUsed/>
    <w:qFormat/>
    <w:rsid w:val="00113170"/>
    <w:pPr>
      <w:keepNext/>
      <w:keepLines/>
      <w:spacing w:line="360" w:lineRule="auto"/>
      <w:outlineLvl w:val="2"/>
    </w:pPr>
    <w:rPr>
      <w:rFonts w:ascii="Arial" w:eastAsiaTheme="majorEastAsia" w:hAnsi="Arial" w:cstheme="majorBidi"/>
      <w:i/>
      <w:color w:val="000000" w:themeColor="text1"/>
      <w:szCs w:val="24"/>
    </w:rPr>
  </w:style>
  <w:style w:type="paragraph" w:styleId="Heading4">
    <w:name w:val="heading 4"/>
    <w:basedOn w:val="Normal"/>
    <w:next w:val="Normal"/>
    <w:link w:val="Heading4Char1"/>
    <w:autoRedefine/>
    <w:qFormat/>
    <w:rsid w:val="0054248B"/>
    <w:pPr>
      <w:keepNext/>
      <w:spacing w:before="120" w:after="0"/>
      <w:outlineLvl w:val="3"/>
    </w:pPr>
    <w:rPr>
      <w:rFonts w:eastAsia="Calibri"/>
      <w:i/>
      <w:szCs w:val="20"/>
      <w:lang w:val="en-GB"/>
    </w:rPr>
  </w:style>
  <w:style w:type="paragraph" w:styleId="Heading5">
    <w:name w:val="heading 5"/>
    <w:basedOn w:val="Normal"/>
    <w:next w:val="Normal"/>
    <w:link w:val="Heading5Char"/>
    <w:autoRedefine/>
    <w:uiPriority w:val="9"/>
    <w:unhideWhenUsed/>
    <w:qFormat/>
    <w:rsid w:val="0054248B"/>
    <w:pPr>
      <w:keepNext/>
      <w:keepLines/>
      <w:spacing w:before="120" w:after="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170"/>
    <w:rPr>
      <w:rFonts w:ascii="Arial" w:eastAsiaTheme="majorEastAsia" w:hAnsi="Arial" w:cstheme="majorBidi"/>
      <w:i/>
      <w:color w:val="000000" w:themeColor="text1"/>
      <w:szCs w:val="24"/>
      <w:lang w:val="en-US" w:eastAsia="ja-JP"/>
    </w:rPr>
  </w:style>
  <w:style w:type="character" w:customStyle="1" w:styleId="Heading3Char1">
    <w:name w:val="Heading 3 Char1"/>
    <w:basedOn w:val="DefaultParagraphFont"/>
    <w:rsid w:val="0054248B"/>
    <w:rPr>
      <w:rFonts w:eastAsiaTheme="minorHAnsi" w:cs="Arial"/>
      <w:b/>
      <w:bCs/>
    </w:rPr>
  </w:style>
  <w:style w:type="character" w:customStyle="1" w:styleId="Heading4Char">
    <w:name w:val="Heading 4 Char"/>
    <w:basedOn w:val="DefaultParagraphFont"/>
    <w:rsid w:val="00DF74F1"/>
    <w:rPr>
      <w:rFonts w:ascii="Arial" w:hAnsi="Arial"/>
      <w:bCs/>
      <w:i/>
      <w:iCs/>
    </w:rPr>
  </w:style>
  <w:style w:type="character" w:customStyle="1" w:styleId="Heading4Char1">
    <w:name w:val="Heading 4 Char1"/>
    <w:basedOn w:val="DefaultParagraphFont"/>
    <w:link w:val="Heading4"/>
    <w:rsid w:val="0054248B"/>
    <w:rPr>
      <w:i/>
      <w:szCs w:val="20"/>
    </w:rPr>
  </w:style>
  <w:style w:type="paragraph" w:styleId="Caption">
    <w:name w:val="caption"/>
    <w:basedOn w:val="Normal"/>
    <w:next w:val="Normal"/>
    <w:autoRedefine/>
    <w:unhideWhenUsed/>
    <w:qFormat/>
    <w:rsid w:val="0054248B"/>
    <w:pPr>
      <w:keepNext/>
      <w:spacing w:after="200"/>
    </w:pPr>
    <w:rPr>
      <w:b/>
      <w:bCs/>
      <w:color w:val="000000" w:themeColor="text1"/>
      <w:szCs w:val="18"/>
    </w:rPr>
  </w:style>
  <w:style w:type="character" w:customStyle="1" w:styleId="Heading1Char">
    <w:name w:val="Heading 1 Char"/>
    <w:basedOn w:val="DefaultParagraphFont"/>
    <w:link w:val="Heading1"/>
    <w:uiPriority w:val="9"/>
    <w:rsid w:val="00113170"/>
    <w:rPr>
      <w:rFonts w:ascii="Arial" w:eastAsiaTheme="majorEastAsia" w:hAnsi="Arial" w:cstheme="majorBidi"/>
      <w:b/>
      <w:color w:val="000000" w:themeColor="text1"/>
      <w:szCs w:val="32"/>
      <w:lang w:val="en-US" w:eastAsia="ja-JP"/>
    </w:rPr>
  </w:style>
  <w:style w:type="character" w:customStyle="1" w:styleId="Heading1Char1">
    <w:name w:val="Heading 1 Char1"/>
    <w:basedOn w:val="DefaultParagraphFont"/>
    <w:rsid w:val="0054248B"/>
    <w:rPr>
      <w:rFonts w:cstheme="majorBidi"/>
      <w:b/>
      <w:bCs/>
      <w:sz w:val="28"/>
      <w:szCs w:val="28"/>
      <w:lang w:val="en-US"/>
    </w:rPr>
  </w:style>
  <w:style w:type="character" w:customStyle="1" w:styleId="Heading2Char">
    <w:name w:val="Heading 2 Char"/>
    <w:basedOn w:val="DefaultParagraphFont"/>
    <w:link w:val="Heading2"/>
    <w:uiPriority w:val="9"/>
    <w:rsid w:val="00113170"/>
    <w:rPr>
      <w:rFonts w:ascii="Arial" w:eastAsiaTheme="majorEastAsia" w:hAnsi="Arial" w:cstheme="majorBidi"/>
      <w:b/>
      <w:color w:val="000000" w:themeColor="text1"/>
      <w:szCs w:val="26"/>
      <w:lang w:val="en-US"/>
    </w:rPr>
  </w:style>
  <w:style w:type="character" w:customStyle="1" w:styleId="Heading2Char1">
    <w:name w:val="Heading 2 Char1"/>
    <w:basedOn w:val="DefaultParagraphFont"/>
    <w:rsid w:val="0054248B"/>
    <w:rPr>
      <w:rFonts w:cs="Arial"/>
      <w:b/>
      <w:bCs/>
      <w:i/>
      <w:sz w:val="26"/>
      <w:szCs w:val="26"/>
      <w:lang w:val="en-US"/>
    </w:rPr>
  </w:style>
  <w:style w:type="character" w:customStyle="1" w:styleId="Heading5Char">
    <w:name w:val="Heading 5 Char"/>
    <w:basedOn w:val="DefaultParagraphFont"/>
    <w:link w:val="Heading5"/>
    <w:uiPriority w:val="9"/>
    <w:rsid w:val="0054248B"/>
    <w:rPr>
      <w:rFonts w:eastAsiaTheme="majorEastAsia" w:cstheme="majorBidi"/>
      <w:u w:val="single"/>
      <w:lang w:val="en-US"/>
    </w:rPr>
  </w:style>
  <w:style w:type="paragraph" w:styleId="TOC1">
    <w:name w:val="toc 1"/>
    <w:basedOn w:val="Normal"/>
    <w:next w:val="Normal"/>
    <w:autoRedefine/>
    <w:uiPriority w:val="39"/>
    <w:unhideWhenUsed/>
    <w:rsid w:val="00113170"/>
    <w:pPr>
      <w:tabs>
        <w:tab w:val="right" w:leader="dot" w:pos="9350"/>
      </w:tabs>
      <w:spacing w:after="100"/>
    </w:pPr>
    <w:rPr>
      <w:rFonts w:ascii="Arial" w:hAnsi="Arial"/>
      <w:sz w:val="20"/>
    </w:rPr>
  </w:style>
  <w:style w:type="character" w:styleId="Hyperlink">
    <w:name w:val="Hyperlink"/>
    <w:basedOn w:val="DefaultParagraphFont"/>
    <w:uiPriority w:val="99"/>
    <w:unhideWhenUsed/>
    <w:rsid w:val="00113170"/>
    <w:rPr>
      <w:rFonts w:ascii="Arial" w:hAnsi="Arial"/>
      <w:color w:val="000000" w:themeColor="text1"/>
      <w:sz w:val="22"/>
      <w:u w:val="none"/>
    </w:rPr>
  </w:style>
  <w:style w:type="paragraph" w:styleId="TOC2">
    <w:name w:val="toc 2"/>
    <w:basedOn w:val="Normal"/>
    <w:next w:val="Normal"/>
    <w:autoRedefine/>
    <w:uiPriority w:val="39"/>
    <w:unhideWhenUsed/>
    <w:rsid w:val="00113170"/>
    <w:pPr>
      <w:tabs>
        <w:tab w:val="right" w:leader="dot" w:pos="9350"/>
      </w:tabs>
      <w:spacing w:after="100"/>
      <w:ind w:left="220"/>
    </w:pPr>
    <w:rPr>
      <w:rFonts w:ascii="Arial" w:eastAsiaTheme="minorHAnsi" w:hAnsi="Arial" w:cs="Arial"/>
      <w:noProof/>
    </w:rPr>
  </w:style>
  <w:style w:type="paragraph" w:styleId="TOC3">
    <w:name w:val="toc 3"/>
    <w:basedOn w:val="Normal"/>
    <w:next w:val="Normal"/>
    <w:autoRedefine/>
    <w:uiPriority w:val="39"/>
    <w:unhideWhenUsed/>
    <w:rsid w:val="00113170"/>
    <w:pPr>
      <w:spacing w:after="100"/>
      <w:ind w:left="440"/>
    </w:pPr>
  </w:style>
  <w:style w:type="character" w:styleId="CommentReference">
    <w:name w:val="annotation reference"/>
    <w:basedOn w:val="DefaultParagraphFont"/>
    <w:uiPriority w:val="99"/>
    <w:unhideWhenUsed/>
    <w:rsid w:val="00113170"/>
    <w:rPr>
      <w:sz w:val="16"/>
      <w:szCs w:val="16"/>
    </w:rPr>
  </w:style>
  <w:style w:type="paragraph" w:styleId="CommentText">
    <w:name w:val="annotation text"/>
    <w:basedOn w:val="Normal"/>
    <w:link w:val="CommentTextChar"/>
    <w:unhideWhenUsed/>
    <w:rsid w:val="00113170"/>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rsid w:val="00113170"/>
    <w:rPr>
      <w:sz w:val="20"/>
      <w:szCs w:val="20"/>
      <w:lang w:val="en-US"/>
    </w:rPr>
  </w:style>
  <w:style w:type="paragraph" w:styleId="BalloonText">
    <w:name w:val="Balloon Text"/>
    <w:basedOn w:val="Normal"/>
    <w:link w:val="BalloonTextChar"/>
    <w:uiPriority w:val="99"/>
    <w:semiHidden/>
    <w:unhideWhenUsed/>
    <w:rsid w:val="00113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170"/>
    <w:rPr>
      <w:rFonts w:ascii="Segoe UI" w:eastAsiaTheme="minorEastAsia" w:hAnsi="Segoe UI" w:cs="Segoe UI"/>
      <w:sz w:val="18"/>
      <w:szCs w:val="18"/>
      <w:lang w:val="en-US" w:eastAsia="ja-JP"/>
    </w:rPr>
  </w:style>
  <w:style w:type="table" w:customStyle="1" w:styleId="C-Table">
    <w:name w:val="C-Table"/>
    <w:basedOn w:val="TableNormal"/>
    <w:rsid w:val="00113170"/>
    <w:pPr>
      <w:spacing w:after="0" w:line="240" w:lineRule="auto"/>
    </w:pPr>
    <w:rPr>
      <w:rFonts w:ascii="Times New Roman" w:eastAsia="Times New Roman" w:hAnsi="Times New Roman" w:cs="Times New Roman"/>
      <w:sz w:val="20"/>
      <w:szCs w:val="20"/>
      <w:lang w:val="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Header">
    <w:name w:val="header"/>
    <w:basedOn w:val="Normal"/>
    <w:link w:val="HeaderChar"/>
    <w:uiPriority w:val="99"/>
    <w:unhideWhenUsed/>
    <w:rsid w:val="00113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170"/>
    <w:rPr>
      <w:rFonts w:eastAsiaTheme="minorEastAsia"/>
      <w:lang w:val="en-US" w:eastAsia="ja-JP"/>
    </w:rPr>
  </w:style>
  <w:style w:type="paragraph" w:styleId="Footer">
    <w:name w:val="footer"/>
    <w:basedOn w:val="Normal"/>
    <w:link w:val="FooterChar"/>
    <w:uiPriority w:val="99"/>
    <w:unhideWhenUsed/>
    <w:rsid w:val="00113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170"/>
    <w:rPr>
      <w:rFonts w:eastAsiaTheme="minorEastAsia"/>
      <w:lang w:val="en-US" w:eastAsia="ja-JP"/>
    </w:rPr>
  </w:style>
  <w:style w:type="paragraph" w:styleId="CommentSubject">
    <w:name w:val="annotation subject"/>
    <w:basedOn w:val="CommentText"/>
    <w:next w:val="CommentText"/>
    <w:link w:val="CommentSubjectChar"/>
    <w:uiPriority w:val="99"/>
    <w:semiHidden/>
    <w:unhideWhenUsed/>
    <w:rsid w:val="00113170"/>
    <w:rPr>
      <w:rFonts w:eastAsiaTheme="minorEastAsia"/>
      <w:b/>
      <w:bCs/>
      <w:lang w:eastAsia="ja-JP"/>
    </w:rPr>
  </w:style>
  <w:style w:type="character" w:customStyle="1" w:styleId="CommentSubjectChar">
    <w:name w:val="Comment Subject Char"/>
    <w:basedOn w:val="CommentTextChar"/>
    <w:link w:val="CommentSubject"/>
    <w:uiPriority w:val="99"/>
    <w:semiHidden/>
    <w:rsid w:val="00113170"/>
    <w:rPr>
      <w:rFonts w:eastAsiaTheme="minorEastAsia"/>
      <w:b/>
      <w:bCs/>
      <w:sz w:val="20"/>
      <w:szCs w:val="20"/>
      <w:lang w:val="en-US" w:eastAsia="ja-JP"/>
    </w:rPr>
  </w:style>
  <w:style w:type="paragraph" w:styleId="Revision">
    <w:name w:val="Revision"/>
    <w:hidden/>
    <w:uiPriority w:val="99"/>
    <w:semiHidden/>
    <w:rsid w:val="00113170"/>
    <w:pPr>
      <w:spacing w:after="0" w:line="240" w:lineRule="auto"/>
    </w:pPr>
    <w:rPr>
      <w:rFonts w:eastAsiaTheme="minorEastAsia"/>
      <w:lang w:val="en-US" w:eastAsia="ja-JP"/>
    </w:rPr>
  </w:style>
  <w:style w:type="paragraph" w:customStyle="1" w:styleId="EndNoteBibliographyTitle">
    <w:name w:val="EndNote Bibliography Title"/>
    <w:basedOn w:val="Normal"/>
    <w:link w:val="EndNoteBibliographyTitleChar"/>
    <w:rsid w:val="0011317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113170"/>
    <w:rPr>
      <w:rFonts w:ascii="Times New Roman" w:eastAsiaTheme="minorEastAsia" w:hAnsi="Times New Roman" w:cs="Times New Roman"/>
      <w:noProof/>
      <w:sz w:val="24"/>
      <w:lang w:val="en-US" w:eastAsia="ja-JP"/>
    </w:rPr>
  </w:style>
  <w:style w:type="paragraph" w:customStyle="1" w:styleId="EndNoteBibliography">
    <w:name w:val="EndNote Bibliography"/>
    <w:basedOn w:val="Normal"/>
    <w:link w:val="EndNoteBibliographyChar"/>
    <w:rsid w:val="00113170"/>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113170"/>
    <w:rPr>
      <w:rFonts w:ascii="Times New Roman" w:eastAsiaTheme="minorEastAsia" w:hAnsi="Times New Roman" w:cs="Times New Roman"/>
      <w:noProof/>
      <w:sz w:val="24"/>
      <w:lang w:val="en-US" w:eastAsia="ja-JP"/>
    </w:rPr>
  </w:style>
  <w:style w:type="character" w:styleId="UnresolvedMention">
    <w:name w:val="Unresolved Mention"/>
    <w:basedOn w:val="DefaultParagraphFont"/>
    <w:uiPriority w:val="99"/>
    <w:semiHidden/>
    <w:unhideWhenUsed/>
    <w:rsid w:val="00113170"/>
    <w:rPr>
      <w:color w:val="605E5C"/>
      <w:shd w:val="clear" w:color="auto" w:fill="E1DFDD"/>
    </w:rPr>
  </w:style>
  <w:style w:type="paragraph" w:customStyle="1" w:styleId="C-Heading2non-numbered">
    <w:name w:val="C-Heading 2 (non-numbered)"/>
    <w:basedOn w:val="Normal"/>
    <w:next w:val="Normal"/>
    <w:rsid w:val="00113170"/>
    <w:pPr>
      <w:keepNext/>
      <w:tabs>
        <w:tab w:val="left" w:pos="1080"/>
      </w:tabs>
      <w:spacing w:before="240" w:after="0" w:line="240" w:lineRule="auto"/>
      <w:ind w:left="1080" w:hanging="1080"/>
      <w:outlineLvl w:val="1"/>
    </w:pPr>
    <w:rPr>
      <w:rFonts w:ascii="Times New Roman" w:eastAsia="Times New Roman" w:hAnsi="Times New Roman" w:cs="Times New Roman"/>
      <w:b/>
      <w:sz w:val="28"/>
      <w:szCs w:val="20"/>
      <w:lang w:eastAsia="en-US"/>
    </w:rPr>
  </w:style>
  <w:style w:type="paragraph" w:styleId="TOCHeading">
    <w:name w:val="TOC Heading"/>
    <w:basedOn w:val="Heading1"/>
    <w:next w:val="Normal"/>
    <w:uiPriority w:val="39"/>
    <w:unhideWhenUsed/>
    <w:qFormat/>
    <w:rsid w:val="00113170"/>
    <w:pPr>
      <w:outlineLvl w:val="9"/>
    </w:pPr>
    <w:rPr>
      <w:lang w:eastAsia="en-US"/>
    </w:rPr>
  </w:style>
  <w:style w:type="paragraph" w:customStyle="1" w:styleId="C-Footnote">
    <w:name w:val="C-Footnote"/>
    <w:basedOn w:val="Normal"/>
    <w:qFormat/>
    <w:rsid w:val="00113170"/>
    <w:pPr>
      <w:tabs>
        <w:tab w:val="left" w:pos="144"/>
      </w:tabs>
      <w:spacing w:after="0" w:line="240" w:lineRule="auto"/>
    </w:pPr>
    <w:rPr>
      <w:rFonts w:ascii="Times New Roman" w:eastAsia="Times New Roman" w:hAnsi="Times New Roman"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nicaltrials.gov" TargetMode="External"/><Relationship Id="rId11" Type="http://schemas.openxmlformats.org/officeDocument/2006/relationships/image" Target="media/image3.tiff"/><Relationship Id="rId5" Type="http://schemas.openxmlformats.org/officeDocument/2006/relationships/endnotes" Target="endnotes.xml"/><Relationship Id="rId10" Type="http://schemas.openxmlformats.org/officeDocument/2006/relationships/image" Target="media/image2.tiff"/><Relationship Id="rId4" Type="http://schemas.openxmlformats.org/officeDocument/2006/relationships/footnotes" Target="footnote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2312</Words>
  <Characters>13185</Characters>
  <Application>Microsoft Office Word</Application>
  <DocSecurity>0</DocSecurity>
  <Lines>109</Lines>
  <Paragraphs>30</Paragraphs>
  <ScaleCrop>false</ScaleCrop>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Michael</dc:creator>
  <cp:keywords/>
  <dc:description/>
  <cp:lastModifiedBy>Parsons, Michael</cp:lastModifiedBy>
  <cp:revision>3</cp:revision>
  <dcterms:created xsi:type="dcterms:W3CDTF">2022-03-04T20:11:00Z</dcterms:created>
  <dcterms:modified xsi:type="dcterms:W3CDTF">2022-03-04T20:12:00Z</dcterms:modified>
</cp:coreProperties>
</file>