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</w:rPr>
      </w:pPr>
      <w:bookmarkStart w:id="0" w:name="_GoBack"/>
      <w:bookmarkEnd w:id="0"/>
      <w:r>
        <w:rPr>
          <w:rFonts w:hint="eastAsia" w:cs="Times New Roman"/>
          <w:b/>
          <w:bCs/>
          <w:lang w:val="en-US" w:eastAsia="zh-CN"/>
        </w:rPr>
        <w:t xml:space="preserve">Supplemental </w:t>
      </w:r>
      <w:r>
        <w:rPr>
          <w:rFonts w:cs="Times New Roman"/>
          <w:b/>
          <w:bCs/>
        </w:rPr>
        <w:t>Table 1 Characteristics of the included studies</w:t>
      </w:r>
    </w:p>
    <w:tbl>
      <w:tblPr>
        <w:tblStyle w:val="8"/>
        <w:tblW w:w="16404" w:type="dxa"/>
        <w:tblInd w:w="-1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875"/>
        <w:gridCol w:w="850"/>
        <w:gridCol w:w="1138"/>
        <w:gridCol w:w="750"/>
        <w:gridCol w:w="1082"/>
        <w:gridCol w:w="1596"/>
        <w:gridCol w:w="1576"/>
        <w:gridCol w:w="737"/>
        <w:gridCol w:w="863"/>
        <w:gridCol w:w="1000"/>
        <w:gridCol w:w="1099"/>
        <w:gridCol w:w="1200"/>
        <w:gridCol w:w="1188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Author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(year)</w:t>
            </w: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design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Sample size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(n)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Age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Male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(%)</w:t>
            </w: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Hypertension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(%)</w:t>
            </w:r>
          </w:p>
        </w:tc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GCS score on admission </w:t>
            </w:r>
          </w:p>
        </w:tc>
        <w:tc>
          <w:tcPr>
            <w:tcW w:w="15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Hematoma volume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(ml)</w:t>
            </w:r>
          </w:p>
        </w:tc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IVH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(%)</w:t>
            </w: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Imaging for WMH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Time to imaging if MRI </w:t>
            </w:r>
          </w:p>
        </w:tc>
        <w:tc>
          <w:tcPr>
            <w:tcW w:w="1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Assessment of WMH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Definition of outcome</w:t>
            </w: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follow up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poor outcome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Fan Z. Caprio et al.</w:t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(2013)</w:t>
            </w:r>
          </w:p>
        </w:tc>
        <w:tc>
          <w:tcPr>
            <w:tcW w:w="8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Prospective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</w:t>
            </w:r>
          </w:p>
        </w:tc>
        <w:tc>
          <w:tcPr>
            <w:tcW w:w="11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63.9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Fonts w:cs="Times New Roman"/>
                <w:sz w:val="22"/>
                <w:szCs w:val="22"/>
              </w:rPr>
              <w:t>13.5</w:t>
            </w:r>
          </w:p>
        </w:tc>
        <w:tc>
          <w:tcPr>
            <w:tcW w:w="7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10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</w:p>
        </w:tc>
        <w:tc>
          <w:tcPr>
            <w:tcW w:w="15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14 (12–15)</w:t>
            </w:r>
          </w:p>
        </w:tc>
        <w:tc>
          <w:tcPr>
            <w:tcW w:w="15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8.75 (2.8-18.7)</w:t>
            </w:r>
          </w:p>
        </w:tc>
        <w:tc>
          <w:tcPr>
            <w:tcW w:w="7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MRI</w:t>
            </w:r>
          </w:p>
        </w:tc>
        <w:tc>
          <w:tcPr>
            <w:tcW w:w="10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median 1.8(95%</w:t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CI, 0.9-4)</w:t>
            </w:r>
            <w:r>
              <w:rPr>
                <w:rFonts w:hint="eastAsia" w:cs="Times New Roman"/>
                <w:sz w:val="22"/>
                <w:szCs w:val="22"/>
              </w:rPr>
              <w:t xml:space="preserve"> d</w:t>
            </w:r>
            <w:r>
              <w:rPr>
                <w:rFonts w:cs="Times New Roman"/>
                <w:sz w:val="22"/>
                <w:szCs w:val="22"/>
              </w:rPr>
              <w:t>ays</w:t>
            </w:r>
          </w:p>
        </w:tc>
        <w:tc>
          <w:tcPr>
            <w:tcW w:w="10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Fazekas scale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 4-5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28days and 3 months</w:t>
            </w:r>
          </w:p>
        </w:tc>
        <w:tc>
          <w:tcPr>
            <w:tcW w:w="11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left"/>
            </w:pPr>
            <w:r>
              <w:rPr>
                <w:rFonts w:hint="eastAsia"/>
              </w:rPr>
              <w:t>Andrés da Silva-Candal et al.</w:t>
            </w:r>
          </w:p>
          <w:p>
            <w:r>
              <w:rPr>
                <w:rFonts w:hint="eastAsia"/>
              </w:rPr>
              <w:t>(2021)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Retrospective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71.1±11.9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70.60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40.35±36.82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26.45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CT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Fazekas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 ≥3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3months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left"/>
            </w:pPr>
            <w:r>
              <w:rPr>
                <w:rFonts w:hint="eastAsia"/>
              </w:rPr>
              <w:t>Björn M. Hansen et al.</w:t>
            </w:r>
          </w:p>
          <w:p>
            <w:r>
              <w:rPr>
                <w:rFonts w:hint="eastAsia"/>
              </w:rPr>
              <w:t>(2020)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59(51-67)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58.11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10 (7–13)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10.2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(4.4-20.5)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CT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van Swieten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 ≥4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months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9"/>
                <w:szCs w:val="19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left"/>
            </w:pPr>
            <w:r>
              <w:rPr>
                <w:rFonts w:hint="eastAsia"/>
              </w:rPr>
              <w:t>Isabel C. Hostettler et al.</w:t>
            </w:r>
          </w:p>
          <w:p>
            <w:r>
              <w:rPr>
                <w:rFonts w:hint="eastAsia"/>
              </w:rPr>
              <w:t>(2021)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73.6±11.9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58.10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67.10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13.9±1.9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14.9±20.2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29.60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CT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van Swieten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 ≥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6months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left"/>
            </w:pPr>
            <w:r>
              <w:rPr>
                <w:rFonts w:hint="eastAsia"/>
              </w:rPr>
              <w:t>Chelsea S. Kidwell et al.</w:t>
            </w:r>
          </w:p>
          <w:p>
            <w:r>
              <w:rPr>
                <w:rFonts w:hint="eastAsia"/>
              </w:rPr>
              <w:t>(2017)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60.8±13.6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55.50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79.60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13.3±3.0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9.1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(3.5-20.8)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34.40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MRI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(0.8-3.4)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days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modified Fazekas score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 ≥4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3months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left"/>
            </w:pPr>
            <w:r>
              <w:rPr>
                <w:rFonts w:hint="eastAsia"/>
              </w:rPr>
              <w:t>Yoko Kimura et al.</w:t>
            </w:r>
          </w:p>
          <w:p>
            <w:r>
              <w:rPr>
                <w:rFonts w:hint="eastAsia"/>
              </w:rPr>
              <w:t>(2020)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Retrospective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ascii="AdvOTe94fe8f8" w:hAnsi="AdvOTe94fe8f8" w:eastAsia="AdvOTe94fe8f8" w:cs="AdvOTe94fe8f8"/>
                <w:color w:val="000000"/>
                <w:sz w:val="17"/>
                <w:szCs w:val="17"/>
              </w:rPr>
            </w:pPr>
            <w:r>
              <w:rPr>
                <w:rFonts w:eastAsia="AdvOTe94fe8f8" w:cs="Times New Roman"/>
                <w:color w:val="000000"/>
                <w:kern w:val="0"/>
                <w:sz w:val="22"/>
                <w:szCs w:val="22"/>
                <w:lang w:bidi="ar"/>
              </w:rPr>
              <w:t>65.0±12.2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67.40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88.90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18.5±19.1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37.50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MRI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11.8±13.2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days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Fazekas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mRS≥3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eastAsia="宋体"/>
                <w:lang w:bidi="ar"/>
              </w:rPr>
              <w:t>discharge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r>
              <w:rPr>
                <w:rFonts w:hint="eastAsia"/>
              </w:rPr>
              <w:t>S.-H. Lee</w:t>
            </w:r>
          </w:p>
          <w:p>
            <w:pPr>
              <w:jc w:val="left"/>
            </w:pPr>
            <w:r>
              <w:rPr>
                <w:rFonts w:hint="eastAsia"/>
              </w:rPr>
              <w:t>et al. (2010)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1321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60.32±13.08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54.90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59.20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Mild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&gt;12.5)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: 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52.5%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Moderate 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8.5–12.4)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: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27.8%Severe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(&lt;8.4)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: 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19.7%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10.44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(4.20-25.88)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29.90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CT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van Swieten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mortality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30days;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long-term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: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32.62±16.07months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9.3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30days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; 29.8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long-term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left"/>
            </w:pPr>
            <w:r>
              <w:rPr>
                <w:rFonts w:hint="eastAsia"/>
              </w:rPr>
              <w:t>Vasileios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Arsenios Lioutas et al.</w:t>
            </w:r>
          </w:p>
          <w:p>
            <w:r>
              <w:rPr>
                <w:rFonts w:hint="eastAsia"/>
              </w:rPr>
              <w:t>(2018)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Retrospective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72(61-82)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56.76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72.07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(11-15)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20.7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(6.4-34.9)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42.34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MRI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Median of 2 days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Fazekas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mRS≤3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3months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left"/>
            </w:pPr>
            <w:r>
              <w:rPr>
                <w:rFonts w:hint="eastAsia"/>
              </w:rPr>
              <w:t>Andrea Morotti et al.</w:t>
            </w:r>
          </w:p>
          <w:p>
            <w:r>
              <w:rPr>
                <w:rFonts w:hint="eastAsia"/>
              </w:rPr>
              <w:t>(2020)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Retrospective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61.64±12.94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60.50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75.90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Normal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15)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: 61.54%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ild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12-14)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: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Severe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(3-11)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: 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9.7%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19.79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MRI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Fazekas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mRS≥3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3months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Marco Pasi et al.</w:t>
            </w:r>
          </w:p>
          <w:p>
            <w:pPr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Prospective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67.6±14.0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54.90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65.50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MRI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Fazekas scale 0-3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mortality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231F20"/>
                <w:sz w:val="19"/>
                <w:szCs w:val="19"/>
              </w:rPr>
            </w:pPr>
            <w:r>
              <w:rPr>
                <w:rFonts w:eastAsia="宋体" w:cs="Times New Roman"/>
                <w:color w:val="231F20"/>
                <w:kern w:val="0"/>
                <w:sz w:val="22"/>
                <w:szCs w:val="22"/>
                <w:lang w:bidi="ar"/>
              </w:rPr>
              <w:t>10(8-10.5)years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left"/>
            </w:pPr>
            <w:r>
              <w:rPr>
                <w:rFonts w:hint="eastAsia"/>
              </w:rPr>
              <w:t>Mark A Rodrigues et al.</w:t>
            </w:r>
          </w:p>
          <w:p>
            <w:r>
              <w:rPr>
                <w:rFonts w:hint="eastAsia"/>
              </w:rPr>
              <w:t>(2021)</w:t>
            </w:r>
            <w:r>
              <w:fldChar w:fldCharType="begin">
                <w:fldData xml:space="preserve">PEVuZE5vdGU+PENpdGU+PEF1dGhvcj5Sb2RyaWd1ZXM8L0F1dGhvcj48WWVhcj4yMDIxPC9ZZWFy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PEVuZE5vdGU+PENpdGU+PEF1dGhvcj5Sb2RyaWd1ZXM8L0F1dGhvcj48WWVhcj4yMDIxPC9ZZWFy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vertAlign w:val="superscript"/>
              </w:rPr>
              <w:t>21</w:t>
            </w:r>
            <w:r>
              <w:fldChar w:fldCharType="end"/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78(68-84)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65.92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Alive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(44.28%)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14(14-15)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Death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(55.72%)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11(6-14)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20(6-55)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CT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van Swieten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 ≥4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1year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>
            <w:pPr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Shoichiro Sato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cs="Times New Roman"/>
              </w:rPr>
              <w:t xml:space="preserve">et </w:t>
            </w:r>
            <w:r>
              <w:rPr>
                <w:rFonts w:hint="eastAsia"/>
              </w:rPr>
              <w:t>al.</w:t>
            </w:r>
          </w:p>
          <w:p>
            <w:pPr>
              <w:jc w:val="left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(2016)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Retrospective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2069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63.74±13.02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62.64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72.06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Group1(53.46%)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13.8(7.5-24.5)</w:t>
            </w:r>
          </w:p>
          <w:p>
            <w:pPr>
              <w:jc w:val="left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Group2(46.54%)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8.2(3.9-13.7)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28.85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CT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 w:themeColor="text1"/>
                <w:sz w:val="22"/>
                <w:szCs w:val="22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van Swieten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 ≥3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3months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r>
              <w:rPr>
                <w:rFonts w:hint="eastAsia"/>
              </w:rPr>
              <w:t>Marek Sykora et al.</w:t>
            </w:r>
          </w:p>
          <w:p>
            <w:pPr>
              <w:jc w:val="left"/>
            </w:pPr>
            <w:r>
              <w:rPr>
                <w:rFonts w:hint="eastAsia"/>
              </w:rPr>
              <w:t>(2017)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Retrospective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67.3±14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14 (range 6-15, IQR 4)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18.1(31.5)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28.60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CT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van Swieten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 ≥3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3months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r>
              <w:rPr>
                <w:rFonts w:hint="eastAsia"/>
              </w:rPr>
              <w:t>Arnstein Tveiten et al.</w:t>
            </w:r>
          </w:p>
          <w:p>
            <w:pPr>
              <w:jc w:val="left"/>
            </w:pPr>
            <w:r>
              <w:rPr>
                <w:rFonts w:hint="eastAsia"/>
              </w:rPr>
              <w:t>(2013)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75.3±12.0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55.22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53.73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ild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13-15)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: 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61.19%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Moderate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5-12)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: 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21.64%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Severe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(3-4)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: 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16.42%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17.5(5-44)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37.31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CT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van Swieten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mortality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30day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s;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long-term: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4.7(2.5-6.6)years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30 days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);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62.69(long-term)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left"/>
            </w:pPr>
            <w:r>
              <w:rPr>
                <w:rFonts w:hint="eastAsia"/>
              </w:rPr>
              <w:t>Simone M. Uniken Venema et al.</w:t>
            </w:r>
          </w:p>
          <w:p>
            <w:r>
              <w:rPr>
                <w:rFonts w:hint="eastAsia"/>
              </w:rPr>
              <w:t>(2019)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Retrospective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2344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61.33±14.31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59.56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80.50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Group1 (24.87%)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15-15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Group2 (75.13%)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11-15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Group1 (24.87%)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4.32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(1.50-10.1)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Group2 (75.13%)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12.19 (4.95-27.1)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36.99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CT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van Swieten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 3-5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discharge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left"/>
            </w:pPr>
            <w:r>
              <w:rPr>
                <w:rFonts w:hint="eastAsia"/>
              </w:rPr>
              <w:t>Anand R. Warrier et al.</w:t>
            </w:r>
          </w:p>
          <w:p>
            <w:r>
              <w:rPr>
                <w:rFonts w:hint="eastAsia"/>
              </w:rPr>
              <w:t>(2021)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54.08±11.57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NA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31.47±21.18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38.33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MRI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54.53±46.48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hrs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Cs w:val="21"/>
                <w:lang w:bidi="ar"/>
              </w:rPr>
              <w:t>Fazekas's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 ≥4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3months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47.46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left"/>
            </w:pPr>
            <w:r>
              <w:rPr>
                <w:rFonts w:hint="eastAsia"/>
              </w:rPr>
              <w:t>Yu Sam Won et al.</w:t>
            </w:r>
          </w:p>
          <w:p>
            <w:r>
              <w:rPr>
                <w:rFonts w:hint="eastAsia"/>
              </w:rPr>
              <w:t>(2010)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Retrospective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59.85±12.78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60.50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55.46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Group1 (55.88%)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15(12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15)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Group2 (44.12%)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12(8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14)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26.01±28.96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32.35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CT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van Swieten Scale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GOS 1–3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3months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44.10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Mangmang Xu et al.</w:t>
            </w:r>
          </w:p>
          <w:p>
            <w:pPr>
              <w:jc w:val="left"/>
            </w:pPr>
            <w:r>
              <w:rPr>
                <w:rFonts w:hint="eastAsia"/>
              </w:rPr>
              <w:t>(2021)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Prospective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61.40±12.27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72.55</w:t>
            </w: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80.39</w:t>
            </w:r>
          </w:p>
        </w:tc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Group1 (69.93%)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13.7±2.3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Group2 (30.07%)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12.2±3.0</w:t>
            </w:r>
          </w:p>
        </w:tc>
        <w:tc>
          <w:tcPr>
            <w:tcW w:w="15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Group1 (69.93%)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9.4(3.0-19.7)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Group2 (30.07%)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10.0(3.7-24.3)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23.53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MRI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6.4</w:t>
            </w:r>
          </w:p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(3.9-15.8)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szCs w:val="22"/>
                <w:lang w:bidi="ar"/>
              </w:rPr>
              <w:t>days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Fazekas scale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mRS ≥4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HelveticaNeueLTStd-Lt" w:cs="Times New Roman"/>
                <w:color w:val="231F20"/>
                <w:sz w:val="22"/>
                <w:szCs w:val="22"/>
              </w:rPr>
            </w:pPr>
            <w:r>
              <w:rPr>
                <w:rFonts w:eastAsia="HelveticaNeueLTStd-Lt" w:cs="Times New Roman"/>
                <w:color w:val="231F20"/>
                <w:kern w:val="0"/>
                <w:sz w:val="22"/>
                <w:szCs w:val="22"/>
                <w:lang w:bidi="ar"/>
              </w:rPr>
              <w:t>4.9(3.1-6.0)years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  <w:lang w:bidi="ar"/>
              </w:rPr>
              <w:t>30.1</w:t>
            </w:r>
          </w:p>
        </w:tc>
      </w:tr>
    </w:tbl>
    <w:p>
      <w:r>
        <w:rPr>
          <w:rFonts w:hint="eastAsia"/>
          <w:vertAlign w:val="superscript"/>
        </w:rPr>
        <w:t>a</w:t>
      </w:r>
      <w:r>
        <w:rPr>
          <w:rFonts w:hint="eastAsia"/>
        </w:rPr>
        <w:t xml:space="preserve">percentage of IVH or subarachnoid hemorrhage </w:t>
      </w:r>
    </w:p>
    <w:p>
      <w:r>
        <w:rPr>
          <w:rFonts w:hint="eastAsia"/>
        </w:rPr>
        <w:t>GCS:</w:t>
      </w:r>
      <w:r>
        <w:rPr>
          <w:rFonts w:cs="Times New Roman"/>
        </w:rPr>
        <w:t>Glasgow Coma Scale</w:t>
      </w:r>
      <w:r>
        <w:rPr>
          <w:rFonts w:hint="eastAsia"/>
        </w:rPr>
        <w:t>; IVH:</w:t>
      </w:r>
      <w:r>
        <w:rPr>
          <w:rFonts w:cs="Times New Roman"/>
        </w:rPr>
        <w:t>intraventricular hemorrhage</w:t>
      </w:r>
      <w:r>
        <w:rPr>
          <w:rFonts w:hint="eastAsia"/>
        </w:rPr>
        <w:t>; WMH:</w:t>
      </w:r>
      <w:r>
        <w:rPr>
          <w:rFonts w:hint="eastAsia" w:cs="Times New Roman"/>
        </w:rPr>
        <w:t>white matter hyperintensities</w:t>
      </w:r>
      <w:r>
        <w:rPr>
          <w:rFonts w:hint="eastAsia"/>
        </w:rPr>
        <w:t>; MRI:</w:t>
      </w:r>
      <w:r>
        <w:rPr>
          <w:rFonts w:hint="eastAsia" w:cs="Times New Roman"/>
        </w:rPr>
        <w:t>m</w:t>
      </w:r>
      <w:r>
        <w:rPr>
          <w:rFonts w:cs="Times New Roman"/>
        </w:rPr>
        <w:t>agnetic resonance imaging</w:t>
      </w:r>
      <w:r>
        <w:rPr>
          <w:rFonts w:hint="eastAsia"/>
        </w:rPr>
        <w:t>; CT:</w:t>
      </w:r>
      <w:r>
        <w:rPr>
          <w:rFonts w:cs="Times New Roman"/>
        </w:rPr>
        <w:t>computed tomography</w:t>
      </w:r>
      <w:r>
        <w:rPr>
          <w:rFonts w:hint="eastAsia"/>
        </w:rPr>
        <w:t>; mRS:</w:t>
      </w:r>
      <w:r>
        <w:rPr>
          <w:rFonts w:hint="eastAsia" w:cs="Times New Roman"/>
        </w:rPr>
        <w:t>modified Rankin Scale.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OTe94fe8f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NeueLTStd-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D"/>
    <w:rsid w:val="005B673B"/>
    <w:rsid w:val="005D3F2C"/>
    <w:rsid w:val="00792BFA"/>
    <w:rsid w:val="008506DA"/>
    <w:rsid w:val="00B23F70"/>
    <w:rsid w:val="00BF1C7D"/>
    <w:rsid w:val="0FFA39A9"/>
    <w:rsid w:val="2F0A775E"/>
    <w:rsid w:val="510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spacing w:line="400" w:lineRule="exact"/>
      <w:ind w:left="200" w:leftChars="200"/>
    </w:pPr>
    <w:rPr>
      <w:rFonts w:eastAsia="宋体" w:cs="Times New Roman"/>
    </w:rPr>
  </w:style>
  <w:style w:type="paragraph" w:styleId="3">
    <w:name w:val="footer"/>
    <w:basedOn w:val="1"/>
    <w:link w:val="12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spacing w:before="120" w:line="400" w:lineRule="exact"/>
      <w:jc w:val="left"/>
    </w:pPr>
    <w:rPr>
      <w:rFonts w:eastAsia="黑体" w:cs="Times New Roman"/>
    </w:rPr>
  </w:style>
  <w:style w:type="paragraph" w:styleId="6">
    <w:name w:val="toc 2"/>
    <w:basedOn w:val="1"/>
    <w:next w:val="1"/>
    <w:unhideWhenUsed/>
    <w:qFormat/>
    <w:uiPriority w:val="39"/>
    <w:pPr>
      <w:spacing w:line="400" w:lineRule="exact"/>
      <w:ind w:left="100" w:leftChars="100"/>
    </w:pPr>
    <w:rPr>
      <w:rFonts w:eastAsia="宋体" w:cs="Times New Roman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1"/>
    <w:basedOn w:val="7"/>
    <w:qFormat/>
    <w:uiPriority w:val="39"/>
    <w:pPr>
      <w:widowControl w:val="0"/>
      <w:spacing w:before="60" w:after="60"/>
    </w:pPr>
    <w:rPr>
      <w:rFonts w:eastAsia="宋体"/>
      <w:sz w:val="22"/>
    </w:rPr>
    <w:tblPr>
      <w:tblBorders>
        <w:top w:val="single" w:color="auto" w:sz="4" w:space="0"/>
        <w:bottom w:val="single" w:color="auto" w:sz="4" w:space="0"/>
      </w:tblBorders>
    </w:tblPr>
    <w:tblStylePr w:type="firstRow"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2288</Words>
  <Characters>13045</Characters>
  <Lines>108</Lines>
  <Paragraphs>30</Paragraphs>
  <TotalTime>2</TotalTime>
  <ScaleCrop>false</ScaleCrop>
  <LinksUpToDate>false</LinksUpToDate>
  <CharactersWithSpaces>15303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2021-11-20T00:40:00Z</dcterms:created>
  <dc:creator>高 向阳</dc:creator>
  <cp:lastModifiedBy>尤倩</cp:lastModifiedBy>
  <dcterms:modified xsi:type="dcterms:W3CDTF">2021-11-20T08:43:19Z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CA969DA5255441E6B4B861931B091751</vt:lpwstr>
  </property>
</Properties>
</file>