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815" w:rsidRPr="00C12352" w:rsidRDefault="00524815" w:rsidP="00C12352">
      <w:pPr>
        <w:jc w:val="center"/>
        <w:rPr>
          <w:rFonts w:ascii="Times New Roman" w:hAnsi="Times New Roman" w:cs="Times New Roman"/>
          <w:b/>
          <w:sz w:val="28"/>
        </w:rPr>
      </w:pPr>
      <w:r w:rsidRPr="00C12352">
        <w:rPr>
          <w:rFonts w:ascii="Times New Roman" w:hAnsi="Times New Roman" w:cs="Times New Roman"/>
          <w:b/>
          <w:sz w:val="28"/>
        </w:rPr>
        <w:t>Supplementary method</w:t>
      </w:r>
      <w:r w:rsidR="00C12352">
        <w:rPr>
          <w:rFonts w:ascii="Times New Roman" w:hAnsi="Times New Roman" w:cs="Times New Roman" w:hint="eastAsia"/>
          <w:b/>
          <w:sz w:val="28"/>
        </w:rPr>
        <w:t>s</w:t>
      </w:r>
    </w:p>
    <w:p w:rsidR="00524815" w:rsidRPr="00EB487E" w:rsidRDefault="00524815" w:rsidP="00524815">
      <w:pPr>
        <w:pStyle w:val="1"/>
        <w:rPr>
          <w:rFonts w:cs="Times New Roman"/>
          <w:szCs w:val="24"/>
        </w:rPr>
      </w:pPr>
      <w:r w:rsidRPr="00EB487E">
        <w:rPr>
          <w:rFonts w:cs="Times New Roman"/>
          <w:szCs w:val="24"/>
        </w:rPr>
        <w:t>Collection and preprocessing of publicly available pan-cancer expression datasets</w:t>
      </w:r>
    </w:p>
    <w:p w:rsidR="00524815" w:rsidRPr="00EB487E" w:rsidRDefault="00524815" w:rsidP="00524815">
      <w:pPr>
        <w:rPr>
          <w:rFonts w:ascii="Times New Roman" w:hAnsi="Times New Roman" w:cs="Times New Roman"/>
          <w:sz w:val="24"/>
          <w:szCs w:val="24"/>
        </w:rPr>
      </w:pPr>
      <w:r w:rsidRPr="00EB487E">
        <w:rPr>
          <w:rFonts w:ascii="Times New Roman" w:hAnsi="Times New Roman" w:cs="Times New Roman"/>
          <w:sz w:val="24"/>
          <w:szCs w:val="24"/>
        </w:rPr>
        <w:t>The RNA-seq data (RPKM format) and corresponding clinical information for patients with 32 other types of cancer (ACC: adrenocortical carcinoma; BLCA: bladder urothelial carcinoma; BRCA: breast invasive carcinoma; CESC: cervical squamous cell carcinoma; CHOL: cholangiocarcinoma; COAD: colon adenocarcinoma; DLBC: lymphoid neoplasm diffuse large B cell lymphoma; ESCA: esophageal carcinoma; LGG: brain lower grade glioma; HNSC: head and neck squamous cell carcinoma; KICH: kidney chromophobe; KIRC: kidney renal clear cell carcinoma; KIRP: kidney renal papillary cell carcinoma; LAML: acute myeloid leukemia; LIHC: liver hepatocellular carcinoma; LUAD: lung adenocarcinoma; LUSC: lung squamous cell carcinoma; MESO: mesothelioma; OV: ovarian serous cystadenocarcinoma; PAAD: pancreatic adenocarcinoma; PCPG: pheochromocytoma and paraganglioma; PRAD: prostate adenocarcinoma; READ: rectum adenocarcinoma; SARC: sarcoma; SKCM: skin cutaneous melanoma; STAD: stomach adenocarcinoma; TGCT: testicular germ cell tumor; THCA: thyroid carcinoma; THYM: Thymoma; UCEC: uterine corpus endometrial carcinoma; UCS: uterine carcinosarcoma; and UVM: uveal melanoma) were obtained from TCGA. All expression data were then transformed into TPM format.</w:t>
      </w:r>
    </w:p>
    <w:p w:rsidR="00942E1A" w:rsidRPr="00942E1A" w:rsidRDefault="00942E1A" w:rsidP="00942E1A">
      <w:pPr>
        <w:spacing w:before="40" w:after="40"/>
        <w:outlineLvl w:val="0"/>
        <w:rPr>
          <w:rFonts w:ascii="Times New Roman" w:eastAsia="Times New Roman" w:hAnsi="Times New Roman"/>
          <w:b/>
          <w:bCs/>
          <w:kern w:val="44"/>
          <w:sz w:val="24"/>
          <w:szCs w:val="44"/>
        </w:rPr>
      </w:pPr>
      <w:r w:rsidRPr="00942E1A">
        <w:rPr>
          <w:rFonts w:ascii="Times New Roman" w:eastAsia="Times New Roman" w:hAnsi="Times New Roman"/>
          <w:b/>
          <w:bCs/>
          <w:kern w:val="44"/>
          <w:sz w:val="24"/>
          <w:szCs w:val="44"/>
        </w:rPr>
        <w:t>Consensus clustering for 25 TME immune cells</w:t>
      </w:r>
    </w:p>
    <w:p w:rsidR="00942E1A" w:rsidRPr="00942E1A" w:rsidRDefault="00942E1A" w:rsidP="00942E1A">
      <w:pPr>
        <w:rPr>
          <w:rFonts w:ascii="Times New Roman" w:hAnsi="Times New Roman"/>
          <w:sz w:val="24"/>
        </w:rPr>
      </w:pPr>
      <w:bookmarkStart w:id="0" w:name="_Hlk83885561"/>
      <w:r w:rsidRPr="00942E1A">
        <w:rPr>
          <w:rFonts w:ascii="Times New Roman" w:hAnsi="Times New Roman"/>
          <w:sz w:val="24"/>
        </w:rPr>
        <w:t>Unsupervised clustering was used to identify different immune microenvironment patterns</w:t>
      </w:r>
      <w:bookmarkEnd w:id="0"/>
      <w:r w:rsidRPr="00942E1A">
        <w:rPr>
          <w:rFonts w:ascii="Times New Roman" w:hAnsi="Times New Roman"/>
          <w:sz w:val="24"/>
        </w:rPr>
        <w:t xml:space="preserve"> based on the enrichment abundances of 25 infiltrating immune cells and to classify patients into different clusters for further analysis. We applied the “</w:t>
      </w:r>
      <w:proofErr w:type="spellStart"/>
      <w:r w:rsidRPr="00942E1A">
        <w:rPr>
          <w:rFonts w:ascii="Times New Roman" w:hAnsi="Times New Roman"/>
          <w:sz w:val="24"/>
        </w:rPr>
        <w:t>ConsensuClusterPlus</w:t>
      </w:r>
      <w:proofErr w:type="spellEnd"/>
      <w:r w:rsidRPr="00942E1A">
        <w:rPr>
          <w:rFonts w:ascii="Times New Roman" w:hAnsi="Times New Roman"/>
          <w:sz w:val="24"/>
        </w:rPr>
        <w:t>” package</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&lt;EndNote&gt;&lt;Cite&gt;&lt;Author&gt;Wilkerson&lt;/Author&gt;&lt;Year&gt;2010&lt;/Year&gt;&lt;RecNum&gt;111&lt;/RecNum&gt;&lt;DisplayText&gt;[1]&lt;/DisplayText&gt;&lt;record&gt;&lt;rec-number&gt;111&lt;/rec-number&gt;&lt;foreign-keys&gt;&lt;key app="EN" db-id="rp0ax059aap2aiefza75zxv30xfp9zes9xsf" timestamp="1632467688"&gt;111&lt;/key&gt;&lt;/foreign-keys&gt;&lt;ref-type name="Journal Article"&gt;17&lt;/ref-type&gt;&lt;contributors&gt;&lt;authors&gt;&lt;author&gt;Wilkerson, MD&lt;/author&gt;&lt;author&gt;Hayes, DN&lt;/author&gt;&lt;/authors&gt;&lt;/contributors&gt;&lt;titles&gt;&lt;title&gt;ConsensusClusterPlus: a class discovery tool with confidence assessments and item tracking&lt;/title&gt;&lt;secondary-title&gt;Bioinformatics (Oxford, England)&lt;/secondary-title&gt;&lt;/titles&gt;&lt;periodical&gt;&lt;full-title&gt;Bioinformatics (Oxford, England)&lt;/full-title&gt;&lt;/periodical&gt;&lt;pages&gt;1572-3&lt;/pages&gt;&lt;volume&gt;26&lt;/volume&gt;&lt;number&gt;12&lt;/number&gt;&lt;dates&gt;&lt;year&gt;2010&lt;/year&gt;&lt;/dates&gt;&lt;accession-num&gt;20427518&lt;/accession-num&gt;&lt;label&gt;5.61&lt;/label&gt;&lt;urls&gt;&lt;/urls&gt;&lt;electronic-resource-num&gt;10.1093/bioinformatics/btq170&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[1]</w:t>
      </w:r>
      <w:r w:rsidRPr="00942E1A">
        <w:rPr>
          <w:rFonts w:ascii="Times New Roman" w:hAnsi="Times New Roman"/>
          <w:color w:val="C00000"/>
          <w:sz w:val="24"/>
          <w:vertAlign w:val="superscript"/>
        </w:rPr>
        <w:fldChar w:fldCharType="end"/>
      </w:r>
      <w:r w:rsidRPr="00942E1A">
        <w:rPr>
          <w:rFonts w:ascii="Times New Roman" w:hAnsi="Times New Roman"/>
          <w:sz w:val="24"/>
        </w:rPr>
        <w:t xml:space="preserve"> to perform the above steps and repeated the analysis 1000 times to ensure the stability of the classification.</w:t>
      </w:r>
    </w:p>
    <w:p w:rsidR="00942E1A" w:rsidRPr="00942E1A" w:rsidRDefault="00942E1A" w:rsidP="00942E1A">
      <w:pPr>
        <w:spacing w:before="40" w:after="40"/>
        <w:outlineLvl w:val="0"/>
        <w:rPr>
          <w:rFonts w:ascii="Times New Roman" w:eastAsia="Times New Roman" w:hAnsi="Times New Roman"/>
          <w:b/>
          <w:bCs/>
          <w:kern w:val="44"/>
          <w:sz w:val="24"/>
          <w:szCs w:val="44"/>
        </w:rPr>
      </w:pPr>
      <w:r w:rsidRPr="00942E1A">
        <w:rPr>
          <w:rFonts w:ascii="Times New Roman" w:eastAsia="Times New Roman" w:hAnsi="Times New Roman"/>
          <w:b/>
          <w:bCs/>
          <w:kern w:val="44"/>
          <w:sz w:val="24"/>
          <w:szCs w:val="44"/>
        </w:rPr>
        <w:t>Gene set variation analysis (GSVA) and biological function annotation</w:t>
      </w:r>
    </w:p>
    <w:p w:rsidR="00942E1A" w:rsidRPr="00942E1A" w:rsidRDefault="00942E1A" w:rsidP="00942E1A">
      <w:pPr>
        <w:rPr>
          <w:rFonts w:ascii="Times New Roman" w:hAnsi="Times New Roman"/>
          <w:sz w:val="24"/>
        </w:rPr>
      </w:pPr>
      <w:r w:rsidRPr="00942E1A">
        <w:rPr>
          <w:rFonts w:ascii="Times New Roman" w:hAnsi="Times New Roman"/>
          <w:sz w:val="24"/>
        </w:rPr>
        <w:t>To investigate the differences in the biological functions of the different immune microenvironment patterns, we performed functional enrichment analysis of each sample using the "GSVA" R package</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&lt;EndNote&gt;&lt;Cite&gt;&lt;Author&gt;Hänzelmann&lt;/Author&gt;&lt;Year&gt;2013&lt;/Year&gt;&lt;RecNum&gt;112&lt;/RecNum&gt;&lt;DisplayText&gt;[2]&lt;/DisplayText&gt;&lt;record&gt;&lt;rec-number&gt;112&lt;/rec-number&gt;&lt;foreign-keys&gt;&lt;key app="EN" db-id="rp0ax059aap2aiefza75zxv30xfp9zes9xsf" timestamp="1632468916"&gt;112&lt;/key&gt;&lt;/foreign-keys&gt;&lt;ref-type name="Journal Article"&gt;17&lt;/ref-type&gt;&lt;contributors&gt;&lt;authors&gt;&lt;author&gt;Hänzelmann, S&lt;/author&gt;&lt;author&gt;Castelo, R&lt;/author&gt;&lt;author&gt;Guinney, J&lt;/author&gt;&lt;/authors&gt;&lt;/contributors&gt;&lt;titles&gt;&lt;title&gt;GSVA: gene set variation analysis for microarray and RNA-seq data&lt;/title&gt;&lt;secondary-title&gt;BMC bioinformatics&lt;/secondary-title&gt;&lt;/titles&gt;&lt;periodical&gt;&lt;full-title&gt;BMC bioinformatics&lt;/full-title&gt;&lt;/periodical&gt;&lt;pages&gt;7&lt;/pages&gt;&lt;volume&gt;14&lt;/volume&gt;&lt;dates&gt;&lt;year&gt;2013&lt;/year&gt;&lt;/dates&gt;&lt;accession-num&gt;23323831&lt;/accession-num&gt;&lt;label&gt;3.242&lt;/label&gt;&lt;urls&gt;&lt;/urls&gt;&lt;electronic-resource-num&gt;10.1186/1471-2105-14-7&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[2]</w:t>
      </w:r>
      <w:r w:rsidRPr="00942E1A">
        <w:rPr>
          <w:rFonts w:ascii="Times New Roman" w:hAnsi="Times New Roman"/>
          <w:color w:val="C00000"/>
          <w:sz w:val="24"/>
          <w:vertAlign w:val="superscript"/>
        </w:rPr>
        <w:fldChar w:fldCharType="end"/>
      </w:r>
      <w:r w:rsidRPr="00942E1A">
        <w:rPr>
          <w:rFonts w:ascii="Times New Roman" w:hAnsi="Times New Roman"/>
          <w:sz w:val="24"/>
        </w:rPr>
        <w:t>. We performed gene annotation enrichment analysis for the indicated genes using the “</w:t>
      </w:r>
      <w:proofErr w:type="spellStart"/>
      <w:r w:rsidRPr="00942E1A">
        <w:rPr>
          <w:rFonts w:ascii="Times New Roman" w:hAnsi="Times New Roman"/>
          <w:sz w:val="24"/>
        </w:rPr>
        <w:t>clusterProfiler</w:t>
      </w:r>
      <w:proofErr w:type="spellEnd"/>
      <w:r w:rsidRPr="00942E1A">
        <w:rPr>
          <w:rFonts w:ascii="Times New Roman" w:hAnsi="Times New Roman"/>
          <w:sz w:val="24"/>
        </w:rPr>
        <w:t>” R package</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&lt;EndNote&gt;&lt;Cite&gt;&lt;Author&gt;Yu&lt;/Author&gt;&lt;Year&gt;2012&lt;/Year&gt;&lt;RecNum&gt;119&lt;/RecNum&gt;&lt;DisplayText&gt;[3]&lt;/DisplayText&gt;&lt;record&gt;&lt;rec-number&gt;119&lt;/rec-number&gt;&lt;foreign-keys&gt;&lt;key app="EN" db-id="rp0ax059aap2aiefza75zxv30xfp9zes9xsf" timestamp="1632546303"&gt;119&lt;/key&gt;&lt;/foreign-keys&gt;&lt;ref-type name="Journal Article"&gt;17&lt;/ref-type&gt;&lt;contributors&gt;&lt;authors&gt;&lt;author&gt;Yu, G.&lt;/author&gt;&lt;author&gt;Wang, L. G.&lt;/author&gt;&lt;author&gt;Han, Y.&lt;/author&gt;&lt;author&gt;He, Q. Y.&lt;/author&gt;&lt;/authors&gt;&lt;/contributors&gt;&lt;auth-address&gt;Institute of Life and Health Engineering, Key Laboratory of Functional Protein Research of Guangdong Higher Education Institutes, Jinan University, Guangzhou, People&amp;apos;s Republic of China.&lt;/auth-address&gt;&lt;titles&gt;&lt;title&gt;clusterProfiler: an R package for comparing biological themes among gene clusters&lt;/title&gt;&lt;secondary-title&gt;OMICS&lt;/secondary-title&gt;&lt;/titles&gt;&lt;periodical&gt;&lt;full-title&gt;OMICS&lt;/full-title&gt;&lt;/periodical&gt;&lt;pages&gt;284-7&lt;/pages&gt;&lt;volume&gt;16&lt;/volume&gt;&lt;number&gt;5&lt;/number&gt;&lt;keywords&gt;&lt;keyword&gt;Animals&lt;/keyword&gt;&lt;keyword&gt;Gene Expression Profiling/*methods&lt;/keyword&gt;&lt;keyword&gt;Humans&lt;/keyword&gt;&lt;keyword&gt;Mice&lt;/keyword&gt;&lt;keyword&gt;*Multigene Family&lt;/keyword&gt;&lt;keyword&gt;Programming Languages&lt;/keyword&gt;&lt;keyword&gt;Proteomics/*methods&lt;/keyword&gt;&lt;keyword&gt;Software&lt;/keyword&gt;&lt;keyword&gt;*Transcriptome&lt;/keyword&gt;&lt;keyword&gt;Yeasts&lt;/keyword&gt;&lt;/keywords&gt;&lt;dates&gt;&lt;year&gt;2012&lt;/year&gt;&lt;pub-dates&gt;&lt;date&gt;May&lt;/date&gt;&lt;/pub-dates&gt;&lt;/dates&gt;&lt;isbn&gt;1557-8100 (Electronic)&amp;#xD;1536-2310 (Linking)&lt;/isbn&gt;&lt;accession-num&gt;22455463&lt;/accession-num&gt;&lt;urls&gt;&lt;related-urls&gt;&lt;url&gt;https://www.ncbi.nlm.nih.gov/pubmed/22455463&lt;/url&gt;&lt;/related-urls&gt;&lt;/urls&gt;&lt;custom2&gt;PMC3339379&lt;/custom2&gt;&lt;electronic-resource-num&gt;10.1089/omi.2011.0118&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[3]</w:t>
      </w:r>
      <w:r w:rsidRPr="00942E1A">
        <w:rPr>
          <w:rFonts w:ascii="Times New Roman" w:hAnsi="Times New Roman"/>
          <w:color w:val="C00000"/>
          <w:sz w:val="24"/>
          <w:vertAlign w:val="superscript"/>
        </w:rPr>
        <w:fldChar w:fldCharType="end"/>
      </w:r>
      <w:r w:rsidRPr="00942E1A">
        <w:rPr>
          <w:rFonts w:ascii="Times New Roman" w:hAnsi="Times New Roman"/>
          <w:sz w:val="24"/>
        </w:rPr>
        <w:t xml:space="preserve"> or </w:t>
      </w:r>
      <w:proofErr w:type="spellStart"/>
      <w:r w:rsidRPr="00942E1A">
        <w:rPr>
          <w:rFonts w:ascii="Times New Roman" w:hAnsi="Times New Roman"/>
          <w:sz w:val="24"/>
        </w:rPr>
        <w:t>Metascape</w:t>
      </w:r>
      <w:proofErr w:type="spellEnd"/>
      <w:r w:rsidRPr="00942E1A">
        <w:rPr>
          <w:rFonts w:ascii="Times New Roman" w:hAnsi="Times New Roman"/>
          <w:sz w:val="24"/>
        </w:rPr>
        <w:t xml:space="preserve"> database (https://metascape.org/gp/index.html). We also identified differentially activated biological pathways between </w:t>
      </w:r>
      <w:r w:rsidRPr="00942E1A">
        <w:rPr>
          <w:rFonts w:ascii="Times New Roman" w:eastAsia="等线" w:hAnsi="Times New Roman" w:cs="Times New Roman"/>
          <w:sz w:val="24"/>
        </w:rPr>
        <w:t xml:space="preserve">the </w:t>
      </w:r>
      <w:r w:rsidRPr="00942E1A">
        <w:rPr>
          <w:rFonts w:ascii="Times New Roman" w:hAnsi="Times New Roman"/>
          <w:sz w:val="24"/>
        </w:rPr>
        <w:t xml:space="preserve">high and low groups by performing gene set enrichment analysis (GSEA) of the overall expression data of all transcripts or proteins. The KEGG and hallmark gene sets were downloaded from </w:t>
      </w:r>
      <w:proofErr w:type="spellStart"/>
      <w:r w:rsidRPr="00942E1A">
        <w:rPr>
          <w:rFonts w:ascii="Times New Roman" w:hAnsi="Times New Roman"/>
          <w:sz w:val="24"/>
        </w:rPr>
        <w:t>MSigDB</w:t>
      </w:r>
      <w:proofErr w:type="spellEnd"/>
      <w:r w:rsidRPr="00942E1A">
        <w:rPr>
          <w:rFonts w:ascii="Times New Roman" w:hAnsi="Times New Roman"/>
          <w:sz w:val="24"/>
        </w:rPr>
        <w:t xml:space="preserve">, and the other related biological </w:t>
      </w:r>
      <w:r w:rsidRPr="00942E1A">
        <w:rPr>
          <w:rFonts w:ascii="Times New Roman" w:eastAsia="等线" w:hAnsi="Times New Roman" w:cs="Times New Roman"/>
          <w:sz w:val="24"/>
        </w:rPr>
        <w:t>process gene sets</w:t>
      </w:r>
      <w:r w:rsidRPr="00942E1A">
        <w:rPr>
          <w:rFonts w:ascii="Times New Roman" w:hAnsi="Times New Roman"/>
          <w:sz w:val="24"/>
        </w:rPr>
        <w:t xml:space="preserve"> were obtained from a study of </w:t>
      </w:r>
      <w:proofErr w:type="spellStart"/>
      <w:r w:rsidRPr="00942E1A">
        <w:rPr>
          <w:rFonts w:ascii="Times New Roman" w:hAnsi="Times New Roman"/>
          <w:sz w:val="24"/>
        </w:rPr>
        <w:t>Mariathasan</w:t>
      </w:r>
      <w:proofErr w:type="spellEnd"/>
      <w:r w:rsidRPr="00942E1A">
        <w:rPr>
          <w:rFonts w:ascii="Times New Roman" w:hAnsi="Times New Roman"/>
          <w:sz w:val="24"/>
        </w:rPr>
        <w:t xml:space="preserve"> S et al.</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&lt;EndNote&gt;&lt;Cite&gt;&lt;Author&gt;Mariathasan&lt;/Author&gt;&lt;Year&gt;2018&lt;/Year&gt;&lt;RecNum&gt;113&lt;/RecNum&gt;&lt;DisplayText&gt;[4]&lt;/DisplayText&gt;&lt;record&gt;&lt;rec-number&gt;113&lt;/rec-number&gt;&lt;foreign-keys&gt;&lt;key app="EN" db-id="rp0ax059aap2aiefza75zxv30xfp9zes9xsf" timestamp="1632469246"&gt;113&lt;/key&gt;&lt;/foreign-keys&gt;&lt;ref-type name="Journal Article"&gt;17&lt;/ref-type&gt;&lt;contributors&gt;&lt;authors&gt;&lt;author&gt;Mariathasan, S&lt;/author&gt;&lt;author&gt;Turley, SJ&lt;/author&gt;&lt;author&gt;Nickles, D&lt;/author&gt;&lt;author&gt;Castiglioni, A&lt;/author&gt;&lt;author&gt;Yuen, K&lt;/author&gt;&lt;author&gt;Wang, Y&lt;/author&gt;&lt;author&gt;Kadel, EE&lt;/author&gt;&lt;author&gt;Koeppen, H&lt;/author&gt;&lt;author&gt;Astarita, JL&lt;/author&gt;&lt;author&gt;Cubas, R&lt;/author&gt;&lt;author&gt;Jhunjhunwala, S&lt;/author&gt;&lt;author&gt;Banchereau, R&lt;/author&gt;&lt;author&gt;Yang, Y&lt;/author&gt;&lt;author&gt;Guan, Y&lt;/author&gt;&lt;author&gt;Chalouni, C&lt;/author&gt;&lt;author&gt;Ziai, J&lt;/author&gt;&lt;author&gt;Şenbabaoğlu, Y&lt;/author&gt;&lt;author&gt;Santoro, S&lt;/author&gt;&lt;author&gt;Sheinson, D&lt;/author&gt;&lt;author&gt;Hung, J&lt;/author&gt;&lt;author&gt;Giltnane, JM&lt;/author&gt;&lt;author&gt;Pierce, AA&lt;/author&gt;&lt;author&gt;Mesh, K&lt;/author&gt;&lt;author&gt;Lianoglou, S&lt;/author&gt;&lt;author&gt;Riegler, J&lt;/author&gt;&lt;author&gt;Carano, RAD&lt;/author&gt;&lt;author&gt;Eriksson, P&lt;/author&gt;&lt;author&gt;Höglund, M&lt;/author&gt;&lt;author&gt;Somarriba, L&lt;/author&gt;&lt;author&gt;Halligan, DL&lt;/author&gt;&lt;author&gt;van der Heijden, MS&lt;/author&gt;&lt;author&gt;Loriot, Y&lt;/author&gt;&lt;author&gt;Rosenberg, JE&lt;/author&gt;&lt;author&gt;Fong, L&lt;/author&gt;&lt;author&gt;Mellman, I&lt;/author&gt;&lt;author&gt;Chen, DS&lt;/author&gt;&lt;author&gt;Green, M&lt;/author&gt;&lt;author&gt;Derleth, C&lt;/author&gt;&lt;author&gt;Fine, GD&lt;/author&gt;&lt;author&gt;Hegde, PS&lt;/author&gt;&lt;author&gt;Bourgon, R&lt;/author&gt;&lt;author&gt;Powles, T&lt;/author&gt;&lt;/authors&gt;&lt;/contributors&gt;&lt;titles&gt;&lt;title&gt;TGFβ attenuates tumour response to PD-L1 blockade by contributing to exclusion of T cells&lt;/title&gt;&lt;secondary-title&gt;Nature&lt;/secondary-title&gt;&lt;/titles&gt;&lt;periodical&gt;&lt;full-title&gt;Nature&lt;/full-title&gt;&lt;/periodical&gt;&lt;pages&gt;544-548&lt;/pages&gt;&lt;volume&gt;554&lt;/volume&gt;&lt;number&gt;7693&lt;/number&gt;&lt;dates&gt;&lt;year&gt;2018&lt;/year&gt;&lt;/dates&gt;&lt;accession-num&gt;29443960&lt;/accession-num&gt;&lt;label&gt;42.778&lt;/label&gt;&lt;urls&gt;&lt;/urls&gt;&lt;electronic-resource-num&gt;10.1038/nature25501&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[4]</w:t>
      </w:r>
      <w:r w:rsidRPr="00942E1A">
        <w:rPr>
          <w:rFonts w:ascii="Times New Roman" w:hAnsi="Times New Roman"/>
          <w:color w:val="C00000"/>
          <w:sz w:val="24"/>
          <w:vertAlign w:val="superscript"/>
        </w:rPr>
        <w:fldChar w:fldCharType="end"/>
      </w:r>
      <w:r w:rsidRPr="00942E1A">
        <w:rPr>
          <w:rFonts w:ascii="Times New Roman" w:hAnsi="Times New Roman"/>
          <w:sz w:val="24"/>
        </w:rPr>
        <w:t>.</w:t>
      </w:r>
    </w:p>
    <w:p w:rsidR="00942E1A" w:rsidRPr="00942E1A" w:rsidRDefault="00942E1A" w:rsidP="00942E1A">
      <w:pPr>
        <w:spacing w:before="40" w:after="40"/>
        <w:outlineLvl w:val="0"/>
        <w:rPr>
          <w:rFonts w:ascii="Times New Roman" w:eastAsia="Times New Roman" w:hAnsi="Times New Roman"/>
          <w:b/>
          <w:bCs/>
          <w:kern w:val="44"/>
          <w:sz w:val="24"/>
          <w:szCs w:val="44"/>
        </w:rPr>
      </w:pPr>
      <w:r w:rsidRPr="00942E1A">
        <w:rPr>
          <w:rFonts w:ascii="Times New Roman" w:eastAsia="Times New Roman" w:hAnsi="Times New Roman"/>
          <w:b/>
          <w:bCs/>
          <w:kern w:val="44"/>
          <w:sz w:val="24"/>
          <w:szCs w:val="44"/>
        </w:rPr>
        <w:t>Differentially expressed genes (DEGs) associated with GTMEI patterns</w:t>
      </w:r>
    </w:p>
    <w:p w:rsidR="00942E1A" w:rsidRPr="00942E1A" w:rsidRDefault="00942E1A" w:rsidP="00942E1A">
      <w:pPr>
        <w:rPr>
          <w:rFonts w:ascii="Times New Roman" w:hAnsi="Times New Roman"/>
          <w:sz w:val="24"/>
        </w:rPr>
      </w:pPr>
      <w:r w:rsidRPr="00942E1A">
        <w:rPr>
          <w:rFonts w:ascii="Times New Roman" w:hAnsi="Times New Roman"/>
          <w:sz w:val="24"/>
        </w:rPr>
        <w:t>To identify genes associated with different immune microenvironments, we used the empirical Bayesian approach of the “</w:t>
      </w:r>
      <w:proofErr w:type="spellStart"/>
      <w:r w:rsidRPr="00942E1A">
        <w:rPr>
          <w:rFonts w:ascii="Times New Roman" w:hAnsi="Times New Roman"/>
          <w:sz w:val="24"/>
        </w:rPr>
        <w:t>limma</w:t>
      </w:r>
      <w:proofErr w:type="spellEnd"/>
      <w:r w:rsidRPr="00942E1A">
        <w:rPr>
          <w:rFonts w:ascii="Times New Roman" w:hAnsi="Times New Roman"/>
          <w:sz w:val="24"/>
        </w:rPr>
        <w:t>” R package</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&lt;EndNote&gt;&lt;Cite&gt;&lt;Author&gt;Ritchie&lt;/Author&gt;&lt;Year&gt;2015&lt;/Year&gt;&lt;RecNum&gt;114&lt;/RecNum&gt;&lt;DisplayText&gt;[5]&lt;/DisplayText&gt;&lt;record&gt;&lt;rec-number&gt;114&lt;/rec-number&gt;&lt;foreign-keys&gt;&lt;key app="EN" db-id="rp0ax059aap2aiefza75zxv30xfp9zes9xsf" timestamp="1632470294"&gt;114&lt;/key&gt;&lt;/foreign-keys&gt;&lt;ref-type name="Journal Article"&gt;17&lt;/ref-type&gt;&lt;contributors&gt;&lt;authors&gt;&lt;author&gt;Ritchie, ME&lt;/author&gt;&lt;author&gt;Phipson, B&lt;/author&gt;&lt;author&gt;Wu, D&lt;/author&gt;&lt;author&gt;Hu, Y&lt;/author&gt;&lt;author&gt;Law, CW&lt;/author&gt;&lt;author&gt;Shi, W&lt;/author&gt;&lt;author&gt;Smyth, GK&lt;/author&gt;&lt;/authors&gt;&lt;/contributors&gt;&lt;titles&gt;&lt;title&gt;limma powers differential expression analyses for RNA-sequencing and microarray studies&lt;/title&gt;&lt;secondary-title&gt;Nucleic acids research&lt;/secondary-title&gt;&lt;/titles&gt;&lt;periodical&gt;&lt;full-title&gt;Nucleic acids research&lt;/full-title&gt;&lt;/periodical&gt;&lt;pages&gt;e47&lt;/pages&gt;&lt;volume&gt;43&lt;/volume&gt;&lt;number&gt;7&lt;/number&gt;&lt;dates&gt;&lt;year&gt;2015&lt;/year&gt;&lt;/dates&gt;&lt;accession-num&gt;25605792&lt;/accession-num&gt;&lt;label&gt;11.501&lt;/label&gt;&lt;urls&gt;&lt;/urls&gt;&lt;electronic-resource-num&gt;10.1093/nar/gkv007&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[5]</w:t>
      </w:r>
      <w:r w:rsidRPr="00942E1A">
        <w:rPr>
          <w:rFonts w:ascii="Times New Roman" w:hAnsi="Times New Roman"/>
          <w:color w:val="C00000"/>
          <w:sz w:val="24"/>
          <w:vertAlign w:val="superscript"/>
        </w:rPr>
        <w:fldChar w:fldCharType="end"/>
      </w:r>
      <w:r w:rsidRPr="00942E1A">
        <w:rPr>
          <w:rFonts w:ascii="Times New Roman" w:hAnsi="Times New Roman"/>
          <w:sz w:val="24"/>
        </w:rPr>
        <w:t xml:space="preserve"> to determine the DEGs between three different GTMEI patterns. The</w:t>
      </w:r>
      <w:r w:rsidRPr="00942E1A">
        <w:rPr>
          <w:rFonts w:ascii="Times New Roman" w:hAnsi="Times New Roman" w:hint="eastAsia"/>
          <w:sz w:val="24"/>
        </w:rPr>
        <w:t xml:space="preserve"> </w:t>
      </w:r>
      <w:r w:rsidRPr="00942E1A">
        <w:rPr>
          <w:rFonts w:ascii="Times New Roman" w:hAnsi="Times New Roman"/>
          <w:sz w:val="24"/>
        </w:rPr>
        <w:t xml:space="preserve">criteria for determining DEGs </w:t>
      </w:r>
      <w:r w:rsidRPr="00942E1A">
        <w:rPr>
          <w:rFonts w:ascii="Times New Roman" w:eastAsia="等线" w:hAnsi="Times New Roman" w:cs="Times New Roman"/>
          <w:sz w:val="24"/>
        </w:rPr>
        <w:t>were</w:t>
      </w:r>
      <w:r w:rsidRPr="00942E1A">
        <w:rPr>
          <w:rFonts w:ascii="Times New Roman" w:hAnsi="Times New Roman"/>
          <w:sz w:val="24"/>
        </w:rPr>
        <w:t xml:space="preserve"> set as</w:t>
      </w:r>
      <w:r w:rsidRPr="00942E1A">
        <w:rPr>
          <w:rFonts w:ascii="Times New Roman" w:hAnsi="Times New Roman" w:hint="eastAsia"/>
          <w:sz w:val="24"/>
        </w:rPr>
        <w:t xml:space="preserve"> </w:t>
      </w:r>
      <w:r w:rsidRPr="00942E1A">
        <w:rPr>
          <w:rFonts w:ascii="Times New Roman" w:hAnsi="Times New Roman"/>
          <w:sz w:val="24"/>
        </w:rPr>
        <w:t>adjusted P value &lt; 0.0001</w:t>
      </w:r>
      <w:r w:rsidRPr="00942E1A">
        <w:rPr>
          <w:rFonts w:ascii="Times New Roman" w:eastAsia="等线" w:hAnsi="Times New Roman" w:cs="Times New Roman"/>
          <w:sz w:val="24"/>
        </w:rPr>
        <w:t xml:space="preserve"> and</w:t>
      </w:r>
      <w:r w:rsidRPr="00942E1A">
        <w:rPr>
          <w:rFonts w:ascii="Times New Roman" w:hAnsi="Times New Roman"/>
          <w:sz w:val="24"/>
        </w:rPr>
        <w:t xml:space="preserve"> fold change (FC) &gt;2.</w:t>
      </w:r>
    </w:p>
    <w:p w:rsidR="00942E1A" w:rsidRPr="00942E1A" w:rsidRDefault="00942E1A" w:rsidP="00942E1A">
      <w:pPr>
        <w:spacing w:before="40" w:after="40"/>
        <w:outlineLvl w:val="0"/>
        <w:rPr>
          <w:rFonts w:ascii="Times New Roman" w:eastAsia="Times New Roman" w:hAnsi="Times New Roman"/>
          <w:b/>
          <w:bCs/>
          <w:kern w:val="44"/>
          <w:sz w:val="24"/>
          <w:szCs w:val="44"/>
        </w:rPr>
      </w:pPr>
      <w:r w:rsidRPr="00942E1A">
        <w:rPr>
          <w:rFonts w:ascii="Times New Roman" w:eastAsia="Times New Roman" w:hAnsi="Times New Roman"/>
          <w:b/>
          <w:bCs/>
          <w:kern w:val="44"/>
          <w:sz w:val="24"/>
          <w:szCs w:val="44"/>
        </w:rPr>
        <w:t xml:space="preserve">Dimension reduction and generation of the </w:t>
      </w:r>
      <w:proofErr w:type="spellStart"/>
      <w:r w:rsidRPr="00942E1A">
        <w:rPr>
          <w:rFonts w:ascii="Times New Roman" w:eastAsia="Times New Roman" w:hAnsi="Times New Roman"/>
          <w:b/>
          <w:bCs/>
          <w:kern w:val="44"/>
          <w:sz w:val="24"/>
          <w:szCs w:val="44"/>
        </w:rPr>
        <w:t>GTMEIscore</w:t>
      </w:r>
      <w:proofErr w:type="spellEnd"/>
      <w:r w:rsidRPr="00942E1A">
        <w:rPr>
          <w:rFonts w:ascii="Times New Roman" w:eastAsia="Times New Roman" w:hAnsi="Times New Roman"/>
          <w:b/>
          <w:bCs/>
          <w:kern w:val="44"/>
          <w:sz w:val="24"/>
          <w:szCs w:val="44"/>
        </w:rPr>
        <w:t xml:space="preserve"> system</w:t>
      </w:r>
    </w:p>
    <w:p w:rsidR="00942E1A" w:rsidRPr="00942E1A" w:rsidRDefault="00942E1A" w:rsidP="00942E1A">
      <w:pPr>
        <w:rPr>
          <w:rFonts w:ascii="Times New Roman" w:hAnsi="Times New Roman"/>
          <w:sz w:val="24"/>
        </w:rPr>
      </w:pPr>
      <w:r w:rsidRPr="00942E1A">
        <w:rPr>
          <w:rFonts w:ascii="Times New Roman" w:hAnsi="Times New Roman"/>
          <w:sz w:val="24"/>
        </w:rPr>
        <w:t xml:space="preserve">To determine the immune infiltration pattern of individual tumors, we constructed a </w:t>
      </w:r>
      <w:r w:rsidRPr="00942E1A">
        <w:rPr>
          <w:rFonts w:ascii="Times New Roman" w:hAnsi="Times New Roman"/>
          <w:sz w:val="24"/>
        </w:rPr>
        <w:lastRenderedPageBreak/>
        <w:t xml:space="preserve">scoring system to assess the immune microenvironment pattern of individual GBM patients, termed </w:t>
      </w:r>
      <w:proofErr w:type="spellStart"/>
      <w:r w:rsidRPr="00942E1A">
        <w:rPr>
          <w:rFonts w:ascii="Times New Roman" w:hAnsi="Times New Roman"/>
          <w:sz w:val="24"/>
        </w:rPr>
        <w:t>GTMEIscore</w:t>
      </w:r>
      <w:proofErr w:type="spellEnd"/>
      <w:r w:rsidRPr="00942E1A">
        <w:rPr>
          <w:rFonts w:ascii="Times New Roman" w:hAnsi="Times New Roman"/>
          <w:sz w:val="24"/>
        </w:rPr>
        <w:t>. The construction was accomplished as follows. First, DEGs identified in the different GTMEI patterns were normalized in the combined GBM dataset samples to extract overlapping DEGs, and then these genes were subjected to prognostic analysis using univariate Cox regression analysis</w:t>
      </w:r>
      <w:r w:rsidRPr="00942E1A">
        <w:rPr>
          <w:rFonts w:ascii="Times New Roman" w:eastAsia="等线" w:hAnsi="Times New Roman" w:cs="Times New Roman"/>
          <w:sz w:val="24"/>
        </w:rPr>
        <w:t>. Then</w:t>
      </w:r>
      <w:r w:rsidRPr="00942E1A">
        <w:rPr>
          <w:rFonts w:ascii="Times New Roman" w:hAnsi="Times New Roman"/>
          <w:sz w:val="24"/>
        </w:rPr>
        <w:t>, genes with significant prognostic value (P&lt;0.001) were extracted for further analysis to reduce noise and redundant genes</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&lt;EndNote&gt;&lt;Cite&gt;&lt;Author&gt;Speiser&lt;/Author&gt;&lt;Year&gt;2019&lt;/Year&gt;&lt;RecNum&gt;116&lt;/RecNum&gt;&lt;DisplayText&gt;[6]&lt;/DisplayText&gt;&lt;record&gt;&lt;rec-number&gt;116&lt;/rec-number&gt;&lt;foreign-keys&gt;&lt;key app="EN" db-id="rp0ax059aap2aiefza75zxv30xfp9zes9xsf" timestamp="1632474496"&gt;116&lt;/key&gt;&lt;/foreign-keys&gt;&lt;ref-type name="Journal Article"&gt;17&lt;/ref-type&gt;&lt;contributors&gt;&lt;authors&gt;&lt;author&gt;Speiser, JL&lt;/author&gt;&lt;author&gt;Miller, ME&lt;/author&gt;&lt;author&gt;Tooze, J&lt;/author&gt;&lt;author&gt;Ip, E&lt;/author&gt;&lt;/authors&gt;&lt;/contributors&gt;&lt;titles&gt;&lt;title&gt;A Comparison of Random Forest Variable Selection Methods for Classification Prediction Modeling&lt;/title&gt;&lt;secondary-title&gt;Expert systems with applications&lt;/secondary-title&gt;&lt;/titles&gt;&lt;periodical&gt;&lt;full-title&gt;Expert systems with applications&lt;/full-title&gt;&lt;/periodical&gt;&lt;pages&gt;93-101&lt;/pages&gt;&lt;volume&gt;134&lt;/volume&gt;&lt;dates&gt;&lt;year&gt;2019&lt;/year&gt;&lt;/dates&gt;&lt;accession-num&gt;32968335&lt;/accession-num&gt;&lt;label&gt;5.452&lt;/label&gt;&lt;urls&gt;&lt;/urls&gt;&lt;electronic-resource-num&gt;10.1016/j.eswa.2019.05.028&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[6]</w:t>
      </w:r>
      <w:r w:rsidRPr="00942E1A">
        <w:rPr>
          <w:rFonts w:ascii="Times New Roman" w:hAnsi="Times New Roman"/>
          <w:color w:val="C00000"/>
          <w:sz w:val="24"/>
          <w:vertAlign w:val="superscript"/>
        </w:rPr>
        <w:fldChar w:fldCharType="end"/>
      </w:r>
      <w:r w:rsidRPr="00942E1A">
        <w:rPr>
          <w:rFonts w:ascii="Times New Roman" w:hAnsi="Times New Roman"/>
          <w:sz w:val="24"/>
        </w:rPr>
        <w:t>, and consensus clustering analysis of the genes with significant prognostic value was utilized</w:t>
      </w:r>
      <w:r w:rsidRPr="00942E1A">
        <w:rPr>
          <w:rFonts w:ascii="Times New Roman" w:hAnsi="Times New Roman" w:hint="eastAsia"/>
          <w:sz w:val="24"/>
        </w:rPr>
        <w:t xml:space="preserve"> </w:t>
      </w:r>
      <w:r w:rsidRPr="00942E1A">
        <w:rPr>
          <w:rFonts w:ascii="Times New Roman" w:eastAsia="等线" w:hAnsi="Times New Roman" w:cs="Times New Roman"/>
          <w:sz w:val="24"/>
        </w:rPr>
        <w:t>to define</w:t>
      </w:r>
      <w:r w:rsidRPr="00942E1A">
        <w:rPr>
          <w:rFonts w:ascii="Times New Roman" w:hAnsi="Times New Roman"/>
          <w:sz w:val="24"/>
        </w:rPr>
        <w:t xml:space="preserve"> the number of GTMEI gene clusters as well as their</w:t>
      </w:r>
      <w:r w:rsidRPr="00942E1A">
        <w:rPr>
          <w:rFonts w:ascii="Times New Roman" w:hAnsi="Times New Roman" w:hint="eastAsia"/>
          <w:sz w:val="24"/>
        </w:rPr>
        <w:t xml:space="preserve"> </w:t>
      </w:r>
      <w:r w:rsidRPr="00942E1A">
        <w:rPr>
          <w:rFonts w:ascii="Times New Roman" w:hAnsi="Times New Roman"/>
          <w:sz w:val="24"/>
        </w:rPr>
        <w:t>stability. Next, we extracted genes with significant prognostic value and defined them as</w:t>
      </w:r>
      <w:r w:rsidRPr="00942E1A">
        <w:rPr>
          <w:rFonts w:ascii="Times New Roman" w:eastAsia="等线" w:hAnsi="Times New Roman" w:cs="Times New Roman"/>
          <w:sz w:val="24"/>
        </w:rPr>
        <w:t xml:space="preserve"> the</w:t>
      </w:r>
      <w:r w:rsidRPr="00942E1A">
        <w:rPr>
          <w:rFonts w:ascii="Times New Roman" w:hAnsi="Times New Roman"/>
          <w:sz w:val="24"/>
        </w:rPr>
        <w:t xml:space="preserve"> GTMEI gene signature for further analysis. </w:t>
      </w:r>
      <w:r w:rsidRPr="00942E1A">
        <w:rPr>
          <w:rFonts w:ascii="Times New Roman" w:eastAsia="等线" w:hAnsi="Times New Roman" w:cs="Times New Roman"/>
          <w:sz w:val="24"/>
        </w:rPr>
        <w:t>We</w:t>
      </w:r>
      <w:r w:rsidRPr="00942E1A">
        <w:rPr>
          <w:rFonts w:ascii="Times New Roman" w:hAnsi="Times New Roman"/>
          <w:sz w:val="24"/>
        </w:rPr>
        <w:t xml:space="preserve"> performed</w:t>
      </w:r>
      <w:r w:rsidRPr="00942E1A">
        <w:rPr>
          <w:rFonts w:ascii="Times New Roman" w:hAnsi="Times New Roman" w:hint="eastAsia"/>
          <w:sz w:val="24"/>
        </w:rPr>
        <w:t xml:space="preserve"> </w:t>
      </w:r>
      <w:r w:rsidRPr="00942E1A">
        <w:rPr>
          <w:rFonts w:ascii="Times New Roman" w:hAnsi="Times New Roman"/>
          <w:sz w:val="24"/>
        </w:rPr>
        <w:t>principal component analysis (PCA) to construct</w:t>
      </w:r>
      <w:r w:rsidRPr="00942E1A">
        <w:rPr>
          <w:rFonts w:ascii="Times New Roman" w:eastAsia="等线" w:hAnsi="Times New Roman" w:cs="Times New Roman"/>
          <w:sz w:val="24"/>
        </w:rPr>
        <w:t xml:space="preserve"> the</w:t>
      </w:r>
      <w:r w:rsidRPr="00942E1A">
        <w:rPr>
          <w:rFonts w:ascii="Times New Roman" w:hAnsi="Times New Roman"/>
          <w:sz w:val="24"/>
        </w:rPr>
        <w:t xml:space="preserve"> GTMEI-related gene signature. PCA1 and PCA2 were extracted to act as the gene signature score. Finally, we applied a method similar to GGI</w:t>
      </w:r>
      <w:r w:rsidRPr="00942E1A">
        <w:rPr>
          <w:rFonts w:ascii="Times New Roman" w:hAnsi="Times New Roman"/>
          <w:color w:val="C00000"/>
          <w:sz w:val="24"/>
          <w:vertAlign w:val="superscript"/>
        </w:rPr>
        <w:fldChar w:fldCharType="begin"/>
      </w:r>
      <w:r>
        <w:rPr>
          <w:rFonts w:ascii="Times New Roman" w:hAnsi="Times New Roman"/>
          <w:color w:val="C00000"/>
          <w:sz w:val="24"/>
          <w:vertAlign w:val="superscript"/>
        </w:rPr>
        <w:instrText xml:space="preserve"> ADDIN EN.CITE &lt;EndNote&gt;&lt;Cite&gt;&lt;Author&gt;Sotiriou&lt;/Author&gt;&lt;Year&gt;2006&lt;/Year&gt;&lt;RecNum&gt;117&lt;/RecNum&gt;&lt;DisplayText&gt;[7]&lt;/DisplayText&gt;&lt;record&gt;&lt;rec-number&gt;117&lt;/rec-number&gt;&lt;foreign-keys&gt;&lt;key app="EN" db-id="rp0ax059aap2aiefza75zxv30xfp9zes9xsf" timestamp="1632524913"&gt;117&lt;/key&gt;&lt;/foreign-keys&gt;&lt;ref-type name="Journal Article"&gt;17&lt;/ref-type&gt;&lt;contributors&gt;&lt;authors&gt;&lt;author&gt;Sotiriou, C&lt;/author&gt;&lt;author&gt;Wirapati, P&lt;/author&gt;&lt;author&gt;Loi, S&lt;/author&gt;&lt;author&gt;Harris, A&lt;/author&gt;&lt;author&gt;Fox, S&lt;/author&gt;&lt;author&gt;Smeds, J&lt;/author&gt;&lt;author&gt;Nordgren, H&lt;/author&gt;&lt;author&gt;Farmer, P&lt;/author&gt;&lt;author&gt;Praz, V&lt;/author&gt;&lt;author&gt;Haibe-Kains, B&lt;/author&gt;&lt;author&gt;Desmedt, C&lt;/author&gt;&lt;author&gt;Larsimont, D&lt;/author&gt;&lt;author&gt;Cardoso, F&lt;/author&gt;&lt;author&gt;Peterse, H&lt;/author&gt;&lt;author&gt;Nuyten, D&lt;/author&gt;&lt;author&gt;Buyse, M&lt;/author&gt;&lt;author&gt;Van de Vijver, MJ&lt;/author&gt;&lt;author&gt;Bergh, J&lt;/author&gt;&lt;author&gt;Piccart, M&lt;/author&gt;&lt;author&gt;Delorenzi, M&lt;/author&gt;&lt;/authors&gt;&lt;/contributors&gt;&lt;titles&gt;&lt;title&gt;Gene expression profiling in breast cancer: understanding the molecular basis of histologic grade to improve prognosis&lt;/title&gt;&lt;secondary-title&gt;Journal of the National Cancer Institute&lt;/secondary-title&gt;&lt;/titles&gt;&lt;periodical&gt;&lt;full-title&gt;Journal of the National Cancer Institute&lt;/full-title&gt;&lt;/periodical&gt;&lt;pages&gt;262-72&lt;/pages&gt;&lt;volume&gt;98&lt;/volume&gt;&lt;number&gt;4&lt;/number&gt;&lt;dates&gt;&lt;year&gt;2006&lt;/year&gt;&lt;/dates&gt;&lt;accession-num&gt;16478745&lt;/accession-num&gt;&lt;label&gt;11.577&lt;/label&gt;&lt;urls&gt;&lt;/urls&gt;&lt;electronic-resource-num&gt;10.1093/jnci/djj052&lt;/electronic-resource-num&gt;&lt;/record&gt;&lt;/Cite&gt;&lt;/EndNote&gt;</w:instrText>
      </w:r>
      <w:r w:rsidRPr="00942E1A">
        <w:rPr>
          <w:rFonts w:ascii="Times New Roman" w:hAnsi="Times New Roman"/>
          <w:color w:val="C00000"/>
          <w:sz w:val="24"/>
          <w:vertAlign w:val="superscript"/>
        </w:rPr>
        <w:fldChar w:fldCharType="separate"/>
      </w:r>
      <w:r>
        <w:rPr>
          <w:rFonts w:ascii="Times New Roman" w:hAnsi="Times New Roman"/>
          <w:noProof/>
          <w:color w:val="C00000"/>
          <w:sz w:val="24"/>
          <w:vertAlign w:val="superscript"/>
        </w:rPr>
        <w:t>[7]</w:t>
      </w:r>
      <w:r w:rsidRPr="00942E1A">
        <w:rPr>
          <w:rFonts w:ascii="Times New Roman" w:hAnsi="Times New Roman"/>
          <w:color w:val="C00000"/>
          <w:sz w:val="24"/>
          <w:vertAlign w:val="superscript"/>
        </w:rPr>
        <w:fldChar w:fldCharType="end"/>
      </w:r>
      <w:r w:rsidRPr="00942E1A">
        <w:rPr>
          <w:rFonts w:ascii="Times New Roman" w:hAnsi="Times New Roman"/>
          <w:sz w:val="24"/>
        </w:rPr>
        <w:t xml:space="preserve"> to define the </w:t>
      </w:r>
      <w:proofErr w:type="spellStart"/>
      <w:r w:rsidRPr="00942E1A">
        <w:rPr>
          <w:rFonts w:ascii="Times New Roman" w:hAnsi="Times New Roman"/>
          <w:sz w:val="24"/>
        </w:rPr>
        <w:t>GTMEIscore</w:t>
      </w:r>
      <w:proofErr w:type="spellEnd"/>
      <w:r w:rsidRPr="00942E1A">
        <w:rPr>
          <w:rFonts w:ascii="Times New Roman" w:hAnsi="Times New Roman"/>
          <w:sz w:val="24"/>
        </w:rPr>
        <w:t xml:space="preserve"> of each patient: </w:t>
      </w:r>
      <w:proofErr w:type="spellStart"/>
      <w:r w:rsidRPr="00942E1A">
        <w:rPr>
          <w:rFonts w:ascii="Times New Roman" w:hAnsi="Times New Roman"/>
          <w:sz w:val="24"/>
        </w:rPr>
        <w:t>GTMEIscore</w:t>
      </w:r>
      <w:proofErr w:type="spellEnd"/>
      <w:r w:rsidRPr="00942E1A">
        <w:rPr>
          <w:rFonts w:ascii="Times New Roman" w:hAnsi="Times New Roman"/>
          <w:sz w:val="24"/>
        </w:rPr>
        <w:t xml:space="preserve">= Σ(PC1i+PC2i), where </w:t>
      </w:r>
      <w:proofErr w:type="spellStart"/>
      <w:r w:rsidRPr="00942E1A">
        <w:rPr>
          <w:rFonts w:ascii="Times New Roman" w:hAnsi="Times New Roman"/>
          <w:sz w:val="24"/>
        </w:rPr>
        <w:t>i</w:t>
      </w:r>
      <w:proofErr w:type="spellEnd"/>
      <w:r w:rsidRPr="00942E1A">
        <w:rPr>
          <w:rFonts w:ascii="Times New Roman" w:hAnsi="Times New Roman"/>
          <w:sz w:val="24"/>
        </w:rPr>
        <w:t xml:space="preserve"> is the expression of a GTMEI-related</w:t>
      </w:r>
      <w:r w:rsidRPr="00942E1A">
        <w:rPr>
          <w:rFonts w:ascii="Times New Roman" w:hAnsi="Times New Roman" w:hint="eastAsia"/>
          <w:sz w:val="24"/>
        </w:rPr>
        <w:t xml:space="preserve"> </w:t>
      </w:r>
      <w:r w:rsidRPr="00942E1A">
        <w:rPr>
          <w:rFonts w:ascii="Times New Roman" w:hAnsi="Times New Roman"/>
          <w:sz w:val="24"/>
        </w:rPr>
        <w:t>gene.</w:t>
      </w:r>
      <w:bookmarkStart w:id="1" w:name="_GoBack"/>
      <w:bookmarkEnd w:id="1"/>
    </w:p>
    <w:p w:rsidR="00EB487E" w:rsidRPr="00EB487E" w:rsidRDefault="00EB487E" w:rsidP="00EB487E">
      <w:pPr>
        <w:pStyle w:val="1"/>
        <w:rPr>
          <w:rFonts w:eastAsiaTheme="minorEastAsia" w:cs="Times New Roman"/>
          <w:szCs w:val="24"/>
        </w:rPr>
      </w:pPr>
      <w:r w:rsidRPr="00EB487E">
        <w:rPr>
          <w:rFonts w:cs="Times New Roman"/>
          <w:szCs w:val="24"/>
        </w:rPr>
        <w:t>Tumor mutation distribution analysis</w:t>
      </w:r>
    </w:p>
    <w:p w:rsidR="00EB487E" w:rsidRPr="00EB487E" w:rsidRDefault="00EB487E" w:rsidP="00EB487E">
      <w:pPr>
        <w:rPr>
          <w:rFonts w:ascii="Times New Roman" w:hAnsi="Times New Roman" w:cs="Times New Roman"/>
          <w:sz w:val="24"/>
          <w:szCs w:val="24"/>
        </w:rPr>
      </w:pPr>
      <w:bookmarkStart w:id="2" w:name="OLE_LINK23"/>
      <w:r w:rsidRPr="00EB487E">
        <w:rPr>
          <w:rFonts w:ascii="Times New Roman" w:hAnsi="Times New Roman" w:cs="Times New Roman"/>
          <w:sz w:val="24"/>
          <w:szCs w:val="24"/>
        </w:rPr>
        <w:t>The corresponding mutation data of patients in the TCGA-GBM cohort were downloaded from</w:t>
      </w:r>
      <w:r w:rsidRPr="00EB487E">
        <w:rPr>
          <w:rFonts w:ascii="Times New Roman" w:eastAsia="等线" w:hAnsi="Times New Roman" w:cs="Times New Roman"/>
          <w:sz w:val="24"/>
          <w:szCs w:val="24"/>
        </w:rPr>
        <w:t xml:space="preserve"> the</w:t>
      </w:r>
      <w:bookmarkEnd w:id="2"/>
      <w:r w:rsidRPr="00EB487E">
        <w:rPr>
          <w:rFonts w:ascii="Times New Roman" w:hAnsi="Times New Roman" w:cs="Times New Roman"/>
          <w:sz w:val="24"/>
          <w:szCs w:val="24"/>
        </w:rPr>
        <w:t xml:space="preserve"> TCGA data portal (</w:t>
      </w:r>
      <w:hyperlink r:id="rId6" w:history="1">
        <w:r w:rsidRPr="00EB487E">
          <w:rPr>
            <w:rStyle w:val="a3"/>
            <w:rFonts w:ascii="Times New Roman" w:hAnsi="Times New Roman" w:cs="Times New Roman"/>
            <w:sz w:val="24"/>
            <w:szCs w:val="24"/>
          </w:rPr>
          <w:t>https://www.cancer.gov/tcga/</w:t>
        </w:r>
      </w:hyperlink>
      <w:r w:rsidRPr="00EB487E">
        <w:rPr>
          <w:rFonts w:ascii="Times New Roman" w:hAnsi="Times New Roman" w:cs="Times New Roman"/>
          <w:sz w:val="24"/>
          <w:szCs w:val="24"/>
        </w:rPr>
        <w:t>). To determine the tumor mutation burden (TMB) of GBM, we counted the total number of nonsynonymous mutations. The corresponding mutation data of patients in the Wang cohort were obtained from the supplementary data of the study. The waterfall function of the “</w:t>
      </w:r>
      <w:proofErr w:type="spellStart"/>
      <w:r w:rsidRPr="00EB487E">
        <w:rPr>
          <w:rFonts w:ascii="Times New Roman" w:hAnsi="Times New Roman" w:cs="Times New Roman"/>
          <w:sz w:val="24"/>
          <w:szCs w:val="24"/>
        </w:rPr>
        <w:t>maftools</w:t>
      </w:r>
      <w:proofErr w:type="spellEnd"/>
      <w:r w:rsidRPr="00EB487E">
        <w:rPr>
          <w:rFonts w:ascii="Times New Roman" w:hAnsi="Times New Roman" w:cs="Times New Roman"/>
          <w:sz w:val="24"/>
          <w:szCs w:val="24"/>
        </w:rPr>
        <w:t xml:space="preserve">” package was used to show the difference in mutation distribution between patients in the high and low </w:t>
      </w:r>
      <w:proofErr w:type="spellStart"/>
      <w:r w:rsidRPr="00EB487E">
        <w:rPr>
          <w:rFonts w:ascii="Times New Roman" w:hAnsi="Times New Roman" w:cs="Times New Roman"/>
          <w:sz w:val="24"/>
          <w:szCs w:val="24"/>
        </w:rPr>
        <w:t>GTMEIscore</w:t>
      </w:r>
      <w:proofErr w:type="spellEnd"/>
      <w:r w:rsidRPr="00EB487E">
        <w:rPr>
          <w:rFonts w:ascii="Times New Roman" w:hAnsi="Times New Roman" w:cs="Times New Roman"/>
          <w:sz w:val="24"/>
          <w:szCs w:val="24"/>
        </w:rPr>
        <w:t xml:space="preserve"> groups.</w:t>
      </w:r>
    </w:p>
    <w:p w:rsidR="00AC19E2" w:rsidRDefault="00AC19E2" w:rsidP="00C12352">
      <w:pPr>
        <w:pStyle w:val="1"/>
        <w:rPr>
          <w:rFonts w:eastAsiaTheme="minorEastAsia" w:cs="Times New Roman"/>
        </w:rPr>
      </w:pPr>
      <w:r w:rsidRPr="00AC19E2">
        <w:rPr>
          <w:rFonts w:eastAsiaTheme="minorEastAsia" w:cs="Times New Roman"/>
        </w:rPr>
        <w:t xml:space="preserve">Estimation of </w:t>
      </w:r>
      <w:r>
        <w:rPr>
          <w:rFonts w:eastAsiaTheme="minorEastAsia" w:cs="Times New Roman"/>
        </w:rPr>
        <w:t xml:space="preserve">stromal cells </w:t>
      </w:r>
      <w:proofErr w:type="spellStart"/>
      <w:r>
        <w:rPr>
          <w:rFonts w:eastAsiaTheme="minorEastAsia" w:cs="Times New Roman"/>
        </w:rPr>
        <w:t>aboundence</w:t>
      </w:r>
      <w:proofErr w:type="spellEnd"/>
    </w:p>
    <w:p w:rsidR="00AC19E2" w:rsidRPr="00AC19E2" w:rsidRDefault="00AC19E2" w:rsidP="00AC19E2">
      <w:pPr>
        <w:rPr>
          <w:rFonts w:ascii="Times New Roman" w:hAnsi="Times New Roman" w:hint="eastAsia"/>
          <w:sz w:val="24"/>
        </w:rPr>
      </w:pPr>
      <w:r w:rsidRPr="00AC19E2">
        <w:rPr>
          <w:rFonts w:ascii="Times New Roman" w:hAnsi="Times New Roman"/>
          <w:sz w:val="24"/>
        </w:rPr>
        <w:t xml:space="preserve">The proportion of stromal cells was estimated using the Microenvironment Cell Populations-counter (MCP-counter) method, which robustly quantifies the absolute abundance </w:t>
      </w:r>
      <w:r w:rsidRPr="00AC19E2">
        <w:rPr>
          <w:rFonts w:ascii="Times New Roman" w:eastAsia="等线" w:hAnsi="Times New Roman" w:cs="Times New Roman"/>
          <w:sz w:val="24"/>
        </w:rPr>
        <w:t xml:space="preserve">of </w:t>
      </w:r>
      <w:r w:rsidRPr="00AC19E2">
        <w:rPr>
          <w:rFonts w:ascii="Times New Roman" w:hAnsi="Times New Roman"/>
          <w:sz w:val="24"/>
        </w:rPr>
        <w:t>2 stromal cell populations (</w:t>
      </w:r>
      <w:r w:rsidRPr="00AC19E2">
        <w:rPr>
          <w:rFonts w:ascii="Times New Roman" w:eastAsia="等线" w:hAnsi="Times New Roman" w:cs="Times New Roman"/>
          <w:sz w:val="24"/>
        </w:rPr>
        <w:t>fibroblasts and endothelial</w:t>
      </w:r>
      <w:r w:rsidRPr="00AC19E2">
        <w:rPr>
          <w:rFonts w:ascii="Times New Roman" w:hAnsi="Times New Roman"/>
          <w:sz w:val="24"/>
        </w:rPr>
        <w:t xml:space="preserve"> cells) in heterogeneous tissues from transcriptomic data</w:t>
      </w:r>
      <w:r w:rsidRPr="00AC19E2">
        <w:rPr>
          <w:rFonts w:ascii="Times New Roman" w:hAnsi="Times New Roman" w:hint="eastAsia"/>
          <w:sz w:val="24"/>
        </w:rPr>
        <w:t>.</w:t>
      </w:r>
    </w:p>
    <w:p w:rsidR="00C12352" w:rsidRPr="00C12352" w:rsidRDefault="00C12352" w:rsidP="00C12352">
      <w:pPr>
        <w:pStyle w:val="1"/>
        <w:rPr>
          <w:rFonts w:eastAsiaTheme="minorEastAsia" w:cs="Times New Roman"/>
        </w:rPr>
      </w:pPr>
      <w:r w:rsidRPr="00C12352">
        <w:rPr>
          <w:rFonts w:eastAsiaTheme="minorEastAsia" w:cs="Times New Roman"/>
        </w:rPr>
        <w:t>Calculation of the MES score</w:t>
      </w:r>
    </w:p>
    <w:p w:rsidR="00C12352" w:rsidRDefault="00C12352" w:rsidP="00C12352">
      <w:pPr>
        <w:rPr>
          <w:rFonts w:ascii="Times New Roman" w:hAnsi="Times New Roman" w:cs="Times New Roman"/>
          <w:sz w:val="24"/>
          <w:szCs w:val="24"/>
        </w:rPr>
      </w:pPr>
      <w:r w:rsidRPr="00680E5E">
        <w:rPr>
          <w:rFonts w:ascii="Times New Roman" w:hAnsi="Times New Roman" w:cs="Times New Roman"/>
          <w:sz w:val="24"/>
          <w:szCs w:val="24"/>
        </w:rPr>
        <w:t>Wang L et.</w:t>
      </w:r>
      <w:r w:rsidRPr="00680E5E">
        <w:rPr>
          <w:rFonts w:ascii="Times New Roman" w:hAnsi="Times New Roman" w:cs="Times New Roman"/>
          <w:color w:val="C00000"/>
          <w:sz w:val="24"/>
          <w:szCs w:val="24"/>
          <w:vertAlign w:val="superscript"/>
        </w:rPr>
        <w:fldChar w:fldCharType="begin"/>
      </w:r>
      <w:r w:rsidR="00942E1A">
        <w:rPr>
          <w:rFonts w:ascii="Times New Roman" w:hAnsi="Times New Roman" w:cs="Times New Roman"/>
          <w:color w:val="C00000"/>
          <w:sz w:val="24"/>
          <w:szCs w:val="24"/>
          <w:vertAlign w:val="superscript"/>
        </w:rPr>
        <w:instrText xml:space="preserve"> ADDIN EN.CITE &lt;EndNote&gt;&lt;Cite&gt;&lt;Author&gt;Wang&lt;/Author&gt;&lt;Year&gt;2017&lt;/Year&gt;&lt;RecNum&gt;31&lt;/RecNum&gt;&lt;DisplayText&gt;[8]&lt;/DisplayText&gt;&lt;record&gt;&lt;rec-number&gt;31&lt;/rec-number&gt;&lt;foreign-keys&gt;&lt;key app="EN" db-id="rp0ax059aap2aiefza75zxv30xfp9zes9xsf" timestamp="1631483101"&gt;31&lt;/key&gt;&lt;/foreign-keys&gt;&lt;ref-type name="Journal Article"&gt;17&lt;/ref-type&gt;&lt;contributors&gt;&lt;authors&gt;&lt;author&gt;Wang, Q&lt;/author&gt;&lt;author&gt;Hu, B&lt;/author&gt;&lt;author&gt;Hu, X&lt;/author&gt;&lt;author&gt;Kim, H&lt;/author&gt;&lt;author&gt;Squatrito, M&lt;/author&gt;&lt;author&gt;Scarpace, L&lt;/author&gt;&lt;author&gt;deCarvalho, AC&lt;/author&gt;&lt;author&gt;Lyu, S&lt;/author&gt;&lt;author&gt;Li, P&lt;/author&gt;&lt;author&gt;Li, Y&lt;/author&gt;&lt;author&gt;Barthel, F&lt;/author&gt;&lt;author&gt;Cho, HJ&lt;/author&gt;&lt;author&gt;Lin, YH&lt;/author&gt;&lt;author&gt;Satani, N&lt;/author&gt;&lt;author&gt;Martinez-Ledesma, E&lt;/author&gt;&lt;author&gt;Zheng, S&lt;/author&gt;&lt;author&gt;Chang, E&lt;/author&gt;&lt;author&gt;Sauvé, CG&lt;/author&gt;&lt;author&gt;Olar, A&lt;/author&gt;&lt;author&gt;Lan, ZD&lt;/author&gt;&lt;author&gt;Finocchiaro, G&lt;/author&gt;&lt;author&gt;Phillips, JJ&lt;/author&gt;&lt;author&gt;Berger, MS&lt;/author&gt;&lt;author&gt;Gabrusiewicz, KR&lt;/author&gt;&lt;author&gt;Wang, G&lt;/author&gt;&lt;author&gt;Eskilsson, E&lt;/author&gt;&lt;author&gt;Hu, J&lt;/author&gt;&lt;author&gt;Mikkelsen, T&lt;/author&gt;&lt;author&gt;DePinho, RA&lt;/author&gt;&lt;author&gt;Muller, F&lt;/author&gt;&lt;author&gt;Heimberger, AB&lt;/author&gt;&lt;author&gt;Sulman, EP&lt;/author&gt;&lt;author&gt;Nam, DH&lt;/author&gt;&lt;author&gt;Verhaak, RGW&lt;/author&gt;&lt;/authors&gt;&lt;/contributors&gt;&lt;titles&gt;&lt;title&gt;Tumor Evolution of Glioma-Intrinsic Gene Expression Subtypes Associates with Immunological Changes in the Microenvironment&lt;/title&gt;&lt;secondary-title&gt;Cancer cell&lt;/secondary-title&gt;&lt;/titles&gt;&lt;periodical&gt;&lt;full-title&gt;Cancer cell&lt;/full-title&gt;&lt;/periodical&gt;&lt;pages&gt;42-56.e6&lt;/pages&gt;&lt;volume&gt;32&lt;/volume&gt;&lt;number&gt;1&lt;/number&gt;&lt;dates&gt;&lt;year&gt;2017&lt;/year&gt;&lt;/dates&gt;&lt;accession-num&gt;28697342&lt;/accession-num&gt;&lt;label&gt;26.602&lt;/label&gt;&lt;urls&gt;&lt;/urls&gt;&lt;electronic-resource-num&gt;10.1016/j.ccell.2017.06.003&lt;/electronic-resource-num&gt;&lt;/record&gt;&lt;/Cite&gt;&lt;/EndNote&gt;</w:instrText>
      </w:r>
      <w:r w:rsidRPr="00680E5E">
        <w:rPr>
          <w:rFonts w:ascii="Times New Roman" w:hAnsi="Times New Roman" w:cs="Times New Roman"/>
          <w:color w:val="C00000"/>
          <w:sz w:val="24"/>
          <w:szCs w:val="24"/>
          <w:vertAlign w:val="superscript"/>
        </w:rPr>
        <w:fldChar w:fldCharType="separate"/>
      </w:r>
      <w:r w:rsidR="00942E1A">
        <w:rPr>
          <w:rFonts w:ascii="Times New Roman" w:hAnsi="Times New Roman" w:cs="Times New Roman"/>
          <w:noProof/>
          <w:color w:val="C00000"/>
          <w:sz w:val="24"/>
          <w:szCs w:val="24"/>
          <w:vertAlign w:val="superscript"/>
        </w:rPr>
        <w:t>[8]</w:t>
      </w:r>
      <w:r w:rsidRPr="00680E5E">
        <w:rPr>
          <w:rFonts w:ascii="Times New Roman" w:hAnsi="Times New Roman" w:cs="Times New Roman"/>
          <w:color w:val="C00000"/>
          <w:sz w:val="24"/>
          <w:szCs w:val="24"/>
          <w:vertAlign w:val="superscript"/>
        </w:rPr>
        <w:fldChar w:fldCharType="end"/>
      </w:r>
      <w:r w:rsidRPr="00680E5E">
        <w:rPr>
          <w:rFonts w:ascii="Times New Roman" w:hAnsi="Times New Roman" w:cs="Times New Roman"/>
          <w:sz w:val="24"/>
          <w:szCs w:val="24"/>
        </w:rPr>
        <w:t xml:space="preserve"> used TCGA RNA-seq data to categorize GBM into three subtypes: PN, MES, and CL</w:t>
      </w:r>
      <w:r w:rsidRPr="00680E5E">
        <w:rPr>
          <w:rFonts w:ascii="Times New Roman" w:eastAsia="等线" w:hAnsi="Times New Roman" w:cs="Times New Roman"/>
          <w:sz w:val="24"/>
          <w:szCs w:val="24"/>
        </w:rPr>
        <w:t>.</w:t>
      </w:r>
      <w:r w:rsidRPr="00680E5E">
        <w:rPr>
          <w:rFonts w:ascii="Times New Roman" w:hAnsi="Times New Roman" w:cs="Times New Roman"/>
          <w:sz w:val="24"/>
          <w:szCs w:val="24"/>
        </w:rPr>
        <w:t xml:space="preserve"> We obtained the gene set for the MES </w:t>
      </w:r>
      <w:r w:rsidRPr="00680E5E">
        <w:rPr>
          <w:rFonts w:ascii="Times New Roman" w:eastAsia="等线" w:hAnsi="Times New Roman" w:cs="Times New Roman"/>
          <w:sz w:val="24"/>
          <w:szCs w:val="24"/>
        </w:rPr>
        <w:t>signature</w:t>
      </w:r>
      <w:r w:rsidRPr="00680E5E">
        <w:rPr>
          <w:rFonts w:ascii="Times New Roman" w:hAnsi="Times New Roman" w:cs="Times New Roman"/>
          <w:sz w:val="24"/>
          <w:szCs w:val="24"/>
        </w:rPr>
        <w:t xml:space="preserve"> from the article supplementary data and quantified the MES score for each GBM sample using the </w:t>
      </w:r>
      <w:proofErr w:type="spellStart"/>
      <w:r w:rsidRPr="00680E5E">
        <w:rPr>
          <w:rFonts w:ascii="Times New Roman" w:hAnsi="Times New Roman" w:cs="Times New Roman"/>
          <w:sz w:val="24"/>
          <w:szCs w:val="24"/>
        </w:rPr>
        <w:t>ssGSEA</w:t>
      </w:r>
      <w:proofErr w:type="spellEnd"/>
      <w:r w:rsidRPr="00680E5E">
        <w:rPr>
          <w:rFonts w:ascii="Times New Roman" w:hAnsi="Times New Roman" w:cs="Times New Roman"/>
          <w:sz w:val="24"/>
          <w:szCs w:val="24"/>
        </w:rPr>
        <w:t xml:space="preserve"> algorithm.</w:t>
      </w:r>
    </w:p>
    <w:p w:rsidR="005376C3" w:rsidRDefault="005376C3" w:rsidP="005376C3">
      <w:pPr>
        <w:pStyle w:val="1"/>
        <w:rPr>
          <w:rFonts w:cs="Times New Roman"/>
        </w:rPr>
      </w:pPr>
      <w:r w:rsidRPr="005376C3">
        <w:rPr>
          <w:rFonts w:cs="Times New Roman"/>
        </w:rPr>
        <w:t>Integrated transcriptome and proteome analysis</w:t>
      </w:r>
    </w:p>
    <w:p w:rsidR="0075319C" w:rsidRPr="0075319C" w:rsidRDefault="0075319C" w:rsidP="0075319C">
      <w:pPr>
        <w:rPr>
          <w:rFonts w:ascii="Times New Roman" w:hAnsi="Times New Roman" w:cs="Times New Roman"/>
          <w:sz w:val="24"/>
        </w:rPr>
      </w:pPr>
      <w:r>
        <w:rPr>
          <w:rFonts w:ascii="Times New Roman" w:hAnsi="Times New Roman" w:cs="Times New Roman" w:hint="eastAsia"/>
          <w:sz w:val="24"/>
        </w:rPr>
        <w:t>T</w:t>
      </w:r>
      <w:r w:rsidRPr="0075319C">
        <w:rPr>
          <w:rFonts w:ascii="Times New Roman" w:hAnsi="Times New Roman" w:cs="Times New Roman"/>
          <w:sz w:val="24"/>
        </w:rPr>
        <w:t>he</w:t>
      </w:r>
      <w:r w:rsidR="004026A0">
        <w:rPr>
          <w:rFonts w:ascii="Times New Roman" w:hAnsi="Times New Roman" w:cs="Times New Roman"/>
          <w:sz w:val="24"/>
        </w:rPr>
        <w:t xml:space="preserve"> </w:t>
      </w:r>
      <w:r w:rsidRPr="0075319C">
        <w:rPr>
          <w:rFonts w:ascii="Times New Roman" w:hAnsi="Times New Roman" w:cs="Times New Roman"/>
          <w:sz w:val="24"/>
        </w:rPr>
        <w:t xml:space="preserve">proteomic, </w:t>
      </w:r>
      <w:proofErr w:type="spellStart"/>
      <w:r w:rsidRPr="0075319C">
        <w:rPr>
          <w:rFonts w:ascii="Times New Roman" w:hAnsi="Times New Roman" w:cs="Times New Roman"/>
          <w:sz w:val="24"/>
        </w:rPr>
        <w:t>phosphoproteomic</w:t>
      </w:r>
      <w:proofErr w:type="spellEnd"/>
      <w:r w:rsidRPr="0075319C">
        <w:rPr>
          <w:rFonts w:ascii="Times New Roman" w:hAnsi="Times New Roman" w:cs="Times New Roman"/>
          <w:sz w:val="24"/>
        </w:rPr>
        <w:t xml:space="preserve">, </w:t>
      </w:r>
      <w:proofErr w:type="spellStart"/>
      <w:r w:rsidRPr="0075319C">
        <w:rPr>
          <w:rFonts w:ascii="Times New Roman" w:hAnsi="Times New Roman" w:cs="Times New Roman"/>
          <w:sz w:val="24"/>
        </w:rPr>
        <w:t>acetylomic</w:t>
      </w:r>
      <w:proofErr w:type="spellEnd"/>
      <w:r w:rsidRPr="0075319C">
        <w:rPr>
          <w:rFonts w:ascii="Times New Roman" w:hAnsi="Times New Roman" w:cs="Times New Roman"/>
          <w:sz w:val="24"/>
        </w:rPr>
        <w:t>, lipidomic and metabolomic data in the Wang dataset were acquired from the supplemental data of the paper.</w:t>
      </w:r>
    </w:p>
    <w:p w:rsidR="005376C3" w:rsidRPr="005376C3" w:rsidRDefault="005376C3" w:rsidP="002E025A">
      <w:pPr>
        <w:ind w:firstLineChars="100" w:firstLine="240"/>
        <w:rPr>
          <w:rFonts w:ascii="Times New Roman" w:hAnsi="Times New Roman" w:cs="Times New Roman"/>
          <w:sz w:val="24"/>
        </w:rPr>
      </w:pPr>
      <w:r w:rsidRPr="005376C3">
        <w:rPr>
          <w:rFonts w:ascii="Times New Roman" w:hAnsi="Times New Roman" w:cs="Times New Roman"/>
          <w:sz w:val="24"/>
        </w:rPr>
        <w:t xml:space="preserve">Transcriptome and proteomic data in </w:t>
      </w:r>
      <w:r w:rsidRPr="005376C3">
        <w:rPr>
          <w:rFonts w:ascii="Times New Roman" w:eastAsia="等线" w:hAnsi="Times New Roman" w:cs="Times New Roman"/>
          <w:sz w:val="24"/>
        </w:rPr>
        <w:t xml:space="preserve">the </w:t>
      </w:r>
      <w:r w:rsidRPr="005376C3">
        <w:rPr>
          <w:rFonts w:ascii="Times New Roman" w:hAnsi="Times New Roman" w:cs="Times New Roman"/>
          <w:sz w:val="24"/>
        </w:rPr>
        <w:t>Wang dataset</w:t>
      </w:r>
      <w:r w:rsidRPr="005376C3">
        <w:rPr>
          <w:rFonts w:ascii="Times New Roman" w:eastAsia="等线" w:hAnsi="Times New Roman" w:cs="Times New Roman"/>
          <w:sz w:val="24"/>
        </w:rPr>
        <w:t xml:space="preserve"> were</w:t>
      </w:r>
      <w:r w:rsidRPr="005376C3">
        <w:rPr>
          <w:rFonts w:ascii="Times New Roman" w:hAnsi="Times New Roman" w:cs="Times New Roman"/>
          <w:sz w:val="24"/>
        </w:rPr>
        <w:t xml:space="preserve"> acquired from the supplemental data of the paper. </w:t>
      </w:r>
      <w:bookmarkStart w:id="3" w:name="_Hlk83464448"/>
      <w:r w:rsidRPr="005376C3">
        <w:rPr>
          <w:rFonts w:ascii="Times New Roman" w:hAnsi="Times New Roman" w:cs="Times New Roman"/>
          <w:sz w:val="24"/>
        </w:rPr>
        <w:t xml:space="preserve">The differentially expressed mRNAs and proteins between the high and low </w:t>
      </w:r>
      <w:proofErr w:type="spellStart"/>
      <w:r w:rsidRPr="005376C3">
        <w:rPr>
          <w:rFonts w:ascii="Times New Roman" w:hAnsi="Times New Roman" w:cs="Times New Roman"/>
          <w:sz w:val="24"/>
        </w:rPr>
        <w:t>GTMEIscore</w:t>
      </w:r>
      <w:proofErr w:type="spellEnd"/>
      <w:r w:rsidRPr="005376C3">
        <w:rPr>
          <w:rFonts w:ascii="Times New Roman" w:hAnsi="Times New Roman" w:cs="Times New Roman"/>
          <w:sz w:val="24"/>
        </w:rPr>
        <w:t xml:space="preserve"> groups were screened by using the “</w:t>
      </w:r>
      <w:proofErr w:type="spellStart"/>
      <w:r w:rsidRPr="005376C3">
        <w:rPr>
          <w:rFonts w:ascii="Times New Roman" w:hAnsi="Times New Roman" w:cs="Times New Roman"/>
          <w:sz w:val="24"/>
        </w:rPr>
        <w:t>limma</w:t>
      </w:r>
      <w:proofErr w:type="spellEnd"/>
      <w:r w:rsidRPr="005376C3">
        <w:rPr>
          <w:rFonts w:ascii="Times New Roman" w:hAnsi="Times New Roman" w:cs="Times New Roman"/>
          <w:sz w:val="24"/>
        </w:rPr>
        <w:t>” package in R language</w:t>
      </w:r>
      <w:bookmarkEnd w:id="3"/>
      <w:r w:rsidRPr="005376C3">
        <w:rPr>
          <w:rFonts w:ascii="Times New Roman" w:hAnsi="Times New Roman" w:cs="Times New Roman"/>
          <w:sz w:val="24"/>
        </w:rPr>
        <w:t xml:space="preserve">. For </w:t>
      </w:r>
      <w:r w:rsidRPr="005376C3">
        <w:rPr>
          <w:rFonts w:ascii="Times New Roman" w:eastAsia="等线" w:hAnsi="Times New Roman" w:cs="Times New Roman"/>
          <w:sz w:val="24"/>
        </w:rPr>
        <w:t>transcriptome</w:t>
      </w:r>
      <w:r w:rsidRPr="005376C3">
        <w:rPr>
          <w:rFonts w:ascii="Times New Roman" w:hAnsi="Times New Roman" w:cs="Times New Roman"/>
          <w:sz w:val="24"/>
        </w:rPr>
        <w:t xml:space="preserve"> data, </w:t>
      </w:r>
      <w:r w:rsidRPr="005376C3">
        <w:rPr>
          <w:rFonts w:ascii="Times New Roman" w:eastAsia="等线" w:hAnsi="Times New Roman" w:cs="Times New Roman"/>
          <w:sz w:val="24"/>
        </w:rPr>
        <w:t xml:space="preserve">a </w:t>
      </w:r>
      <w:r w:rsidRPr="005376C3">
        <w:rPr>
          <w:rFonts w:ascii="Times New Roman" w:hAnsi="Times New Roman" w:cs="Times New Roman"/>
          <w:sz w:val="24"/>
        </w:rPr>
        <w:t xml:space="preserve">P value&lt;0.05 and |FC|&gt; 2 were considered the cutoff values for determining DEGs. For proteomic data, </w:t>
      </w:r>
      <w:r w:rsidRPr="005376C3">
        <w:rPr>
          <w:rFonts w:ascii="Times New Roman" w:eastAsia="等线" w:hAnsi="Times New Roman" w:cs="Times New Roman"/>
          <w:sz w:val="24"/>
        </w:rPr>
        <w:t xml:space="preserve">a </w:t>
      </w:r>
      <w:r w:rsidRPr="005376C3">
        <w:rPr>
          <w:rFonts w:ascii="Times New Roman" w:hAnsi="Times New Roman" w:cs="Times New Roman"/>
          <w:sz w:val="24"/>
        </w:rPr>
        <w:t xml:space="preserve">P value&lt;0.05 and |FC|&gt;1.2 </w:t>
      </w:r>
      <w:r w:rsidRPr="005376C3">
        <w:rPr>
          <w:rFonts w:ascii="Times New Roman" w:eastAsia="等线" w:hAnsi="Times New Roman" w:cs="Times New Roman"/>
          <w:sz w:val="24"/>
        </w:rPr>
        <w:t>were</w:t>
      </w:r>
      <w:r w:rsidRPr="005376C3">
        <w:rPr>
          <w:rFonts w:ascii="Times New Roman" w:hAnsi="Times New Roman" w:cs="Times New Roman"/>
          <w:sz w:val="24"/>
        </w:rPr>
        <w:t xml:space="preserve"> considered the cutoff values for determining differentially expressed proteins. A nine-quadrant diagram </w:t>
      </w:r>
      <w:r w:rsidRPr="005376C3">
        <w:rPr>
          <w:rFonts w:ascii="Times New Roman" w:eastAsia="等线" w:hAnsi="Times New Roman" w:cs="Times New Roman"/>
          <w:sz w:val="24"/>
        </w:rPr>
        <w:t xml:space="preserve">showing </w:t>
      </w:r>
      <w:r w:rsidRPr="005376C3">
        <w:rPr>
          <w:rFonts w:ascii="Times New Roman" w:hAnsi="Times New Roman" w:cs="Times New Roman"/>
          <w:sz w:val="24"/>
        </w:rPr>
        <w:t>genes with transcriptional and translational expression differences was constructed.</w:t>
      </w:r>
    </w:p>
    <w:p w:rsidR="005376C3" w:rsidRPr="005376C3" w:rsidRDefault="005376C3" w:rsidP="005376C3">
      <w:pPr>
        <w:pStyle w:val="1"/>
        <w:rPr>
          <w:rFonts w:cs="Times New Roman"/>
        </w:rPr>
      </w:pPr>
      <w:r w:rsidRPr="005376C3">
        <w:rPr>
          <w:rFonts w:cs="Times New Roman"/>
        </w:rPr>
        <w:lastRenderedPageBreak/>
        <w:t xml:space="preserve">Integrated proteome and </w:t>
      </w:r>
      <w:proofErr w:type="spellStart"/>
      <w:r w:rsidRPr="005376C3">
        <w:rPr>
          <w:rFonts w:cs="Times New Roman"/>
        </w:rPr>
        <w:t>phosphoproteomics</w:t>
      </w:r>
      <w:proofErr w:type="spellEnd"/>
      <w:r w:rsidRPr="005376C3">
        <w:rPr>
          <w:rFonts w:cs="Times New Roman"/>
        </w:rPr>
        <w:t>/</w:t>
      </w:r>
      <w:proofErr w:type="spellStart"/>
      <w:r w:rsidRPr="005376C3">
        <w:rPr>
          <w:rFonts w:cs="Times New Roman"/>
        </w:rPr>
        <w:t>acetylomics</w:t>
      </w:r>
      <w:proofErr w:type="spellEnd"/>
      <w:r w:rsidRPr="005376C3">
        <w:rPr>
          <w:rFonts w:cs="Times New Roman"/>
        </w:rPr>
        <w:t xml:space="preserve"> analysis</w:t>
      </w:r>
    </w:p>
    <w:p w:rsidR="00F2619E" w:rsidRPr="00F2619E" w:rsidRDefault="005376C3" w:rsidP="00F2619E">
      <w:pPr>
        <w:rPr>
          <w:rFonts w:ascii="Times New Roman" w:hAnsi="Times New Roman" w:cs="Times New Roman"/>
          <w:sz w:val="24"/>
        </w:rPr>
      </w:pPr>
      <w:r w:rsidRPr="005376C3">
        <w:rPr>
          <w:rFonts w:ascii="Times New Roman" w:hAnsi="Times New Roman" w:cs="Times New Roman"/>
          <w:sz w:val="24"/>
        </w:rPr>
        <w:t xml:space="preserve">The </w:t>
      </w:r>
      <w:r w:rsidRPr="005376C3">
        <w:rPr>
          <w:rFonts w:ascii="Times New Roman" w:eastAsia="等线" w:hAnsi="Times New Roman" w:cs="Times New Roman"/>
          <w:sz w:val="24"/>
        </w:rPr>
        <w:t>differential</w:t>
      </w:r>
      <w:r w:rsidRPr="005376C3">
        <w:rPr>
          <w:rFonts w:ascii="Times New Roman" w:hAnsi="Times New Roman" w:cs="Times New Roman"/>
          <w:sz w:val="24"/>
        </w:rPr>
        <w:t xml:space="preserve"> </w:t>
      </w:r>
      <w:proofErr w:type="spellStart"/>
      <w:r w:rsidRPr="005376C3">
        <w:rPr>
          <w:rFonts w:ascii="Times New Roman" w:hAnsi="Times New Roman" w:cs="Times New Roman"/>
          <w:sz w:val="24"/>
        </w:rPr>
        <w:t>phosphosite</w:t>
      </w:r>
      <w:proofErr w:type="spellEnd"/>
      <w:r w:rsidRPr="005376C3">
        <w:rPr>
          <w:rFonts w:ascii="Times New Roman" w:hAnsi="Times New Roman" w:cs="Times New Roman"/>
          <w:sz w:val="24"/>
        </w:rPr>
        <w:t>/</w:t>
      </w:r>
      <w:proofErr w:type="spellStart"/>
      <w:r w:rsidRPr="005376C3">
        <w:rPr>
          <w:rFonts w:ascii="Times New Roman" w:hAnsi="Times New Roman" w:cs="Times New Roman"/>
          <w:sz w:val="24"/>
        </w:rPr>
        <w:t>acetylomics</w:t>
      </w:r>
      <w:proofErr w:type="spellEnd"/>
      <w:r w:rsidRPr="005376C3">
        <w:rPr>
          <w:rFonts w:ascii="Times New Roman" w:hAnsi="Times New Roman" w:cs="Times New Roman"/>
          <w:sz w:val="24"/>
        </w:rPr>
        <w:t xml:space="preserve"> abundances between the high and low </w:t>
      </w:r>
      <w:proofErr w:type="spellStart"/>
      <w:r w:rsidRPr="005376C3">
        <w:rPr>
          <w:rFonts w:ascii="Times New Roman" w:hAnsi="Times New Roman" w:cs="Times New Roman"/>
          <w:sz w:val="24"/>
        </w:rPr>
        <w:t>GTMEIscore</w:t>
      </w:r>
      <w:proofErr w:type="spellEnd"/>
      <w:r w:rsidRPr="005376C3">
        <w:rPr>
          <w:rFonts w:ascii="Times New Roman" w:hAnsi="Times New Roman" w:cs="Times New Roman"/>
          <w:sz w:val="24"/>
        </w:rPr>
        <w:t xml:space="preserve"> groups were also analyzed by using the “</w:t>
      </w:r>
      <w:proofErr w:type="spellStart"/>
      <w:r w:rsidRPr="005376C3">
        <w:rPr>
          <w:rFonts w:ascii="Times New Roman" w:hAnsi="Times New Roman" w:cs="Times New Roman"/>
          <w:sz w:val="24"/>
        </w:rPr>
        <w:t>limma</w:t>
      </w:r>
      <w:proofErr w:type="spellEnd"/>
      <w:r w:rsidRPr="005376C3">
        <w:rPr>
          <w:rFonts w:ascii="Times New Roman" w:hAnsi="Times New Roman" w:cs="Times New Roman"/>
          <w:sz w:val="24"/>
        </w:rPr>
        <w:t xml:space="preserve">” package in R language. P value&lt;0.05 and |FC|&gt;1.2 </w:t>
      </w:r>
      <w:r w:rsidRPr="005376C3">
        <w:rPr>
          <w:rFonts w:ascii="Times New Roman" w:eastAsia="等线" w:hAnsi="Times New Roman" w:cs="Times New Roman"/>
          <w:sz w:val="24"/>
        </w:rPr>
        <w:t>were</w:t>
      </w:r>
      <w:r w:rsidRPr="005376C3">
        <w:rPr>
          <w:rFonts w:ascii="Times New Roman" w:hAnsi="Times New Roman" w:cs="Times New Roman"/>
          <w:sz w:val="24"/>
        </w:rPr>
        <w:t xml:space="preserve"> used as the cutoff values for determining differential </w:t>
      </w:r>
      <w:proofErr w:type="spellStart"/>
      <w:r w:rsidRPr="005376C3">
        <w:rPr>
          <w:rFonts w:ascii="Times New Roman" w:hAnsi="Times New Roman" w:cs="Times New Roman"/>
          <w:sz w:val="24"/>
        </w:rPr>
        <w:t>phosphosite</w:t>
      </w:r>
      <w:proofErr w:type="spellEnd"/>
      <w:r w:rsidRPr="005376C3">
        <w:rPr>
          <w:rFonts w:ascii="Times New Roman" w:hAnsi="Times New Roman" w:cs="Times New Roman"/>
          <w:sz w:val="24"/>
        </w:rPr>
        <w:t>/</w:t>
      </w:r>
      <w:proofErr w:type="spellStart"/>
      <w:r w:rsidRPr="005376C3">
        <w:rPr>
          <w:rFonts w:ascii="Times New Roman" w:hAnsi="Times New Roman" w:cs="Times New Roman"/>
          <w:sz w:val="24"/>
        </w:rPr>
        <w:t>acetylomics</w:t>
      </w:r>
      <w:proofErr w:type="spellEnd"/>
      <w:r w:rsidRPr="005376C3">
        <w:rPr>
          <w:rFonts w:ascii="Times New Roman" w:hAnsi="Times New Roman" w:cs="Times New Roman"/>
          <w:sz w:val="24"/>
        </w:rPr>
        <w:t xml:space="preserve"> values, and the proteins with significantly upregulated or downregulated </w:t>
      </w:r>
      <w:proofErr w:type="spellStart"/>
      <w:r w:rsidRPr="005376C3">
        <w:rPr>
          <w:rFonts w:ascii="Times New Roman" w:hAnsi="Times New Roman" w:cs="Times New Roman"/>
          <w:sz w:val="24"/>
        </w:rPr>
        <w:t>phosphosite</w:t>
      </w:r>
      <w:proofErr w:type="spellEnd"/>
      <w:r w:rsidRPr="005376C3">
        <w:rPr>
          <w:rFonts w:ascii="Times New Roman" w:hAnsi="Times New Roman" w:cs="Times New Roman"/>
          <w:sz w:val="24"/>
        </w:rPr>
        <w:t>/</w:t>
      </w:r>
      <w:proofErr w:type="spellStart"/>
      <w:r w:rsidRPr="005376C3">
        <w:rPr>
          <w:rFonts w:ascii="Times New Roman" w:hAnsi="Times New Roman" w:cs="Times New Roman"/>
          <w:sz w:val="24"/>
        </w:rPr>
        <w:t>acetylomic</w:t>
      </w:r>
      <w:proofErr w:type="spellEnd"/>
      <w:r w:rsidRPr="005376C3">
        <w:rPr>
          <w:rFonts w:ascii="Times New Roman" w:hAnsi="Times New Roman" w:cs="Times New Roman"/>
          <w:sz w:val="24"/>
        </w:rPr>
        <w:t xml:space="preserve"> values were considered as differential phosphoproteins. The overall trends of the relationships between protein phosphorylation/acetylation levels and their corresponding protein expression and the distribution of differential </w:t>
      </w:r>
      <w:r w:rsidRPr="005376C3">
        <w:rPr>
          <w:rFonts w:ascii="Times New Roman" w:eastAsia="等线" w:hAnsi="Times New Roman" w:cs="Times New Roman"/>
          <w:sz w:val="24"/>
        </w:rPr>
        <w:t>phosphorylation/acetylation</w:t>
      </w:r>
      <w:r w:rsidRPr="005376C3">
        <w:rPr>
          <w:rFonts w:ascii="Times New Roman" w:hAnsi="Times New Roman" w:cs="Times New Roman"/>
          <w:sz w:val="24"/>
        </w:rPr>
        <w:t xml:space="preserve"> sites and their corresponding protein expression differences were visualized by two </w:t>
      </w:r>
      <w:proofErr w:type="spellStart"/>
      <w:r w:rsidRPr="005376C3">
        <w:rPr>
          <w:rFonts w:ascii="Times New Roman" w:hAnsi="Times New Roman" w:cs="Times New Roman"/>
          <w:sz w:val="24"/>
        </w:rPr>
        <w:t>histologies</w:t>
      </w:r>
      <w:proofErr w:type="spellEnd"/>
      <w:r w:rsidRPr="005376C3">
        <w:rPr>
          <w:rFonts w:ascii="Times New Roman" w:hAnsi="Times New Roman" w:cs="Times New Roman"/>
          <w:sz w:val="24"/>
        </w:rPr>
        <w:t xml:space="preserve"> distributed in two dimensions (i.e., the horizontal X-axis and vertical Y-axis).</w:t>
      </w:r>
    </w:p>
    <w:p w:rsidR="00F2619E" w:rsidRPr="00C12352" w:rsidRDefault="00F2619E" w:rsidP="00F2619E">
      <w:pPr>
        <w:pStyle w:val="1"/>
      </w:pPr>
      <w:r w:rsidRPr="009717AC">
        <w:t>Construction of integrated prognostic models</w:t>
      </w:r>
    </w:p>
    <w:p w:rsidR="00F2619E" w:rsidRDefault="00F2619E" w:rsidP="00F2619E">
      <w:pPr>
        <w:rPr>
          <w:rFonts w:ascii="Times New Roman" w:hAnsi="Times New Roman" w:cs="Times New Roman"/>
          <w:sz w:val="24"/>
          <w:szCs w:val="24"/>
        </w:rPr>
      </w:pPr>
      <w:r w:rsidRPr="009717AC">
        <w:rPr>
          <w:rFonts w:ascii="Times New Roman" w:hAnsi="Times New Roman" w:cs="Times New Roman"/>
          <w:sz w:val="24"/>
          <w:szCs w:val="24"/>
        </w:rPr>
        <w:t>Using</w:t>
      </w:r>
      <w:r w:rsidRPr="009717AC">
        <w:rPr>
          <w:rFonts w:ascii="Times New Roman" w:hAnsi="Times New Roman" w:cs="Times New Roman" w:hint="eastAsia"/>
          <w:sz w:val="24"/>
          <w:szCs w:val="24"/>
        </w:rPr>
        <w:t xml:space="preserve"> </w:t>
      </w:r>
      <w:r w:rsidRPr="009717AC">
        <w:rPr>
          <w:rFonts w:ascii="Times New Roman" w:hAnsi="Times New Roman" w:cs="Times New Roman"/>
          <w:sz w:val="24"/>
          <w:szCs w:val="24"/>
        </w:rPr>
        <w:t>R package ‘rms’, a scoring nomogram was generated with</w:t>
      </w:r>
      <w:r>
        <w:rPr>
          <w:rFonts w:ascii="Times New Roman" w:hAnsi="Times New Roman" w:cs="Times New Roman" w:hint="eastAsia"/>
          <w:sz w:val="24"/>
          <w:szCs w:val="24"/>
        </w:rPr>
        <w:t xml:space="preserve"> </w:t>
      </w:r>
      <w:r w:rsidRPr="009717AC">
        <w:rPr>
          <w:rFonts w:ascii="Times New Roman" w:hAnsi="Times New Roman" w:cs="Times New Roman"/>
          <w:sz w:val="24"/>
          <w:szCs w:val="24"/>
        </w:rPr>
        <w:t>detailed parameters including</w:t>
      </w:r>
      <w:r>
        <w:rPr>
          <w:rFonts w:ascii="Times New Roman" w:hAnsi="Times New Roman" w:cs="Times New Roman"/>
          <w:sz w:val="24"/>
          <w:szCs w:val="24"/>
        </w:rPr>
        <w:t xml:space="preserve"> </w:t>
      </w:r>
      <w:r w:rsidRPr="009717AC">
        <w:rPr>
          <w:rFonts w:ascii="Times New Roman" w:hAnsi="Times New Roman" w:cs="Times New Roman"/>
          <w:sz w:val="24"/>
          <w:szCs w:val="24"/>
        </w:rPr>
        <w:t xml:space="preserve">age, gender, PTEN/TP53/BRAF/IDH/NF1/EGFR status, and </w:t>
      </w:r>
      <w:proofErr w:type="spellStart"/>
      <w:r w:rsidRPr="009717AC">
        <w:rPr>
          <w:rFonts w:ascii="Times New Roman" w:hAnsi="Times New Roman" w:cs="Times New Roman"/>
          <w:sz w:val="24"/>
          <w:szCs w:val="24"/>
        </w:rPr>
        <w:t>GTMEIscore</w:t>
      </w:r>
      <w:proofErr w:type="spellEnd"/>
      <w:r>
        <w:rPr>
          <w:rFonts w:ascii="Times New Roman" w:hAnsi="Times New Roman" w:cs="Times New Roman"/>
          <w:sz w:val="24"/>
          <w:szCs w:val="24"/>
        </w:rPr>
        <w:t xml:space="preserve">. </w:t>
      </w:r>
      <w:r w:rsidRPr="009717AC">
        <w:rPr>
          <w:rFonts w:ascii="Times New Roman" w:hAnsi="Times New Roman" w:cs="Times New Roman"/>
          <w:sz w:val="24"/>
          <w:szCs w:val="24"/>
        </w:rPr>
        <w:t xml:space="preserve">0.5, 1-year, and 1.5-year calibration curves were plotted and compared to actual </w:t>
      </w:r>
      <w:r>
        <w:rPr>
          <w:rFonts w:ascii="Times New Roman" w:hAnsi="Times New Roman" w:cs="Times New Roman"/>
          <w:sz w:val="24"/>
          <w:szCs w:val="24"/>
        </w:rPr>
        <w:t>OS</w:t>
      </w:r>
      <w:r w:rsidRPr="009717AC">
        <w:rPr>
          <w:rFonts w:ascii="Times New Roman" w:hAnsi="Times New Roman" w:cs="Times New Roman"/>
          <w:sz w:val="24"/>
          <w:szCs w:val="24"/>
        </w:rPr>
        <w:t>. The effectiveness of the model's predictions was further assessed by ROS curve analysis</w:t>
      </w:r>
    </w:p>
    <w:p w:rsidR="00F45BD3" w:rsidRDefault="006D1DE2" w:rsidP="00C12352">
      <w:pPr>
        <w:pStyle w:val="1"/>
        <w:rPr>
          <w:rFonts w:eastAsiaTheme="minorEastAsia" w:cs="Times New Roman"/>
          <w:szCs w:val="24"/>
        </w:rPr>
      </w:pPr>
      <w:r w:rsidRPr="006D1DE2">
        <w:rPr>
          <w:rFonts w:eastAsiaTheme="minorEastAsia" w:cs="Times New Roman"/>
          <w:szCs w:val="24"/>
        </w:rPr>
        <w:t xml:space="preserve">Compounds Targeting with </w:t>
      </w:r>
      <w:proofErr w:type="spellStart"/>
      <w:r>
        <w:rPr>
          <w:rFonts w:eastAsiaTheme="minorEastAsia" w:cs="Times New Roman"/>
          <w:szCs w:val="24"/>
        </w:rPr>
        <w:t>GTMEIscore</w:t>
      </w:r>
      <w:proofErr w:type="spellEnd"/>
      <w:r>
        <w:rPr>
          <w:rFonts w:eastAsiaTheme="minorEastAsia" w:cs="Times New Roman"/>
          <w:szCs w:val="24"/>
        </w:rPr>
        <w:t xml:space="preserve"> </w:t>
      </w:r>
    </w:p>
    <w:p w:rsidR="00F45BD3" w:rsidRDefault="00F45BD3" w:rsidP="00F45BD3">
      <w:pPr>
        <w:rPr>
          <w:rFonts w:ascii="Times New Roman" w:hAnsi="Times New Roman" w:cs="Times New Roman"/>
          <w:sz w:val="24"/>
        </w:rPr>
      </w:pPr>
      <w:r w:rsidRPr="006D1DE2">
        <w:rPr>
          <w:rFonts w:ascii="Times New Roman" w:hAnsi="Times New Roman" w:cs="Times New Roman"/>
          <w:sz w:val="24"/>
        </w:rPr>
        <w:t xml:space="preserve">To correlate drugs with </w:t>
      </w:r>
      <w:proofErr w:type="spellStart"/>
      <w:r w:rsidRPr="006D1DE2">
        <w:rPr>
          <w:rFonts w:ascii="Times New Roman" w:hAnsi="Times New Roman" w:cs="Times New Roman"/>
          <w:sz w:val="24"/>
        </w:rPr>
        <w:t>GTMEIscore</w:t>
      </w:r>
      <w:proofErr w:type="spellEnd"/>
      <w:r w:rsidRPr="006D1DE2">
        <w:rPr>
          <w:rFonts w:ascii="Times New Roman" w:hAnsi="Times New Roman" w:cs="Times New Roman"/>
          <w:sz w:val="24"/>
        </w:rPr>
        <w:t xml:space="preserve">, we used the </w:t>
      </w:r>
      <w:r w:rsidR="006D1DE2" w:rsidRPr="006D1DE2">
        <w:rPr>
          <w:rFonts w:ascii="Times New Roman" w:hAnsi="Times New Roman" w:cs="Times New Roman"/>
          <w:sz w:val="24"/>
        </w:rPr>
        <w:t xml:space="preserve">Connectivity Map (also known as </w:t>
      </w:r>
      <w:proofErr w:type="spellStart"/>
      <w:r w:rsidR="006D1DE2" w:rsidRPr="006D1DE2">
        <w:rPr>
          <w:rFonts w:ascii="Times New Roman" w:hAnsi="Times New Roman" w:cs="Times New Roman"/>
          <w:sz w:val="24"/>
        </w:rPr>
        <w:t>cmap</w:t>
      </w:r>
      <w:proofErr w:type="spellEnd"/>
      <w:r w:rsidR="006D1DE2" w:rsidRPr="006D1DE2">
        <w:rPr>
          <w:rFonts w:ascii="Times New Roman" w:hAnsi="Times New Roman" w:cs="Times New Roman"/>
          <w:sz w:val="24"/>
        </w:rPr>
        <w:t xml:space="preserve">) </w:t>
      </w:r>
      <w:r w:rsidRPr="006D1DE2">
        <w:rPr>
          <w:rFonts w:ascii="Times New Roman" w:hAnsi="Times New Roman" w:cs="Times New Roman"/>
          <w:sz w:val="24"/>
        </w:rPr>
        <w:t>database, a public online tool (</w:t>
      </w:r>
      <w:r w:rsidR="006D1DE2" w:rsidRPr="006D1DE2">
        <w:rPr>
          <w:rFonts w:ascii="Times New Roman" w:hAnsi="Times New Roman" w:cs="Times New Roman"/>
          <w:sz w:val="24"/>
        </w:rPr>
        <w:t>https://portals.broadinstitute.org/cmap/</w:t>
      </w:r>
      <w:r w:rsidRPr="006D1DE2">
        <w:rPr>
          <w:rFonts w:ascii="Times New Roman" w:hAnsi="Times New Roman" w:cs="Times New Roman"/>
          <w:sz w:val="24"/>
        </w:rPr>
        <w:t>) that allows users to predict whether a compound can activate or repress a gene expression-based signature</w:t>
      </w:r>
      <w:r w:rsidR="006D1DE2" w:rsidRPr="006D1DE2">
        <w:rPr>
          <w:rFonts w:ascii="Times New Roman" w:hAnsi="Times New Roman" w:cs="Times New Roman"/>
          <w:color w:val="C00000"/>
          <w:sz w:val="24"/>
          <w:vertAlign w:val="superscript"/>
        </w:rPr>
        <w:fldChar w:fldCharType="begin"/>
      </w:r>
      <w:r w:rsidR="00942E1A">
        <w:rPr>
          <w:rFonts w:ascii="Times New Roman" w:hAnsi="Times New Roman" w:cs="Times New Roman"/>
          <w:color w:val="C00000"/>
          <w:sz w:val="24"/>
          <w:vertAlign w:val="superscript"/>
        </w:rPr>
        <w:instrText xml:space="preserve"> ADDIN EN.CITE &lt;EndNote&gt;&lt;Cite&gt;&lt;Author&gt;Lamb&lt;/Author&gt;&lt;Year&gt;2006&lt;/Year&gt;&lt;RecNum&gt;127&lt;/RecNum&gt;&lt;DisplayText&gt;[9]&lt;/DisplayText&gt;&lt;record&gt;&lt;rec-number&gt;127&lt;/rec-number&gt;&lt;foreign-keys&gt;&lt;key app="EN" db-id="rp0ax059aap2aiefza75zxv30xfp9zes9xsf" timestamp="1634100999"&gt;127&lt;/key&gt;&lt;/foreign-keys&gt;&lt;ref-type name="Journal Article"&gt;17&lt;/ref-type&gt;&lt;contributors&gt;&lt;authors&gt;&lt;author&gt;Lamb, J&lt;/author&gt;&lt;author&gt;Crawford, ED&lt;/author&gt;&lt;author&gt;Peck, D&lt;/author&gt;&lt;author&gt;Modell, JW&lt;/author&gt;&lt;author&gt;Blat, IC&lt;/author&gt;&lt;author&gt;Wrobel, MJ&lt;/author&gt;&lt;author&gt;Lerner, J&lt;/author&gt;&lt;author&gt;Brunet, JP&lt;/author&gt;&lt;author&gt;Subramanian, A&lt;/author&gt;&lt;author&gt;Ross, KN&lt;/author&gt;&lt;author&gt;Reich, M&lt;/author&gt;&lt;author&gt;Hieronymus, H&lt;/author&gt;&lt;author&gt;Wei, G&lt;/author&gt;&lt;author&gt;Armstrong, SA&lt;/author&gt;&lt;author&gt;Haggarty, SJ&lt;/author&gt;&lt;author&gt;Clemons, PA&lt;/author&gt;&lt;author&gt;Wei, R&lt;/author&gt;&lt;author&gt;Carr, SA&lt;/author&gt;&lt;author&gt;Lander, ES&lt;/author&gt;&lt;author&gt;Golub, TR&lt;/author&gt;&lt;/authors&gt;&lt;/contributors&gt;&lt;titles&gt;&lt;title&gt;The Connectivity Map: using gene-expression signatures to connect small molecules, genes, and disease&lt;/title&gt;&lt;secondary-title&gt;Science (New York, N.Y.)&lt;/secondary-title&gt;&lt;/titles&gt;&lt;periodical&gt;&lt;full-title&gt;Science (New York, N.Y.)&lt;/full-title&gt;&lt;/periodical&gt;&lt;pages&gt;1929-35&lt;/pages&gt;&lt;volume&gt;313&lt;/volume&gt;&lt;number&gt;5795&lt;/number&gt;&lt;dates&gt;&lt;year&gt;2006&lt;/year&gt;&lt;/dates&gt;&lt;accession-num&gt;17008526&lt;/accession-num&gt;&lt;label&gt;41.845&lt;/label&gt;&lt;urls&gt;&lt;/urls&gt;&lt;electronic-resource-num&gt;10.1126/science.1132939&lt;/electronic-resource-num&gt;&lt;/record&gt;&lt;/Cite&gt;&lt;/EndNote&gt;</w:instrText>
      </w:r>
      <w:r w:rsidR="006D1DE2" w:rsidRPr="006D1DE2">
        <w:rPr>
          <w:rFonts w:ascii="Times New Roman" w:hAnsi="Times New Roman" w:cs="Times New Roman"/>
          <w:color w:val="C00000"/>
          <w:sz w:val="24"/>
          <w:vertAlign w:val="superscript"/>
        </w:rPr>
        <w:fldChar w:fldCharType="separate"/>
      </w:r>
      <w:r w:rsidR="00942E1A">
        <w:rPr>
          <w:rFonts w:ascii="Times New Roman" w:hAnsi="Times New Roman" w:cs="Times New Roman"/>
          <w:noProof/>
          <w:color w:val="C00000"/>
          <w:sz w:val="24"/>
          <w:vertAlign w:val="superscript"/>
        </w:rPr>
        <w:t>[9]</w:t>
      </w:r>
      <w:r w:rsidR="006D1DE2" w:rsidRPr="006D1DE2">
        <w:rPr>
          <w:rFonts w:ascii="Times New Roman" w:hAnsi="Times New Roman" w:cs="Times New Roman"/>
          <w:color w:val="C00000"/>
          <w:sz w:val="24"/>
          <w:vertAlign w:val="superscript"/>
        </w:rPr>
        <w:fldChar w:fldCharType="end"/>
      </w:r>
      <w:r w:rsidRPr="006D1DE2">
        <w:rPr>
          <w:rFonts w:ascii="Times New Roman" w:hAnsi="Times New Roman" w:cs="Times New Roman"/>
          <w:sz w:val="24"/>
        </w:rPr>
        <w:t>.</w:t>
      </w:r>
      <w:r w:rsidR="00C24E6F">
        <w:rPr>
          <w:rFonts w:ascii="Times New Roman" w:hAnsi="Times New Roman" w:cs="Times New Roman"/>
          <w:sz w:val="24"/>
        </w:rPr>
        <w:t xml:space="preserve"> </w:t>
      </w:r>
      <w:r w:rsidR="00C24E6F" w:rsidRPr="00C24E6F">
        <w:rPr>
          <w:rFonts w:ascii="Times New Roman" w:hAnsi="Times New Roman" w:cs="Times New Roman"/>
          <w:sz w:val="24"/>
        </w:rPr>
        <w:t>We selected the top 1000 genes of differentially expressed up- or down-regulated genes (500 up-regulated and 500 down-regulated) as representative differential genes to input into the database species to compare predicted drugs.</w:t>
      </w:r>
    </w:p>
    <w:p w:rsidR="006D1DE2" w:rsidRPr="006D1DE2" w:rsidRDefault="006D1DE2" w:rsidP="00F45BD3">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 xml:space="preserve"> </w:t>
      </w:r>
      <w:r w:rsidRPr="006D1DE2">
        <w:rPr>
          <w:rFonts w:ascii="Times New Roman" w:hAnsi="Times New Roman" w:cs="Times New Roman"/>
          <w:sz w:val="24"/>
        </w:rPr>
        <w:t>To further investigate about mechanism of actions (</w:t>
      </w:r>
      <w:proofErr w:type="spellStart"/>
      <w:r w:rsidRPr="006D1DE2">
        <w:rPr>
          <w:rFonts w:ascii="Times New Roman" w:hAnsi="Times New Roman" w:cs="Times New Roman"/>
          <w:sz w:val="24"/>
        </w:rPr>
        <w:t>MoA</w:t>
      </w:r>
      <w:proofErr w:type="spellEnd"/>
      <w:r w:rsidRPr="006D1DE2">
        <w:rPr>
          <w:rFonts w:ascii="Times New Roman" w:hAnsi="Times New Roman" w:cs="Times New Roman"/>
          <w:sz w:val="24"/>
        </w:rPr>
        <w:t>) and drug-target we performed specific analysis within Connectivity Map tools (https://clue.io/)</w:t>
      </w:r>
      <w:r w:rsidRPr="006D1DE2">
        <w:rPr>
          <w:rFonts w:ascii="Times New Roman" w:hAnsi="Times New Roman" w:cs="Times New Roman"/>
          <w:color w:val="C00000"/>
          <w:sz w:val="24"/>
          <w:vertAlign w:val="superscript"/>
        </w:rPr>
        <w:fldChar w:fldCharType="begin">
          <w:fldData xml:space="preserve">PEVuZE5vdGU+PENpdGU+PEF1dGhvcj5TdWJyYW1hbmlhbjwvQXV0aG9yPjxZZWFyPjIwMTc8L1ll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</w:fldData>
        </w:fldChar>
      </w:r>
      <w:r w:rsidR="00942E1A">
        <w:rPr>
          <w:rFonts w:ascii="Times New Roman" w:hAnsi="Times New Roman" w:cs="Times New Roman"/>
          <w:color w:val="C00000"/>
          <w:sz w:val="24"/>
          <w:vertAlign w:val="superscript"/>
        </w:rPr>
        <w:instrText xml:space="preserve"> ADDIN EN.CITE </w:instrText>
      </w:r>
      <w:r w:rsidR="00942E1A">
        <w:rPr>
          <w:rFonts w:ascii="Times New Roman" w:hAnsi="Times New Roman" w:cs="Times New Roman"/>
          <w:color w:val="C00000"/>
          <w:sz w:val="24"/>
          <w:vertAlign w:val="superscript"/>
        </w:rPr>
        <w:fldChar w:fldCharType="begin">
          <w:fldData xml:space="preserve">PEVuZE5vdGU+PENpdGU+PEF1dGhvcj5TdWJyYW1hbmlhbjwvQXV0aG9yPjxZZWFyPjIwMTc8L1ll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</w:fldData>
        </w:fldChar>
      </w:r>
      <w:r w:rsidR="00942E1A">
        <w:rPr>
          <w:rFonts w:ascii="Times New Roman" w:hAnsi="Times New Roman" w:cs="Times New Roman"/>
          <w:color w:val="C00000"/>
          <w:sz w:val="24"/>
          <w:vertAlign w:val="superscript"/>
        </w:rPr>
        <w:instrText xml:space="preserve"> ADDIN EN.CITE.DATA </w:instrText>
      </w:r>
      <w:r w:rsidR="00942E1A">
        <w:rPr>
          <w:rFonts w:ascii="Times New Roman" w:hAnsi="Times New Roman" w:cs="Times New Roman"/>
          <w:color w:val="C00000"/>
          <w:sz w:val="24"/>
          <w:vertAlign w:val="superscript"/>
        </w:rPr>
      </w:r>
      <w:r w:rsidR="00942E1A">
        <w:rPr>
          <w:rFonts w:ascii="Times New Roman" w:hAnsi="Times New Roman" w:cs="Times New Roman"/>
          <w:color w:val="C00000"/>
          <w:sz w:val="24"/>
          <w:vertAlign w:val="superscript"/>
        </w:rPr>
        <w:fldChar w:fldCharType="end"/>
      </w:r>
      <w:r w:rsidRPr="006D1DE2">
        <w:rPr>
          <w:rFonts w:ascii="Times New Roman" w:hAnsi="Times New Roman" w:cs="Times New Roman"/>
          <w:color w:val="C00000"/>
          <w:sz w:val="24"/>
          <w:vertAlign w:val="superscript"/>
        </w:rPr>
        <w:fldChar w:fldCharType="separate"/>
      </w:r>
      <w:r w:rsidR="00942E1A">
        <w:rPr>
          <w:rFonts w:ascii="Times New Roman" w:hAnsi="Times New Roman" w:cs="Times New Roman"/>
          <w:noProof/>
          <w:color w:val="C00000"/>
          <w:sz w:val="24"/>
          <w:vertAlign w:val="superscript"/>
        </w:rPr>
        <w:t>[10]</w:t>
      </w:r>
      <w:r w:rsidRPr="006D1DE2">
        <w:rPr>
          <w:rFonts w:ascii="Times New Roman" w:hAnsi="Times New Roman" w:cs="Times New Roman"/>
          <w:color w:val="C00000"/>
          <w:sz w:val="24"/>
          <w:vertAlign w:val="superscript"/>
        </w:rPr>
        <w:fldChar w:fldCharType="end"/>
      </w:r>
      <w:r>
        <w:rPr>
          <w:rFonts w:ascii="Times New Roman" w:hAnsi="Times New Roman" w:cs="Times New Roman"/>
          <w:sz w:val="24"/>
        </w:rPr>
        <w:t>.</w:t>
      </w:r>
    </w:p>
    <w:p w:rsidR="00C12352" w:rsidRPr="00C12352" w:rsidRDefault="00C12352" w:rsidP="00C12352">
      <w:pPr>
        <w:pStyle w:val="1"/>
        <w:rPr>
          <w:rFonts w:cs="Times New Roman"/>
          <w:szCs w:val="24"/>
        </w:rPr>
      </w:pPr>
      <w:r w:rsidRPr="00C12352">
        <w:rPr>
          <w:rFonts w:cs="Times New Roman"/>
          <w:szCs w:val="24"/>
        </w:rPr>
        <w:t xml:space="preserve">Correlation analysis of the </w:t>
      </w:r>
      <w:proofErr w:type="spellStart"/>
      <w:r w:rsidRPr="00C12352">
        <w:rPr>
          <w:rFonts w:cs="Times New Roman"/>
          <w:szCs w:val="24"/>
        </w:rPr>
        <w:t>GTMEIscore</w:t>
      </w:r>
      <w:proofErr w:type="spellEnd"/>
      <w:r w:rsidRPr="00C12352">
        <w:rPr>
          <w:rFonts w:cs="Times New Roman"/>
          <w:szCs w:val="24"/>
        </w:rPr>
        <w:t xml:space="preserve"> and drug sensitivity</w:t>
      </w:r>
    </w:p>
    <w:p w:rsidR="009717AC" w:rsidRDefault="00C12352" w:rsidP="008055CA">
      <w:pPr>
        <w:rPr>
          <w:rFonts w:ascii="Times New Roman" w:hAnsi="Times New Roman" w:cs="Times New Roman"/>
          <w:sz w:val="24"/>
          <w:szCs w:val="24"/>
        </w:rPr>
      </w:pPr>
      <w:r w:rsidRPr="00C12352">
        <w:rPr>
          <w:rFonts w:ascii="Times New Roman" w:hAnsi="Times New Roman" w:cs="Times New Roman"/>
          <w:sz w:val="24"/>
          <w:szCs w:val="24"/>
        </w:rPr>
        <w:t>Drug sensitivity data (</w:t>
      </w:r>
      <w:proofErr w:type="spellStart"/>
      <w:r w:rsidRPr="00C12352">
        <w:rPr>
          <w:rFonts w:ascii="Times New Roman" w:hAnsi="Times New Roman" w:cs="Times New Roman"/>
          <w:sz w:val="24"/>
          <w:szCs w:val="24"/>
        </w:rPr>
        <w:t>Zscore</w:t>
      </w:r>
      <w:proofErr w:type="spellEnd"/>
      <w:r w:rsidRPr="00C12352">
        <w:rPr>
          <w:rFonts w:ascii="Times New Roman" w:hAnsi="Times New Roman" w:cs="Times New Roman"/>
          <w:sz w:val="24"/>
          <w:szCs w:val="24"/>
        </w:rPr>
        <w:t xml:space="preserve"> values) and gene expression data </w:t>
      </w:r>
      <w:r w:rsidRPr="00C12352">
        <w:rPr>
          <w:rFonts w:ascii="Times New Roman" w:eastAsia="等线" w:hAnsi="Times New Roman" w:cs="Times New Roman"/>
          <w:sz w:val="24"/>
          <w:szCs w:val="24"/>
        </w:rPr>
        <w:t>were</w:t>
      </w:r>
      <w:r w:rsidRPr="00C12352">
        <w:rPr>
          <w:rFonts w:ascii="Times New Roman" w:hAnsi="Times New Roman" w:cs="Times New Roman"/>
          <w:sz w:val="24"/>
          <w:szCs w:val="24"/>
        </w:rPr>
        <w:t xml:space="preserve"> downloaded from the </w:t>
      </w:r>
      <w:proofErr w:type="spellStart"/>
      <w:r w:rsidRPr="00C12352">
        <w:rPr>
          <w:rFonts w:ascii="Times New Roman" w:hAnsi="Times New Roman" w:cs="Times New Roman"/>
          <w:sz w:val="24"/>
          <w:szCs w:val="24"/>
        </w:rPr>
        <w:t>CellMiner</w:t>
      </w:r>
      <w:proofErr w:type="spellEnd"/>
      <w:r w:rsidRPr="00C12352">
        <w:rPr>
          <w:rFonts w:ascii="Times New Roman" w:hAnsi="Times New Roman" w:cs="Times New Roman"/>
          <w:sz w:val="24"/>
          <w:szCs w:val="24"/>
        </w:rPr>
        <w:t xml:space="preserve"> database (https://discover.nci.nih.gov/cellminer/), and the drugs </w:t>
      </w:r>
      <w:r w:rsidRPr="00C12352">
        <w:rPr>
          <w:rFonts w:ascii="Times New Roman" w:eastAsia="等线" w:hAnsi="Times New Roman" w:cs="Times New Roman"/>
          <w:sz w:val="24"/>
          <w:szCs w:val="24"/>
        </w:rPr>
        <w:t>were</w:t>
      </w:r>
      <w:r w:rsidRPr="00C12352">
        <w:rPr>
          <w:rFonts w:ascii="Times New Roman" w:hAnsi="Times New Roman" w:cs="Times New Roman"/>
          <w:sz w:val="24"/>
          <w:szCs w:val="24"/>
        </w:rPr>
        <w:t xml:space="preserve"> screened</w:t>
      </w:r>
      <w:r w:rsidRPr="00C12352">
        <w:rPr>
          <w:rFonts w:ascii="Times New Roman" w:eastAsia="等线" w:hAnsi="Times New Roman" w:cs="Times New Roman"/>
          <w:sz w:val="24"/>
          <w:szCs w:val="24"/>
        </w:rPr>
        <w:t xml:space="preserve">. Any </w:t>
      </w:r>
      <w:r w:rsidRPr="00C12352">
        <w:rPr>
          <w:rFonts w:ascii="Times New Roman" w:hAnsi="Times New Roman" w:cs="Times New Roman"/>
          <w:sz w:val="24"/>
          <w:szCs w:val="24"/>
        </w:rPr>
        <w:t xml:space="preserve">data that </w:t>
      </w:r>
      <w:r w:rsidRPr="00C12352">
        <w:rPr>
          <w:rFonts w:ascii="Times New Roman" w:eastAsia="等线" w:hAnsi="Times New Roman" w:cs="Times New Roman"/>
          <w:sz w:val="24"/>
          <w:szCs w:val="24"/>
        </w:rPr>
        <w:t>were</w:t>
      </w:r>
      <w:r w:rsidRPr="00C12352">
        <w:rPr>
          <w:rFonts w:ascii="Times New Roman" w:hAnsi="Times New Roman" w:cs="Times New Roman"/>
          <w:sz w:val="24"/>
          <w:szCs w:val="24"/>
        </w:rPr>
        <w:t xml:space="preserve"> not FDA</w:t>
      </w:r>
      <w:r w:rsidRPr="00C12352">
        <w:rPr>
          <w:rFonts w:ascii="Times New Roman" w:eastAsia="等线" w:hAnsi="Times New Roman" w:cs="Times New Roman"/>
          <w:sz w:val="24"/>
          <w:szCs w:val="24"/>
        </w:rPr>
        <w:t xml:space="preserve"> </w:t>
      </w:r>
      <w:r w:rsidRPr="00C12352">
        <w:rPr>
          <w:rFonts w:ascii="Times New Roman" w:hAnsi="Times New Roman" w:cs="Times New Roman"/>
          <w:sz w:val="24"/>
          <w:szCs w:val="24"/>
        </w:rPr>
        <w:t xml:space="preserve">approved and were not from clinical trials </w:t>
      </w:r>
      <w:r w:rsidRPr="00C12352">
        <w:rPr>
          <w:rFonts w:ascii="Times New Roman" w:eastAsia="等线" w:hAnsi="Times New Roman" w:cs="Times New Roman"/>
          <w:sz w:val="24"/>
          <w:szCs w:val="24"/>
        </w:rPr>
        <w:t>were</w:t>
      </w:r>
      <w:r w:rsidRPr="00C12352">
        <w:rPr>
          <w:rFonts w:ascii="Times New Roman" w:hAnsi="Times New Roman" w:cs="Times New Roman"/>
          <w:sz w:val="24"/>
          <w:szCs w:val="24"/>
        </w:rPr>
        <w:t xml:space="preserve"> excluded. In addition, we downloaded drug sensitivity data (AUC values) of the drugs in cancer </w:t>
      </w:r>
      <w:r w:rsidRPr="00C12352">
        <w:rPr>
          <w:rFonts w:ascii="Times New Roman" w:eastAsia="等线" w:hAnsi="Times New Roman" w:cs="Times New Roman"/>
          <w:sz w:val="24"/>
          <w:szCs w:val="24"/>
        </w:rPr>
        <w:t>cells</w:t>
      </w:r>
      <w:r w:rsidRPr="00C12352">
        <w:rPr>
          <w:rFonts w:ascii="Times New Roman" w:hAnsi="Times New Roman" w:cs="Times New Roman"/>
          <w:sz w:val="24"/>
          <w:szCs w:val="24"/>
        </w:rPr>
        <w:t xml:space="preserve"> and annotation data of the targeting pathways of the related drugs from </w:t>
      </w:r>
      <w:r w:rsidRPr="00C12352">
        <w:rPr>
          <w:rFonts w:ascii="Times New Roman" w:eastAsia="等线" w:hAnsi="Times New Roman" w:cs="Times New Roman"/>
          <w:sz w:val="24"/>
          <w:szCs w:val="24"/>
        </w:rPr>
        <w:t xml:space="preserve">the </w:t>
      </w:r>
      <w:r w:rsidRPr="00C12352">
        <w:rPr>
          <w:rFonts w:ascii="Times New Roman" w:hAnsi="Times New Roman" w:cs="Times New Roman"/>
          <w:sz w:val="24"/>
          <w:szCs w:val="24"/>
        </w:rPr>
        <w:t xml:space="preserve">GDSC database (https://www.cancerrxgene.org/) and RNA-seq data of the corresponding cell lines from </w:t>
      </w:r>
      <w:r w:rsidRPr="00C12352">
        <w:rPr>
          <w:rFonts w:ascii="Times New Roman" w:eastAsia="等线" w:hAnsi="Times New Roman" w:cs="Times New Roman"/>
          <w:sz w:val="24"/>
          <w:szCs w:val="24"/>
        </w:rPr>
        <w:t xml:space="preserve">the </w:t>
      </w:r>
      <w:r w:rsidRPr="00C12352">
        <w:rPr>
          <w:rFonts w:ascii="Times New Roman" w:hAnsi="Times New Roman" w:cs="Times New Roman"/>
          <w:sz w:val="24"/>
          <w:szCs w:val="24"/>
        </w:rPr>
        <w:t xml:space="preserve">CCLE database (https://sites.broadinstitute.org/ccle/). We then performed </w:t>
      </w:r>
      <w:r w:rsidRPr="00C12352">
        <w:rPr>
          <w:rFonts w:ascii="Times New Roman" w:eastAsia="等线" w:hAnsi="Times New Roman" w:cs="Times New Roman"/>
          <w:sz w:val="24"/>
          <w:szCs w:val="24"/>
        </w:rPr>
        <w:t>Pearson</w:t>
      </w:r>
      <w:r w:rsidRPr="00C12352">
        <w:rPr>
          <w:rFonts w:ascii="Times New Roman" w:hAnsi="Times New Roman" w:cs="Times New Roman"/>
          <w:sz w:val="24"/>
          <w:szCs w:val="24"/>
        </w:rPr>
        <w:t xml:space="preserve"> correlation analysis to calculate the correlation between drug sensitivity and the </w:t>
      </w:r>
      <w:proofErr w:type="spellStart"/>
      <w:r w:rsidRPr="00C12352">
        <w:rPr>
          <w:rFonts w:ascii="Times New Roman" w:hAnsi="Times New Roman" w:cs="Times New Roman"/>
          <w:sz w:val="24"/>
          <w:szCs w:val="24"/>
        </w:rPr>
        <w:t>GTMEIscore</w:t>
      </w:r>
      <w:proofErr w:type="spellEnd"/>
      <w:r w:rsidRPr="00C12352">
        <w:rPr>
          <w:rFonts w:ascii="Times New Roman" w:hAnsi="Times New Roman" w:cs="Times New Roman"/>
          <w:sz w:val="24"/>
          <w:szCs w:val="24"/>
        </w:rPr>
        <w:t>,</w:t>
      </w:r>
      <w:r w:rsidRPr="00C12352">
        <w:rPr>
          <w:rFonts w:ascii="Times New Roman" w:eastAsia="等线" w:hAnsi="Times New Roman" w:cs="Times New Roman"/>
          <w:sz w:val="24"/>
          <w:szCs w:val="24"/>
        </w:rPr>
        <w:t xml:space="preserve"> and a</w:t>
      </w:r>
      <w:r w:rsidRPr="00C12352">
        <w:rPr>
          <w:rFonts w:ascii="Times New Roman" w:hAnsi="Times New Roman" w:cs="Times New Roman"/>
          <w:sz w:val="24"/>
          <w:szCs w:val="24"/>
        </w:rPr>
        <w:t xml:space="preserve"> P value &lt; 0.05 was considered significant.</w:t>
      </w:r>
    </w:p>
    <w:p w:rsidR="009717AC" w:rsidRPr="009717AC" w:rsidRDefault="00873F4B" w:rsidP="00873F4B">
      <w:pPr>
        <w:pStyle w:val="1"/>
      </w:pPr>
      <w:r>
        <w:rPr>
          <w:rFonts w:hint="eastAsia"/>
        </w:rPr>
        <w:t>R</w:t>
      </w:r>
      <w:r>
        <w:t>eferences</w:t>
      </w:r>
    </w:p>
    <w:p w:rsidR="00942E1A" w:rsidRPr="00942E1A" w:rsidRDefault="00C12352" w:rsidP="00942E1A">
      <w:pPr>
        <w:pStyle w:val="EndNoteBibliography"/>
        <w:ind w:left="720" w:hanging="720"/>
      </w:pPr>
      <w:r w:rsidRPr="00774585">
        <w:rPr>
          <w:rFonts w:ascii="Times New Roman" w:hAnsi="Times New Roman" w:cs="Times New Roman"/>
          <w:b/>
          <w:sz w:val="24"/>
          <w:szCs w:val="24"/>
        </w:rPr>
        <w:fldChar w:fldCharType="begin"/>
      </w:r>
      <w:r w:rsidRPr="00774585">
        <w:rPr>
          <w:rFonts w:ascii="Times New Roman" w:hAnsi="Times New Roman" w:cs="Times New Roman"/>
          <w:b/>
          <w:sz w:val="24"/>
          <w:szCs w:val="24"/>
        </w:rPr>
        <w:instrText xml:space="preserve"> ADDIN EN.REFLIST </w:instrText>
      </w:r>
      <w:r w:rsidRPr="00774585">
        <w:rPr>
          <w:rFonts w:ascii="Times New Roman" w:hAnsi="Times New Roman" w:cs="Times New Roman"/>
          <w:b/>
          <w:sz w:val="24"/>
          <w:szCs w:val="24"/>
        </w:rPr>
        <w:fldChar w:fldCharType="separate"/>
      </w:r>
      <w:r w:rsidR="00942E1A" w:rsidRPr="00942E1A">
        <w:t>1.</w:t>
      </w:r>
      <w:r w:rsidR="00942E1A" w:rsidRPr="00942E1A">
        <w:tab/>
        <w:t xml:space="preserve">Wilkerson, M. and D. Hayes, </w:t>
      </w:r>
      <w:r w:rsidR="00942E1A" w:rsidRPr="00942E1A">
        <w:rPr>
          <w:i/>
        </w:rPr>
        <w:t>ConsensusClusterPlus: a class discovery tool with confidence assessments and item tracking.</w:t>
      </w:r>
      <w:r w:rsidR="00942E1A" w:rsidRPr="00942E1A">
        <w:t xml:space="preserve"> Bioinformatics (Oxford, England), 2010. </w:t>
      </w:r>
      <w:r w:rsidR="00942E1A" w:rsidRPr="00942E1A">
        <w:rPr>
          <w:b/>
        </w:rPr>
        <w:t>26</w:t>
      </w:r>
      <w:r w:rsidR="00942E1A" w:rsidRPr="00942E1A">
        <w:t>(12): p. 1572-3.</w:t>
      </w:r>
    </w:p>
    <w:p w:rsidR="00942E1A" w:rsidRPr="00942E1A" w:rsidRDefault="00942E1A" w:rsidP="00942E1A">
      <w:pPr>
        <w:pStyle w:val="EndNoteBibliography"/>
        <w:ind w:left="720" w:hanging="720"/>
      </w:pPr>
      <w:r w:rsidRPr="00942E1A">
        <w:t>2.</w:t>
      </w:r>
      <w:r w:rsidRPr="00942E1A">
        <w:tab/>
        <w:t xml:space="preserve">Hänzelmann, S., R. Castelo, and J. Guinney, </w:t>
      </w:r>
      <w:r w:rsidRPr="00942E1A">
        <w:rPr>
          <w:i/>
        </w:rPr>
        <w:t>GSVA: gene set variation analysis for microarray and RNA-seq data.</w:t>
      </w:r>
      <w:r w:rsidRPr="00942E1A">
        <w:t xml:space="preserve"> BMC bioinformatics, 2013. </w:t>
      </w:r>
      <w:r w:rsidRPr="00942E1A">
        <w:rPr>
          <w:b/>
        </w:rPr>
        <w:t>14</w:t>
      </w:r>
      <w:r w:rsidRPr="00942E1A">
        <w:t>: p. 7.</w:t>
      </w:r>
    </w:p>
    <w:p w:rsidR="00942E1A" w:rsidRPr="00942E1A" w:rsidRDefault="00942E1A" w:rsidP="00942E1A">
      <w:pPr>
        <w:pStyle w:val="EndNoteBibliography"/>
        <w:ind w:left="720" w:hanging="720"/>
      </w:pPr>
      <w:r w:rsidRPr="00942E1A">
        <w:t>3.</w:t>
      </w:r>
      <w:r w:rsidRPr="00942E1A">
        <w:tab/>
        <w:t xml:space="preserve">Yu, G., et al., </w:t>
      </w:r>
      <w:r w:rsidRPr="00942E1A">
        <w:rPr>
          <w:i/>
        </w:rPr>
        <w:t xml:space="preserve">clusterProfiler: an R package for comparing biological themes among gene </w:t>
      </w:r>
      <w:r w:rsidRPr="00942E1A">
        <w:rPr>
          <w:i/>
        </w:rPr>
        <w:lastRenderedPageBreak/>
        <w:t>clusters.</w:t>
      </w:r>
      <w:r w:rsidRPr="00942E1A">
        <w:t xml:space="preserve"> OMICS, 2012. </w:t>
      </w:r>
      <w:r w:rsidRPr="00942E1A">
        <w:rPr>
          <w:b/>
        </w:rPr>
        <w:t>16</w:t>
      </w:r>
      <w:r w:rsidRPr="00942E1A">
        <w:t>(5): p. 284-7.</w:t>
      </w:r>
    </w:p>
    <w:p w:rsidR="00942E1A" w:rsidRPr="00942E1A" w:rsidRDefault="00942E1A" w:rsidP="00942E1A">
      <w:pPr>
        <w:pStyle w:val="EndNoteBibliography"/>
        <w:ind w:left="720" w:hanging="720"/>
      </w:pPr>
      <w:r w:rsidRPr="00942E1A">
        <w:t>4.</w:t>
      </w:r>
      <w:r w:rsidRPr="00942E1A">
        <w:tab/>
        <w:t xml:space="preserve">Mariathasan, S., et al., </w:t>
      </w:r>
      <w:r w:rsidRPr="00942E1A">
        <w:rPr>
          <w:i/>
        </w:rPr>
        <w:t>TGFβ attenuates tumour response to PD-L1 blockade by contributing to exclusion of T cells.</w:t>
      </w:r>
      <w:r w:rsidRPr="00942E1A">
        <w:t xml:space="preserve"> Nature, 2018. </w:t>
      </w:r>
      <w:r w:rsidRPr="00942E1A">
        <w:rPr>
          <w:b/>
        </w:rPr>
        <w:t>554</w:t>
      </w:r>
      <w:r w:rsidRPr="00942E1A">
        <w:t>(7693): p. 544-548.</w:t>
      </w:r>
    </w:p>
    <w:p w:rsidR="00942E1A" w:rsidRPr="00942E1A" w:rsidRDefault="00942E1A" w:rsidP="00942E1A">
      <w:pPr>
        <w:pStyle w:val="EndNoteBibliography"/>
        <w:ind w:left="720" w:hanging="720"/>
      </w:pPr>
      <w:r w:rsidRPr="00942E1A">
        <w:t>5.</w:t>
      </w:r>
      <w:r w:rsidRPr="00942E1A">
        <w:tab/>
        <w:t xml:space="preserve">Ritchie, M., et al., </w:t>
      </w:r>
      <w:r w:rsidRPr="00942E1A">
        <w:rPr>
          <w:i/>
        </w:rPr>
        <w:t>limma powers differential expression analyses for RNA-sequencing and microarray studies.</w:t>
      </w:r>
      <w:r w:rsidRPr="00942E1A">
        <w:t xml:space="preserve"> Nucleic acids research, 2015. </w:t>
      </w:r>
      <w:r w:rsidRPr="00942E1A">
        <w:rPr>
          <w:b/>
        </w:rPr>
        <w:t>43</w:t>
      </w:r>
      <w:r w:rsidRPr="00942E1A">
        <w:t>(7): p. e47.</w:t>
      </w:r>
    </w:p>
    <w:p w:rsidR="00942E1A" w:rsidRPr="00942E1A" w:rsidRDefault="00942E1A" w:rsidP="00942E1A">
      <w:pPr>
        <w:pStyle w:val="EndNoteBibliography"/>
        <w:ind w:left="720" w:hanging="720"/>
      </w:pPr>
      <w:r w:rsidRPr="00942E1A">
        <w:t>6.</w:t>
      </w:r>
      <w:r w:rsidRPr="00942E1A">
        <w:tab/>
        <w:t xml:space="preserve">Speiser, J., et al., </w:t>
      </w:r>
      <w:r w:rsidRPr="00942E1A">
        <w:rPr>
          <w:i/>
        </w:rPr>
        <w:t>A Comparison of Random Forest Variable Selection Methods for Classification Prediction Modeling.</w:t>
      </w:r>
      <w:r w:rsidRPr="00942E1A">
        <w:t xml:space="preserve"> Expert systems with applications, 2019. </w:t>
      </w:r>
      <w:r w:rsidRPr="00942E1A">
        <w:rPr>
          <w:b/>
        </w:rPr>
        <w:t>134</w:t>
      </w:r>
      <w:r w:rsidRPr="00942E1A">
        <w:t>: p. 93-101.</w:t>
      </w:r>
    </w:p>
    <w:p w:rsidR="00942E1A" w:rsidRPr="00942E1A" w:rsidRDefault="00942E1A" w:rsidP="00942E1A">
      <w:pPr>
        <w:pStyle w:val="EndNoteBibliography"/>
        <w:ind w:left="720" w:hanging="720"/>
      </w:pPr>
      <w:r w:rsidRPr="00942E1A">
        <w:t>7.</w:t>
      </w:r>
      <w:r w:rsidRPr="00942E1A">
        <w:tab/>
        <w:t xml:space="preserve">Sotiriou, C., et al., </w:t>
      </w:r>
      <w:r w:rsidRPr="00942E1A">
        <w:rPr>
          <w:i/>
        </w:rPr>
        <w:t>Gene expression profiling in breast cancer: understanding the molecular basis of histologic grade to improve prognosis.</w:t>
      </w:r>
      <w:r w:rsidRPr="00942E1A">
        <w:t xml:space="preserve"> Journal of the National Cancer Institute, 2006. </w:t>
      </w:r>
      <w:r w:rsidRPr="00942E1A">
        <w:rPr>
          <w:b/>
        </w:rPr>
        <w:t>98</w:t>
      </w:r>
      <w:r w:rsidRPr="00942E1A">
        <w:t>(4): p. 262-72.</w:t>
      </w:r>
    </w:p>
    <w:p w:rsidR="00942E1A" w:rsidRPr="00942E1A" w:rsidRDefault="00942E1A" w:rsidP="00942E1A">
      <w:pPr>
        <w:pStyle w:val="EndNoteBibliography"/>
        <w:ind w:left="720" w:hanging="720"/>
      </w:pPr>
      <w:r w:rsidRPr="00942E1A">
        <w:t>8.</w:t>
      </w:r>
      <w:r w:rsidRPr="00942E1A">
        <w:tab/>
        <w:t xml:space="preserve">Wang, Q., et al., </w:t>
      </w:r>
      <w:r w:rsidRPr="00942E1A">
        <w:rPr>
          <w:i/>
        </w:rPr>
        <w:t>Tumor Evolution of Glioma-Intrinsic Gene Expression Subtypes Associates with Immunological Changes in the Microenvironment.</w:t>
      </w:r>
      <w:r w:rsidRPr="00942E1A">
        <w:t xml:space="preserve"> Cancer cell, 2017. </w:t>
      </w:r>
      <w:r w:rsidRPr="00942E1A">
        <w:rPr>
          <w:b/>
        </w:rPr>
        <w:t>32</w:t>
      </w:r>
      <w:r w:rsidRPr="00942E1A">
        <w:t>(1): p. 42-56.e6.</w:t>
      </w:r>
    </w:p>
    <w:p w:rsidR="00942E1A" w:rsidRPr="00942E1A" w:rsidRDefault="00942E1A" w:rsidP="00942E1A">
      <w:pPr>
        <w:pStyle w:val="EndNoteBibliography"/>
        <w:ind w:left="720" w:hanging="720"/>
      </w:pPr>
      <w:r w:rsidRPr="00942E1A">
        <w:t>9.</w:t>
      </w:r>
      <w:r w:rsidRPr="00942E1A">
        <w:tab/>
        <w:t xml:space="preserve">Lamb, J., et al., </w:t>
      </w:r>
      <w:r w:rsidRPr="00942E1A">
        <w:rPr>
          <w:i/>
        </w:rPr>
        <w:t>The Connectivity Map: using gene-expression signatures to connect small molecules, genes, and disease.</w:t>
      </w:r>
      <w:r w:rsidRPr="00942E1A">
        <w:t xml:space="preserve"> Science (New York, N.Y.), 2006. </w:t>
      </w:r>
      <w:r w:rsidRPr="00942E1A">
        <w:rPr>
          <w:b/>
        </w:rPr>
        <w:t>313</w:t>
      </w:r>
      <w:r w:rsidRPr="00942E1A">
        <w:t>(5795): p. 1929-35.</w:t>
      </w:r>
    </w:p>
    <w:p w:rsidR="00942E1A" w:rsidRPr="00942E1A" w:rsidRDefault="00942E1A" w:rsidP="00942E1A">
      <w:pPr>
        <w:pStyle w:val="EndNoteBibliography"/>
        <w:ind w:left="720" w:hanging="720"/>
      </w:pPr>
      <w:r w:rsidRPr="00942E1A">
        <w:t>10.</w:t>
      </w:r>
      <w:r w:rsidRPr="00942E1A">
        <w:tab/>
        <w:t xml:space="preserve">Subramanian, A., et al., </w:t>
      </w:r>
      <w:r w:rsidRPr="00942E1A">
        <w:rPr>
          <w:i/>
        </w:rPr>
        <w:t>A Next Generation Connectivity Map: L1000 Platform and the First 1,000,000 Profiles.</w:t>
      </w:r>
      <w:r w:rsidRPr="00942E1A">
        <w:t xml:space="preserve"> Cell, 2017. </w:t>
      </w:r>
      <w:r w:rsidRPr="00942E1A">
        <w:rPr>
          <w:b/>
        </w:rPr>
        <w:t>171</w:t>
      </w:r>
      <w:r w:rsidRPr="00942E1A">
        <w:t>(6): p. 1437-1452.e17.</w:t>
      </w:r>
    </w:p>
    <w:p w:rsidR="00EB487E" w:rsidRPr="00C12352" w:rsidRDefault="00C12352" w:rsidP="00524815">
      <w:pPr>
        <w:rPr>
          <w:rFonts w:ascii="Times New Roman" w:hAnsi="Times New Roman" w:cs="Times New Roman"/>
          <w:b/>
          <w:sz w:val="24"/>
          <w:szCs w:val="24"/>
        </w:rPr>
      </w:pPr>
      <w:r w:rsidRPr="00774585">
        <w:rPr>
          <w:rFonts w:ascii="Times New Roman" w:hAnsi="Times New Roman" w:cs="Times New Roman"/>
          <w:b/>
          <w:sz w:val="24"/>
          <w:szCs w:val="24"/>
        </w:rPr>
        <w:fldChar w:fldCharType="end"/>
      </w:r>
    </w:p>
    <w:sectPr w:rsidR="00EB487E" w:rsidRPr="00C12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561" w:rsidRDefault="00BD6561" w:rsidP="005376C3">
      <w:r>
        <w:separator/>
      </w:r>
    </w:p>
  </w:endnote>
  <w:endnote w:type="continuationSeparator" w:id="0">
    <w:p w:rsidR="00BD6561" w:rsidRDefault="00BD6561" w:rsidP="0053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561" w:rsidRDefault="00BD6561" w:rsidP="005376C3">
      <w:r>
        <w:separator/>
      </w:r>
    </w:p>
  </w:footnote>
  <w:footnote w:type="continuationSeparator" w:id="0">
    <w:p w:rsidR="00BD6561" w:rsidRDefault="00BD6561" w:rsidP="00537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0ax059aap2aiefza75zxv30xfp9zes9xsf&quot;&gt;My EndNote Library2&lt;record-ids&gt;&lt;item&gt;31&lt;/item&gt;&lt;item&gt;111&lt;/item&gt;&lt;item&gt;112&lt;/item&gt;&lt;item&gt;113&lt;/item&gt;&lt;item&gt;114&lt;/item&gt;&lt;item&gt;116&lt;/item&gt;&lt;item&gt;117&lt;/item&gt;&lt;item&gt;119&lt;/item&gt;&lt;item&gt;127&lt;/item&gt;&lt;item&gt;128&lt;/item&gt;&lt;/record-ids&gt;&lt;/item&gt;&lt;/Libraries&gt;"/>
  </w:docVars>
  <w:rsids>
    <w:rsidRoot w:val="00524815"/>
    <w:rsid w:val="002E025A"/>
    <w:rsid w:val="003C6E5C"/>
    <w:rsid w:val="004026A0"/>
    <w:rsid w:val="00524815"/>
    <w:rsid w:val="005376C3"/>
    <w:rsid w:val="00680E5E"/>
    <w:rsid w:val="006A157D"/>
    <w:rsid w:val="006D1DE2"/>
    <w:rsid w:val="0073440A"/>
    <w:rsid w:val="0075319C"/>
    <w:rsid w:val="00774585"/>
    <w:rsid w:val="007A526D"/>
    <w:rsid w:val="008055CA"/>
    <w:rsid w:val="008211E6"/>
    <w:rsid w:val="00873F4B"/>
    <w:rsid w:val="009404FA"/>
    <w:rsid w:val="00942E1A"/>
    <w:rsid w:val="009717AC"/>
    <w:rsid w:val="00AC19E2"/>
    <w:rsid w:val="00BD6561"/>
    <w:rsid w:val="00C12352"/>
    <w:rsid w:val="00C24E6F"/>
    <w:rsid w:val="00CA1547"/>
    <w:rsid w:val="00E248E1"/>
    <w:rsid w:val="00EB487E"/>
    <w:rsid w:val="00F2619E"/>
    <w:rsid w:val="00F4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B722"/>
  <w15:chartTrackingRefBased/>
  <w15:docId w15:val="{76969369-E8D9-4FA8-B72A-3AD8ADE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4815"/>
    <w:pPr>
      <w:spacing w:before="40" w:after="40"/>
      <w:outlineLvl w:val="0"/>
    </w:pPr>
    <w:rPr>
      <w:rFonts w:ascii="Times New Roman" w:eastAsia="Times New Roman" w:hAnsi="Times New Roman"/>
      <w:b/>
      <w:bCs/>
      <w:kern w:val="44"/>
      <w:sz w:val="2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815"/>
    <w:rPr>
      <w:rFonts w:ascii="Times New Roman" w:eastAsia="Times New Roman" w:hAnsi="Times New Roman"/>
      <w:b/>
      <w:bCs/>
      <w:kern w:val="44"/>
      <w:sz w:val="24"/>
      <w:szCs w:val="44"/>
    </w:rPr>
  </w:style>
  <w:style w:type="character" w:styleId="a3">
    <w:name w:val="Hyperlink"/>
    <w:basedOn w:val="a0"/>
    <w:uiPriority w:val="99"/>
    <w:unhideWhenUsed/>
    <w:rsid w:val="00EB487E"/>
    <w:rPr>
      <w:color w:val="0563C1" w:themeColor="hyperlink"/>
      <w:u w:val="single"/>
    </w:rPr>
  </w:style>
  <w:style w:type="paragraph" w:customStyle="1" w:styleId="EndNoteBibliographyTitle">
    <w:name w:val="EndNote Bibliography Title"/>
    <w:basedOn w:val="a"/>
    <w:link w:val="EndNoteBibliographyTitle0"/>
    <w:rsid w:val="00C12352"/>
    <w:pPr>
      <w:jc w:val="center"/>
    </w:pPr>
    <w:rPr>
      <w:rFonts w:ascii="等线" w:eastAsia="等线" w:hAnsi="等线"/>
      <w:noProof/>
      <w:sz w:val="20"/>
    </w:rPr>
  </w:style>
  <w:style w:type="character" w:customStyle="1" w:styleId="EndNoteBibliographyTitle0">
    <w:name w:val="EndNote Bibliography Title 字符"/>
    <w:basedOn w:val="10"/>
    <w:link w:val="EndNoteBibliographyTitle"/>
    <w:rsid w:val="00C12352"/>
    <w:rPr>
      <w:rFonts w:ascii="等线" w:eastAsia="等线" w:hAnsi="等线"/>
      <w:b w:val="0"/>
      <w:bCs w:val="0"/>
      <w:noProof/>
      <w:kern w:val="44"/>
      <w:sz w:val="20"/>
      <w:szCs w:val="44"/>
    </w:rPr>
  </w:style>
  <w:style w:type="paragraph" w:customStyle="1" w:styleId="EndNoteBibliography">
    <w:name w:val="EndNote Bibliography"/>
    <w:basedOn w:val="a"/>
    <w:link w:val="EndNoteBibliography0"/>
    <w:rsid w:val="00C12352"/>
    <w:rPr>
      <w:rFonts w:ascii="等线" w:eastAsia="等线" w:hAnsi="等线"/>
      <w:noProof/>
      <w:sz w:val="20"/>
    </w:rPr>
  </w:style>
  <w:style w:type="character" w:customStyle="1" w:styleId="EndNoteBibliography0">
    <w:name w:val="EndNote Bibliography 字符"/>
    <w:basedOn w:val="10"/>
    <w:link w:val="EndNoteBibliography"/>
    <w:rsid w:val="00C12352"/>
    <w:rPr>
      <w:rFonts w:ascii="等线" w:eastAsia="等线" w:hAnsi="等线"/>
      <w:b w:val="0"/>
      <w:bCs w:val="0"/>
      <w:noProof/>
      <w:kern w:val="44"/>
      <w:sz w:val="20"/>
      <w:szCs w:val="44"/>
    </w:rPr>
  </w:style>
  <w:style w:type="paragraph" w:styleId="a4">
    <w:name w:val="header"/>
    <w:basedOn w:val="a"/>
    <w:link w:val="a5"/>
    <w:uiPriority w:val="99"/>
    <w:unhideWhenUsed/>
    <w:rsid w:val="005376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376C3"/>
    <w:rPr>
      <w:sz w:val="18"/>
      <w:szCs w:val="18"/>
    </w:rPr>
  </w:style>
  <w:style w:type="paragraph" w:styleId="a6">
    <w:name w:val="footer"/>
    <w:basedOn w:val="a"/>
    <w:link w:val="a7"/>
    <w:uiPriority w:val="99"/>
    <w:unhideWhenUsed/>
    <w:rsid w:val="005376C3"/>
    <w:pPr>
      <w:tabs>
        <w:tab w:val="center" w:pos="4153"/>
        <w:tab w:val="right" w:pos="8306"/>
      </w:tabs>
      <w:snapToGrid w:val="0"/>
      <w:jc w:val="left"/>
    </w:pPr>
    <w:rPr>
      <w:sz w:val="18"/>
      <w:szCs w:val="18"/>
    </w:rPr>
  </w:style>
  <w:style w:type="character" w:customStyle="1" w:styleId="a7">
    <w:name w:val="页脚 字符"/>
    <w:basedOn w:val="a0"/>
    <w:link w:val="a6"/>
    <w:uiPriority w:val="99"/>
    <w:rsid w:val="005376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cer.gov/tcg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2021-10-12T01:26:00Z</dcterms:created>
  <dcterms:modified xsi:type="dcterms:W3CDTF">2021-10-21T08:38:00Z</dcterms:modified>
</cp:coreProperties>
</file>