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line="400" w:lineRule="atLeast"/>
        <w:rPr>
          <w:rFonts w:ascii="Times New Roman" w:hAnsi="Times New Roman"/>
          <w:b/>
          <w:bCs/>
          <w:sz w:val="24"/>
        </w:rPr>
      </w:pPr>
      <w:r>
        <w:rPr>
          <w:rFonts w:ascii="Times New Roman" w:hAnsi="Times New Roman"/>
          <w:b/>
          <w:bCs/>
          <w:sz w:val="24"/>
        </w:rPr>
        <w:t>Supplementary Figures</w:t>
      </w:r>
    </w:p>
    <w:p>
      <w:pPr>
        <w:spacing w:before="312" w:beforeLines="100" w:after="312" w:afterLines="100" w:line="400" w:lineRule="atLeast"/>
        <w:rPr>
          <w:rFonts w:ascii="Times New Roman" w:hAnsi="Times New Roman"/>
          <w:b/>
          <w:bCs/>
          <w:sz w:val="24"/>
        </w:rPr>
      </w:pPr>
      <w:r>
        <w:rPr>
          <w:rFonts w:ascii="Times New Roman" w:hAnsi="Times New Roman"/>
          <w:b/>
          <w:bCs/>
          <w:sz w:val="24"/>
        </w:rPr>
        <w:drawing>
          <wp:inline distT="0" distB="0" distL="0" distR="0">
            <wp:extent cx="4722495" cy="886460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22495" cy="8864600"/>
                    </a:xfrm>
                    <a:prstGeom prst="rect">
                      <a:avLst/>
                    </a:prstGeom>
                  </pic:spPr>
                </pic:pic>
              </a:graphicData>
            </a:graphic>
          </wp:inline>
        </w:drawing>
      </w:r>
    </w:p>
    <w:p>
      <w:pPr>
        <w:spacing w:before="312" w:beforeLines="100" w:after="312" w:afterLines="100" w:line="400" w:lineRule="atLeast"/>
        <w:rPr>
          <w:rFonts w:ascii="Times New Roman" w:hAnsi="Times New Roman"/>
          <w:b/>
          <w:bCs/>
          <w:sz w:val="24"/>
        </w:rPr>
      </w:pPr>
      <w:r>
        <w:rPr>
          <w:rFonts w:hint="eastAsia" w:ascii="Times New Roman" w:hAnsi="Times New Roman"/>
          <w:b/>
          <w:bCs/>
          <w:sz w:val="24"/>
        </w:rPr>
        <w:t>Figure S1. Mutation characteristics of VSIR in pan-cancer. Mutation frequency (A) and entire mutation count (B) of VSIR in pan-cancer. Mutation profile of VSIR across protein domains (C). The relationship between VSIR set CNV and survival (D). Survival difference between VSIR mutant and WT (E). ACC: Adrenocortical carcinoma; BRCA: Breast invasive carcinoma; CESC: Cervical squamous cell carcinoma and endocervical adenocarcinoma; CHOL: Cholangiocarcinoma; COAD: Colon adenocarcinoma; ESCA: Esophageal carcinoma; GBM: Glioblastoma; HNSCC: Head and neck squamous cell carcinomas; KICH: Kidney chromophobe; KIRC: Kidney renal clear cell carcinoma; KIRP: Kidney renal papillary cell carcinoma;  LAML: Acute myeloid leukemia; LGG: Low-grade glioma; LIHC: Liver hepatocellular carcinoma; LUSC: Lung squamous cell carcinoma; O.V.: Ovarian Cancer; PAAD: Pancreatic adenocarcinoma; PCPG: Pheochromocytoma, and paraganglioma; PRAD: Prostate adenocarcinoma; READ: Rectum adenocarcinoma; SARC: Sarcoma; SKCM: Skin cutaneous melanoma; STAD: Stomach adenocarcinoma; TGCT: Testicular germ cell tumors; THCA: Thyroid carcinoma; THYM: Thymoma; UCS: Uterine carcinosarcoma; UVM: Uveal melanoma; LSCC: laryngeal squamous cell carcinoma; UTUC: upper tract urothelial cancer; PSCC: Penile squamous cell carcinoma.</w:t>
      </w:r>
    </w:p>
    <w:p>
      <w:pPr>
        <w:spacing w:before="312" w:beforeLines="100" w:after="312" w:afterLines="100" w:line="400" w:lineRule="atLeast"/>
        <w:rPr>
          <w:rFonts w:ascii="Times New Roman" w:hAnsi="Times New Roman"/>
          <w:b/>
          <w:bCs/>
          <w:sz w:val="24"/>
        </w:rPr>
      </w:pPr>
      <w:r>
        <w:rPr>
          <w:rFonts w:ascii="Times New Roman" w:hAnsi="Times New Roman"/>
          <w:b/>
          <w:bCs/>
          <w:sz w:val="24"/>
        </w:rPr>
        <w:drawing>
          <wp:inline distT="0" distB="0" distL="0" distR="0">
            <wp:extent cx="5270500" cy="46634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0500" cy="4663440"/>
                    </a:xfrm>
                    <a:prstGeom prst="rect">
                      <a:avLst/>
                    </a:prstGeom>
                  </pic:spPr>
                </pic:pic>
              </a:graphicData>
            </a:graphic>
          </wp:inline>
        </w:drawing>
      </w:r>
    </w:p>
    <w:p>
      <w:pPr>
        <w:spacing w:before="312" w:beforeLines="100" w:after="312" w:afterLines="100" w:line="400" w:lineRule="atLeast"/>
        <w:rPr>
          <w:rFonts w:ascii="Times New Roman" w:hAnsi="Times New Roman"/>
          <w:b/>
          <w:bCs/>
          <w:sz w:val="24"/>
        </w:rPr>
      </w:pPr>
      <w:r>
        <w:rPr>
          <w:rFonts w:hint="eastAsia" w:ascii="Times New Roman" w:hAnsi="Times New Roman"/>
          <w:b/>
          <w:bCs/>
          <w:sz w:val="24"/>
        </w:rPr>
        <w:t xml:space="preserve">Figure S2. KM displayed the predictive value of VSIR on DSS in pan-cancer. </w:t>
      </w:r>
    </w:p>
    <w:p>
      <w:pPr>
        <w:spacing w:before="312" w:beforeLines="100" w:after="312" w:afterLines="100" w:line="400" w:lineRule="atLeast"/>
        <w:rPr>
          <w:rFonts w:ascii="Times New Roman" w:hAnsi="Times New Roman"/>
          <w:b/>
          <w:bCs/>
          <w:sz w:val="24"/>
        </w:rPr>
      </w:pPr>
      <w:r>
        <w:rPr>
          <w:rFonts w:ascii="Times New Roman" w:hAnsi="Times New Roman"/>
          <w:b/>
          <w:bCs/>
          <w:sz w:val="24"/>
        </w:rPr>
        <w:drawing>
          <wp:inline distT="0" distB="0" distL="0" distR="0">
            <wp:extent cx="5270500" cy="52355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0500" cy="5235575"/>
                    </a:xfrm>
                    <a:prstGeom prst="rect">
                      <a:avLst/>
                    </a:prstGeom>
                  </pic:spPr>
                </pic:pic>
              </a:graphicData>
            </a:graphic>
          </wp:inline>
        </w:drawing>
      </w:r>
    </w:p>
    <w:p>
      <w:pPr>
        <w:spacing w:before="312" w:beforeLines="100" w:after="312" w:afterLines="100" w:line="400" w:lineRule="atLeast"/>
        <w:rPr>
          <w:rFonts w:ascii="Times New Roman" w:hAnsi="Times New Roman"/>
          <w:b/>
          <w:bCs/>
          <w:sz w:val="24"/>
        </w:rPr>
      </w:pPr>
      <w:r>
        <w:rPr>
          <w:rFonts w:hint="eastAsia" w:ascii="Times New Roman" w:hAnsi="Times New Roman"/>
          <w:b/>
          <w:bCs/>
          <w:sz w:val="24"/>
        </w:rPr>
        <w:t xml:space="preserve">Figure S3. Relationship between immune score and VSIR expression. </w:t>
      </w:r>
    </w:p>
    <w:p>
      <w:pPr>
        <w:spacing w:before="312" w:beforeLines="100" w:after="312" w:afterLines="100" w:line="400" w:lineRule="atLeast"/>
        <w:rPr>
          <w:rFonts w:ascii="Times New Roman" w:hAnsi="Times New Roman"/>
          <w:b/>
          <w:bCs/>
          <w:sz w:val="24"/>
        </w:rPr>
      </w:pPr>
      <w:r>
        <w:rPr>
          <w:rFonts w:ascii="Times New Roman" w:hAnsi="Times New Roman"/>
          <w:b/>
          <w:bCs/>
          <w:sz w:val="24"/>
        </w:rPr>
        <w:drawing>
          <wp:inline distT="0" distB="0" distL="0" distR="0">
            <wp:extent cx="5270500" cy="5270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00" cy="5270500"/>
                    </a:xfrm>
                    <a:prstGeom prst="rect">
                      <a:avLst/>
                    </a:prstGeom>
                  </pic:spPr>
                </pic:pic>
              </a:graphicData>
            </a:graphic>
          </wp:inline>
        </w:drawing>
      </w:r>
    </w:p>
    <w:p>
      <w:pPr>
        <w:spacing w:before="312" w:beforeLines="100" w:after="312" w:afterLines="100" w:line="400" w:lineRule="atLeast"/>
        <w:rPr>
          <w:rFonts w:ascii="Times New Roman" w:hAnsi="Times New Roman"/>
          <w:b/>
          <w:bCs/>
          <w:sz w:val="24"/>
        </w:rPr>
      </w:pPr>
      <w:r>
        <w:rPr>
          <w:rFonts w:hint="eastAsia" w:ascii="Times New Roman" w:hAnsi="Times New Roman"/>
          <w:b/>
          <w:bCs/>
          <w:sz w:val="24"/>
        </w:rPr>
        <w:t>Figure S4. Relationship between estimate score and VSIR expression.</w:t>
      </w:r>
    </w:p>
    <w:p>
      <w:pPr>
        <w:spacing w:before="312" w:beforeLines="100" w:after="312" w:afterLines="100" w:line="400" w:lineRule="atLeast"/>
        <w:rPr>
          <w:rFonts w:ascii="Times New Roman" w:hAnsi="Times New Roman"/>
          <w:b/>
          <w:bCs/>
          <w:sz w:val="24"/>
        </w:rPr>
      </w:pPr>
      <w:r>
        <w:rPr>
          <w:rFonts w:ascii="Times New Roman" w:hAnsi="Times New Roman"/>
          <w:b/>
          <w:bCs/>
          <w:sz w:val="24"/>
        </w:rPr>
        <w:drawing>
          <wp:inline distT="0" distB="0" distL="0" distR="0">
            <wp:extent cx="5270500" cy="5270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5270500"/>
                    </a:xfrm>
                    <a:prstGeom prst="rect">
                      <a:avLst/>
                    </a:prstGeom>
                  </pic:spPr>
                </pic:pic>
              </a:graphicData>
            </a:graphic>
          </wp:inline>
        </w:drawing>
      </w:r>
    </w:p>
    <w:p>
      <w:pPr>
        <w:spacing w:before="312" w:beforeLines="100" w:after="312" w:afterLines="100" w:line="400" w:lineRule="atLeast"/>
        <w:rPr>
          <w:rFonts w:ascii="Times New Roman" w:hAnsi="Times New Roman"/>
          <w:b/>
          <w:bCs/>
          <w:sz w:val="24"/>
        </w:rPr>
      </w:pPr>
      <w:r>
        <w:rPr>
          <w:rFonts w:hint="eastAsia" w:ascii="Times New Roman" w:hAnsi="Times New Roman"/>
          <w:b/>
          <w:bCs/>
          <w:sz w:val="24"/>
        </w:rPr>
        <w:t>Figure S5. Relationship between stromal score and VSIR expression.</w:t>
      </w:r>
    </w:p>
    <w:p>
      <w:pPr>
        <w:spacing w:before="312" w:beforeLines="100" w:after="312" w:afterLines="100" w:line="400" w:lineRule="atLeast"/>
        <w:rPr>
          <w:rFonts w:ascii="Times New Roman" w:hAnsi="Times New Roman"/>
          <w:b/>
          <w:bCs/>
          <w:sz w:val="24"/>
        </w:rPr>
      </w:pPr>
      <w:r>
        <w:rPr>
          <w:rFonts w:ascii="Times New Roman" w:hAnsi="Times New Roman"/>
          <w:b/>
          <w:bCs/>
          <w:sz w:val="24"/>
        </w:rPr>
        <w:drawing>
          <wp:inline distT="0" distB="0" distL="0" distR="0">
            <wp:extent cx="5270500" cy="83261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8326120"/>
                    </a:xfrm>
                    <a:prstGeom prst="rect">
                      <a:avLst/>
                    </a:prstGeom>
                  </pic:spPr>
                </pic:pic>
              </a:graphicData>
            </a:graphic>
          </wp:inline>
        </w:drawing>
      </w:r>
    </w:p>
    <w:p>
      <w:pPr>
        <w:spacing w:before="312" w:beforeLines="100" w:after="312" w:afterLines="100" w:line="400" w:lineRule="atLeast"/>
        <w:rPr>
          <w:rFonts w:ascii="Times New Roman" w:hAnsi="Times New Roman"/>
          <w:b/>
          <w:bCs/>
          <w:sz w:val="24"/>
        </w:rPr>
      </w:pPr>
      <w:r>
        <w:rPr>
          <w:rFonts w:hint="eastAsia" w:ascii="Times New Roman" w:hAnsi="Times New Roman"/>
          <w:b/>
          <w:bCs/>
          <w:sz w:val="24"/>
        </w:rPr>
        <w:t>Figure S6. Top three cancers that most positively correlated with immune infiltrates in the TME</w:t>
      </w:r>
      <w:r>
        <w:rPr>
          <w:rFonts w:ascii="Times New Roman" w:hAnsi="Times New Roman"/>
          <w:b/>
          <w:bCs/>
          <w:sz w:val="24"/>
        </w:rPr>
        <w:t xml:space="preserve"> (A)</w:t>
      </w:r>
      <w:r>
        <w:rPr>
          <w:rFonts w:hint="eastAsia" w:ascii="Times New Roman" w:hAnsi="Times New Roman"/>
          <w:b/>
          <w:bCs/>
          <w:sz w:val="24"/>
        </w:rPr>
        <w:t>.</w:t>
      </w:r>
      <w:r>
        <w:rPr>
          <w:rFonts w:ascii="Times New Roman" w:hAnsi="Times New Roman"/>
          <w:b/>
          <w:bCs/>
          <w:sz w:val="24"/>
        </w:rPr>
        <w:t xml:space="preserve"> </w:t>
      </w:r>
      <w:r>
        <w:rPr>
          <w:rFonts w:hint="eastAsia" w:ascii="Times New Roman" w:hAnsi="Times New Roman"/>
          <w:b/>
          <w:bCs/>
          <w:sz w:val="24"/>
        </w:rPr>
        <w:t>Correlation between VSIR and infiltrated inflammatory cells analyzed by the immunedeconv algorithm. Immune cell infiltration was analyzed by the CIBERSORT (</w:t>
      </w:r>
      <w:r>
        <w:rPr>
          <w:rFonts w:ascii="Times New Roman" w:hAnsi="Times New Roman"/>
          <w:b/>
          <w:bCs/>
          <w:sz w:val="24"/>
        </w:rPr>
        <w:t>B</w:t>
      </w:r>
      <w:r>
        <w:rPr>
          <w:rFonts w:hint="eastAsia" w:ascii="Times New Roman" w:hAnsi="Times New Roman"/>
          <w:b/>
          <w:bCs/>
          <w:sz w:val="24"/>
        </w:rPr>
        <w:t>) and xCell (</w:t>
      </w:r>
      <w:r>
        <w:rPr>
          <w:rFonts w:ascii="Times New Roman" w:hAnsi="Times New Roman"/>
          <w:b/>
          <w:bCs/>
          <w:sz w:val="24"/>
        </w:rPr>
        <w:t>C</w:t>
      </w:r>
      <w:r>
        <w:rPr>
          <w:rFonts w:hint="eastAsia" w:ascii="Times New Roman" w:hAnsi="Times New Roman"/>
          <w:b/>
          <w:bCs/>
          <w:sz w:val="24"/>
        </w:rPr>
        <w:t>) algorithms. *p&lt; 0.05, **p &lt; 0.01, ***p &lt; 0.001.</w:t>
      </w:r>
    </w:p>
    <w:p>
      <w:pPr>
        <w:spacing w:before="312" w:beforeLines="100" w:after="312" w:afterLines="100" w:line="400" w:lineRule="atLeast"/>
        <w:rPr>
          <w:rFonts w:ascii="Times New Roman" w:hAnsi="Times New Roman"/>
          <w:b/>
          <w:bCs/>
          <w:sz w:val="24"/>
        </w:rPr>
      </w:pPr>
      <w:r>
        <w:rPr>
          <w:rFonts w:ascii="Times New Roman" w:hAnsi="Times New Roman"/>
          <w:b/>
          <w:bCs/>
          <w:sz w:val="24"/>
        </w:rPr>
        <w:drawing>
          <wp:inline distT="0" distB="0" distL="0" distR="0">
            <wp:extent cx="5270500" cy="76155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7615555"/>
                    </a:xfrm>
                    <a:prstGeom prst="rect">
                      <a:avLst/>
                    </a:prstGeom>
                  </pic:spPr>
                </pic:pic>
              </a:graphicData>
            </a:graphic>
          </wp:inline>
        </w:drawing>
      </w:r>
    </w:p>
    <w:p>
      <w:pPr>
        <w:spacing w:before="312" w:beforeLines="100" w:after="312" w:afterLines="100" w:line="400" w:lineRule="atLeast"/>
        <w:rPr>
          <w:rFonts w:ascii="Times New Roman" w:hAnsi="Times New Roman"/>
          <w:b/>
          <w:bCs/>
          <w:sz w:val="24"/>
        </w:rPr>
      </w:pPr>
      <w:r>
        <w:rPr>
          <w:rFonts w:hint="eastAsia" w:ascii="Times New Roman" w:hAnsi="Times New Roman"/>
          <w:b/>
          <w:bCs/>
          <w:sz w:val="24"/>
        </w:rPr>
        <w:t>Figure S</w:t>
      </w:r>
      <w:r>
        <w:rPr>
          <w:rFonts w:ascii="Times New Roman" w:hAnsi="Times New Roman"/>
          <w:b/>
          <w:bCs/>
          <w:sz w:val="24"/>
        </w:rPr>
        <w:t>7</w:t>
      </w:r>
      <w:r>
        <w:rPr>
          <w:rFonts w:hint="eastAsia" w:ascii="Times New Roman" w:hAnsi="Times New Roman"/>
          <w:b/>
          <w:bCs/>
          <w:sz w:val="24"/>
        </w:rPr>
        <w:t>. Relationship between VSIR levels and immune checkpoints. The correlation between VSIR expression and other immune checkpoints is based on the sangerbox (A) and immunedeconv (B) algorithms. p&lt; 0.05, **p &lt; 0.01, ***p &lt; 0.001.</w:t>
      </w:r>
    </w:p>
    <w:p>
      <w:pPr>
        <w:spacing w:before="312" w:beforeLines="100" w:after="312" w:afterLines="100" w:line="400" w:lineRule="atLeast"/>
        <w:rPr>
          <w:rFonts w:ascii="Times New Roman" w:hAnsi="Times New Roman"/>
          <w:b/>
          <w:bCs/>
          <w:sz w:val="24"/>
        </w:rPr>
      </w:pPr>
      <w:r>
        <w:rPr>
          <w:rFonts w:ascii="Times New Roman" w:hAnsi="Times New Roman"/>
          <w:b/>
          <w:bCs/>
          <w:sz w:val="24"/>
        </w:rPr>
        <w:drawing>
          <wp:inline distT="0" distB="0" distL="0" distR="0">
            <wp:extent cx="5270500" cy="73298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7329805"/>
                    </a:xfrm>
                    <a:prstGeom prst="rect">
                      <a:avLst/>
                    </a:prstGeom>
                  </pic:spPr>
                </pic:pic>
              </a:graphicData>
            </a:graphic>
          </wp:inline>
        </w:drawing>
      </w:r>
    </w:p>
    <w:p>
      <w:pPr>
        <w:spacing w:before="312" w:beforeLines="100" w:after="312" w:afterLines="100" w:line="400" w:lineRule="atLeast"/>
        <w:rPr>
          <w:rFonts w:ascii="Times New Roman" w:hAnsi="Times New Roman"/>
          <w:b/>
          <w:bCs/>
          <w:sz w:val="24"/>
        </w:rPr>
      </w:pPr>
      <w:r>
        <w:rPr>
          <w:rFonts w:hint="eastAsia" w:ascii="Times New Roman" w:hAnsi="Times New Roman"/>
          <w:b/>
          <w:bCs/>
          <w:sz w:val="24"/>
        </w:rPr>
        <w:t>Figure S</w:t>
      </w:r>
      <w:r>
        <w:rPr>
          <w:rFonts w:ascii="Times New Roman" w:hAnsi="Times New Roman"/>
          <w:b/>
          <w:bCs/>
          <w:sz w:val="24"/>
        </w:rPr>
        <w:t>8</w:t>
      </w:r>
      <w:r>
        <w:rPr>
          <w:rFonts w:hint="eastAsia" w:ascii="Times New Roman" w:hAnsi="Times New Roman"/>
          <w:b/>
          <w:bCs/>
          <w:sz w:val="24"/>
        </w:rPr>
        <w:t xml:space="preserve">. </w:t>
      </w:r>
      <w:r>
        <w:rPr>
          <w:rFonts w:ascii="Times New Roman" w:hAnsi="Times New Roman"/>
          <w:b/>
          <w:bCs/>
          <w:sz w:val="24"/>
        </w:rPr>
        <w:t xml:space="preserve">Relationship between </w:t>
      </w:r>
      <w:r>
        <w:rPr>
          <w:rFonts w:hint="eastAsia" w:ascii="Times New Roman" w:hAnsi="Times New Roman"/>
          <w:b/>
          <w:bCs/>
          <w:sz w:val="24"/>
        </w:rPr>
        <w:t>VSIR</w:t>
      </w:r>
      <w:r>
        <w:rPr>
          <w:rFonts w:ascii="Times New Roman" w:hAnsi="Times New Roman"/>
          <w:b/>
          <w:bCs/>
          <w:sz w:val="24"/>
        </w:rPr>
        <w:t xml:space="preserve"> expression and MSI</w:t>
      </w:r>
      <w:r>
        <w:rPr>
          <w:rFonts w:hint="eastAsia" w:ascii="Times New Roman" w:hAnsi="Times New Roman"/>
          <w:b/>
          <w:bCs/>
          <w:sz w:val="24"/>
        </w:rPr>
        <w:t xml:space="preserve">, </w:t>
      </w:r>
      <w:r>
        <w:rPr>
          <w:rFonts w:ascii="Times New Roman" w:hAnsi="Times New Roman"/>
          <w:b/>
          <w:bCs/>
          <w:sz w:val="24"/>
        </w:rPr>
        <w:t>TMB</w:t>
      </w:r>
      <w:r>
        <w:rPr>
          <w:rFonts w:hint="eastAsia" w:ascii="Times New Roman" w:hAnsi="Times New Roman"/>
          <w:b/>
          <w:bCs/>
          <w:sz w:val="24"/>
        </w:rPr>
        <w:t xml:space="preserve">, and MMRs </w:t>
      </w:r>
      <w:r>
        <w:rPr>
          <w:rFonts w:ascii="Times New Roman" w:hAnsi="Times New Roman"/>
          <w:b/>
          <w:bCs/>
          <w:sz w:val="24"/>
        </w:rPr>
        <w:t xml:space="preserve">in pan-cancer. The relationship between </w:t>
      </w:r>
      <w:r>
        <w:rPr>
          <w:rFonts w:hint="eastAsia" w:ascii="Times New Roman" w:hAnsi="Times New Roman"/>
          <w:b/>
          <w:bCs/>
          <w:sz w:val="24"/>
        </w:rPr>
        <w:t>VSIR</w:t>
      </w:r>
      <w:r>
        <w:rPr>
          <w:rFonts w:ascii="Times New Roman" w:hAnsi="Times New Roman"/>
          <w:b/>
          <w:bCs/>
          <w:sz w:val="24"/>
        </w:rPr>
        <w:t xml:space="preserve"> expression and MSI is displayed by the forest plot (A) and radar chart (</w:t>
      </w:r>
      <w:r>
        <w:rPr>
          <w:rFonts w:hint="eastAsia" w:ascii="Times New Roman" w:hAnsi="Times New Roman"/>
          <w:b/>
          <w:bCs/>
          <w:sz w:val="24"/>
        </w:rPr>
        <w:t>C</w:t>
      </w:r>
      <w:r>
        <w:rPr>
          <w:rFonts w:ascii="Times New Roman" w:hAnsi="Times New Roman"/>
          <w:b/>
          <w:bCs/>
          <w:sz w:val="24"/>
        </w:rPr>
        <w:t xml:space="preserve">). Relationship between </w:t>
      </w:r>
      <w:r>
        <w:rPr>
          <w:rFonts w:hint="eastAsia" w:ascii="Times New Roman" w:hAnsi="Times New Roman"/>
          <w:b/>
          <w:bCs/>
          <w:sz w:val="24"/>
        </w:rPr>
        <w:t>VSIR</w:t>
      </w:r>
      <w:r>
        <w:rPr>
          <w:rFonts w:ascii="Times New Roman" w:hAnsi="Times New Roman"/>
          <w:b/>
          <w:bCs/>
          <w:sz w:val="24"/>
        </w:rPr>
        <w:t xml:space="preserve"> expression and TMB displayed by the forest plot (</w:t>
      </w:r>
      <w:r>
        <w:rPr>
          <w:rFonts w:hint="eastAsia" w:ascii="Times New Roman" w:hAnsi="Times New Roman"/>
          <w:b/>
          <w:bCs/>
          <w:sz w:val="24"/>
        </w:rPr>
        <w:t>B</w:t>
      </w:r>
      <w:r>
        <w:rPr>
          <w:rFonts w:ascii="Times New Roman" w:hAnsi="Times New Roman"/>
          <w:b/>
          <w:bCs/>
          <w:sz w:val="24"/>
        </w:rPr>
        <w:t xml:space="preserve">) and radar chart (D). Relationship between </w:t>
      </w:r>
      <w:r>
        <w:rPr>
          <w:rFonts w:hint="eastAsia" w:ascii="Times New Roman" w:hAnsi="Times New Roman"/>
          <w:b/>
          <w:bCs/>
          <w:sz w:val="24"/>
        </w:rPr>
        <w:t>VSIR</w:t>
      </w:r>
      <w:r>
        <w:rPr>
          <w:rFonts w:ascii="Times New Roman" w:hAnsi="Times New Roman"/>
          <w:b/>
          <w:bCs/>
          <w:sz w:val="24"/>
        </w:rPr>
        <w:t xml:space="preserve"> expression and </w:t>
      </w:r>
      <w:r>
        <w:rPr>
          <w:rFonts w:hint="eastAsia" w:ascii="Times New Roman" w:hAnsi="Times New Roman"/>
          <w:b/>
          <w:bCs/>
          <w:sz w:val="24"/>
        </w:rPr>
        <w:t>MMRs</w:t>
      </w:r>
      <w:r>
        <w:rPr>
          <w:rFonts w:ascii="Times New Roman" w:hAnsi="Times New Roman"/>
          <w:b/>
          <w:bCs/>
          <w:sz w:val="24"/>
        </w:rPr>
        <w:t xml:space="preserve"> (E). </w:t>
      </w:r>
      <w:r>
        <w:rPr>
          <w:rFonts w:hint="eastAsia" w:ascii="Times New Roman" w:hAnsi="Times New Roman"/>
          <w:b/>
          <w:bCs/>
          <w:sz w:val="24"/>
        </w:rPr>
        <w:t>p&lt; 0.05, **p &lt; 0.01, ***p &lt; 0.001.</w:t>
      </w:r>
    </w:p>
    <w:p>
      <w:pPr>
        <w:spacing w:before="312" w:beforeLines="100" w:after="312" w:afterLines="100" w:line="400" w:lineRule="atLeast"/>
        <w:rPr>
          <w:rFonts w:ascii="Times New Roman" w:hAnsi="Times New Roman"/>
          <w:b/>
          <w:bCs/>
          <w:sz w:val="24"/>
        </w:rPr>
      </w:pPr>
      <w:r>
        <w:rPr>
          <w:rFonts w:ascii="Times New Roman" w:hAnsi="Times New Roman"/>
          <w:b/>
          <w:bCs/>
          <w:sz w:val="24"/>
        </w:rPr>
        <w:drawing>
          <wp:inline distT="0" distB="0" distL="0" distR="0">
            <wp:extent cx="5270500" cy="665289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6652895"/>
                    </a:xfrm>
                    <a:prstGeom prst="rect">
                      <a:avLst/>
                    </a:prstGeom>
                  </pic:spPr>
                </pic:pic>
              </a:graphicData>
            </a:graphic>
          </wp:inline>
        </w:drawing>
      </w:r>
    </w:p>
    <w:p>
      <w:pPr>
        <w:spacing w:before="312" w:beforeLines="100" w:after="312" w:afterLines="100" w:line="400" w:lineRule="atLeast"/>
        <w:rPr>
          <w:rFonts w:ascii="Times New Roman" w:hAnsi="Times New Roman"/>
          <w:b/>
          <w:bCs/>
          <w:sz w:val="24"/>
        </w:rPr>
      </w:pPr>
      <w:r>
        <w:rPr>
          <w:rFonts w:hint="eastAsia" w:ascii="Times New Roman" w:hAnsi="Times New Roman"/>
          <w:b/>
          <w:bCs/>
          <w:sz w:val="24"/>
        </w:rPr>
        <w:t>Figure S</w:t>
      </w:r>
      <w:r>
        <w:rPr>
          <w:rFonts w:ascii="Times New Roman" w:hAnsi="Times New Roman"/>
          <w:b/>
          <w:bCs/>
          <w:sz w:val="24"/>
        </w:rPr>
        <w:t>9</w:t>
      </w:r>
      <w:r>
        <w:rPr>
          <w:rFonts w:hint="eastAsia" w:ascii="Times New Roman" w:hAnsi="Times New Roman"/>
          <w:b/>
          <w:bCs/>
          <w:sz w:val="24"/>
        </w:rPr>
        <w:t xml:space="preserve">. Relationship between VSIR levels and neoantigens in pan-cancer. </w:t>
      </w:r>
    </w:p>
    <w:p>
      <w:pPr>
        <w:spacing w:before="312" w:beforeLines="100" w:after="312" w:afterLines="100" w:line="400" w:lineRule="atLeast"/>
        <w:rPr>
          <w:rFonts w:hint="eastAsia" w:ascii="Times New Roman" w:hAnsi="Times New Roman" w:eastAsiaTheme="minorEastAsia"/>
          <w:b/>
          <w:bCs/>
          <w:color w:val="FF0000"/>
          <w:sz w:val="24"/>
          <w:lang w:eastAsia="zh-CN"/>
        </w:rPr>
      </w:pPr>
      <w:r>
        <w:rPr>
          <w:rFonts w:hint="eastAsia" w:ascii="Times New Roman" w:hAnsi="Times New Roman" w:eastAsiaTheme="minorEastAsia"/>
          <w:b/>
          <w:bCs/>
          <w:color w:val="FF0000"/>
          <w:sz w:val="24"/>
          <w:lang w:eastAsia="zh-CN"/>
        </w:rPr>
        <w:drawing>
          <wp:inline distT="0" distB="0" distL="114300" distR="114300">
            <wp:extent cx="5266055" cy="5003800"/>
            <wp:effectExtent l="0" t="0" r="6985" b="10160"/>
            <wp:docPr id="11" name="图片 11" descr="Figure 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S10"/>
                    <pic:cNvPicPr>
                      <a:picLocks noChangeAspect="1"/>
                    </pic:cNvPicPr>
                  </pic:nvPicPr>
                  <pic:blipFill>
                    <a:blip r:embed="rId13"/>
                    <a:stretch>
                      <a:fillRect/>
                    </a:stretch>
                  </pic:blipFill>
                  <pic:spPr>
                    <a:xfrm>
                      <a:off x="0" y="0"/>
                      <a:ext cx="5266055" cy="5003800"/>
                    </a:xfrm>
                    <a:prstGeom prst="rect">
                      <a:avLst/>
                    </a:prstGeom>
                  </pic:spPr>
                </pic:pic>
              </a:graphicData>
            </a:graphic>
          </wp:inline>
        </w:drawing>
      </w:r>
    </w:p>
    <w:p>
      <w:pPr>
        <w:spacing w:before="312" w:beforeLines="100" w:after="312" w:afterLines="100" w:line="400" w:lineRule="atLeast"/>
        <w:rPr>
          <w:rFonts w:ascii="Times New Roman" w:hAnsi="Times New Roman"/>
          <w:b/>
          <w:bCs/>
          <w:color w:val="FF0000"/>
          <w:sz w:val="24"/>
        </w:rPr>
      </w:pPr>
      <w:r>
        <w:rPr>
          <w:rFonts w:hint="eastAsia" w:ascii="Times New Roman" w:hAnsi="Times New Roman"/>
          <w:b/>
          <w:bCs/>
          <w:color w:val="FF0000"/>
          <w:sz w:val="24"/>
        </w:rPr>
        <w:t>Figure S10. Role of VSIR in pan-cancer regarding VSIR expression, prognostic role, and association with tumor immunity</w:t>
      </w:r>
      <w:r>
        <w:rPr>
          <w:rFonts w:hint="eastAsia" w:ascii="Times New Roman" w:hAnsi="Times New Roman"/>
          <w:b/>
          <w:bCs/>
          <w:color w:val="FF0000"/>
          <w:sz w:val="24"/>
          <w:lang w:val="en-US" w:eastAsia="zh-CN"/>
        </w:rPr>
        <w:t xml:space="preserve"> in CESC (A), COAD (B), ESCA (C), KICH (D), KIRP (E), LAML (F), LIHC (G), LUSC (H), MESO (I), OV (J), READ (K), SARC (L), SKCM (M), THCA (N), and THYM (O)</w:t>
      </w:r>
      <w:r>
        <w:rPr>
          <w:rFonts w:hint="eastAsia" w:ascii="Times New Roman" w:hAnsi="Times New Roman"/>
          <w:b/>
          <w:bCs/>
          <w:color w:val="FF0000"/>
          <w:sz w:val="24"/>
        </w:rPr>
        <w:t xml:space="preserve">. </w:t>
      </w:r>
    </w:p>
    <w:p>
      <w:pPr>
        <w:spacing w:before="312" w:beforeLines="100" w:after="312" w:afterLines="100" w:line="400" w:lineRule="atLeast"/>
        <w:rPr>
          <w:rFonts w:hint="eastAsia" w:ascii="Times New Roman" w:hAnsi="Times New Roman" w:eastAsiaTheme="minorEastAsia"/>
          <w:b/>
          <w:bCs/>
          <w:sz w:val="24"/>
          <w:lang w:eastAsia="zh-CN"/>
        </w:rPr>
      </w:pPr>
      <w:r>
        <w:rPr>
          <w:rFonts w:hint="eastAsia" w:ascii="Times New Roman" w:hAnsi="Times New Roman" w:eastAsiaTheme="minorEastAsia"/>
          <w:b/>
          <w:bCs/>
          <w:sz w:val="24"/>
          <w:lang w:eastAsia="zh-CN"/>
        </w:rPr>
        <w:drawing>
          <wp:inline distT="0" distB="0" distL="114300" distR="114300">
            <wp:extent cx="5266690" cy="4502150"/>
            <wp:effectExtent l="0" t="0" r="6350" b="8890"/>
            <wp:docPr id="10" name="图片 10" descr="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11"/>
                    <pic:cNvPicPr>
                      <a:picLocks noChangeAspect="1"/>
                    </pic:cNvPicPr>
                  </pic:nvPicPr>
                  <pic:blipFill>
                    <a:blip r:embed="rId14"/>
                    <a:stretch>
                      <a:fillRect/>
                    </a:stretch>
                  </pic:blipFill>
                  <pic:spPr>
                    <a:xfrm>
                      <a:off x="0" y="0"/>
                      <a:ext cx="5266690" cy="4502150"/>
                    </a:xfrm>
                    <a:prstGeom prst="rect">
                      <a:avLst/>
                    </a:prstGeom>
                  </pic:spPr>
                </pic:pic>
              </a:graphicData>
            </a:graphic>
          </wp:inline>
        </w:drawing>
      </w:r>
    </w:p>
    <w:p>
      <w:pPr>
        <w:spacing w:before="312" w:beforeLines="100" w:after="312" w:afterLines="100" w:line="400" w:lineRule="atLeast"/>
        <w:rPr>
          <w:rFonts w:ascii="Times New Roman" w:hAnsi="Times New Roman"/>
          <w:b/>
          <w:bCs/>
          <w:sz w:val="24"/>
        </w:rPr>
      </w:pPr>
      <w:r>
        <w:rPr>
          <w:rFonts w:hint="eastAsia" w:ascii="Times New Roman" w:hAnsi="Times New Roman"/>
          <w:b/>
          <w:bCs/>
          <w:sz w:val="24"/>
        </w:rPr>
        <w:t>Figure S</w:t>
      </w:r>
      <w:r>
        <w:rPr>
          <w:rFonts w:ascii="Times New Roman" w:hAnsi="Times New Roman"/>
          <w:b/>
          <w:bCs/>
          <w:sz w:val="24"/>
        </w:rPr>
        <w:t>1</w:t>
      </w:r>
      <w:r>
        <w:rPr>
          <w:rFonts w:hint="eastAsia" w:ascii="Times New Roman" w:hAnsi="Times New Roman"/>
          <w:b/>
          <w:bCs/>
          <w:sz w:val="24"/>
        </w:rPr>
        <w:t xml:space="preserve">1. Single-cell sequencing analysis of VSIR in the TME. The relationship between VSIR levels and cancer cells and stromal cells in BRCA (A), COAD (B), LIHC (C), and STAD (D). </w:t>
      </w:r>
    </w:p>
    <w:p>
      <w:pPr>
        <w:spacing w:before="312" w:beforeLines="100" w:after="312" w:afterLines="100" w:line="400" w:lineRule="atLeast"/>
        <w:rPr>
          <w:rFonts w:ascii="Times New Roman" w:hAnsi="Times New Roman"/>
          <w:b/>
          <w:bCs/>
          <w:sz w:val="24"/>
        </w:rPr>
      </w:pPr>
      <w:bookmarkStart w:id="0" w:name="_GoBack"/>
      <w:bookmarkEnd w:id="0"/>
    </w:p>
    <w:p>
      <w:pPr>
        <w:widowControl/>
        <w:jc w:val="left"/>
        <w:rPr>
          <w:rFonts w:ascii="Times New Roman" w:hAnsi="Times New Roman"/>
          <w:b/>
          <w:bCs/>
          <w:sz w:val="24"/>
        </w:rPr>
      </w:pPr>
      <w:r>
        <w:rPr>
          <w:rFonts w:ascii="Times New Roman" w:hAnsi="Times New Roman"/>
          <w:b/>
          <w:bCs/>
          <w:sz w:val="24"/>
        </w:rPr>
        <w:br w:type="page"/>
      </w:r>
    </w:p>
    <w:p>
      <w:pPr>
        <w:spacing w:before="312" w:beforeLines="100" w:after="312" w:afterLines="100" w:line="400" w:lineRule="atLeast"/>
        <w:rPr>
          <w:rFonts w:ascii="Times New Roman" w:hAnsi="Times New Roman"/>
          <w:b/>
          <w:bCs/>
          <w:sz w:val="24"/>
        </w:rPr>
      </w:pPr>
      <w:r>
        <w:rPr>
          <w:rFonts w:hint="eastAsia" w:ascii="Times New Roman" w:hAnsi="Times New Roman"/>
          <w:b/>
          <w:bCs/>
          <w:sz w:val="24"/>
        </w:rPr>
        <w:t>S</w:t>
      </w:r>
      <w:r>
        <w:rPr>
          <w:rFonts w:ascii="Times New Roman" w:hAnsi="Times New Roman"/>
          <w:b/>
          <w:bCs/>
          <w:sz w:val="24"/>
        </w:rPr>
        <w:t>upplementary tables</w:t>
      </w:r>
    </w:p>
    <w:p>
      <w:pPr>
        <w:spacing w:before="312" w:beforeLines="100" w:after="312" w:afterLines="100" w:line="400" w:lineRule="atLeast"/>
        <w:rPr>
          <w:rFonts w:ascii="Times New Roman" w:hAnsi="Times New Roman"/>
          <w:b/>
          <w:bCs/>
          <w:sz w:val="24"/>
        </w:rPr>
      </w:pPr>
      <w:r>
        <w:rPr>
          <w:rFonts w:ascii="Times New Roman" w:hAnsi="Times New Roman"/>
          <w:b/>
          <w:bCs/>
          <w:sz w:val="24"/>
        </w:rPr>
        <w:t>Table</w:t>
      </w:r>
      <w:r>
        <w:rPr>
          <w:rFonts w:hint="eastAsia" w:ascii="Times New Roman" w:hAnsi="Times New Roman"/>
          <w:b/>
          <w:bCs/>
          <w:sz w:val="24"/>
        </w:rPr>
        <w:t xml:space="preserve"> S1. Detailed information of survival difference between gene set CNV and wide type in pan-cancer.</w:t>
      </w:r>
    </w:p>
    <w:p>
      <w:pPr>
        <w:spacing w:before="312" w:beforeLines="100" w:after="312" w:afterLines="100" w:line="400" w:lineRule="atLeast"/>
        <w:jc w:val="left"/>
        <w:rPr>
          <w:rFonts w:ascii="Times New Roman" w:hAnsi="Times New Roman"/>
          <w:b/>
          <w:bCs/>
          <w:sz w:val="24"/>
        </w:rPr>
      </w:pPr>
      <w:r>
        <w:rPr>
          <w:rFonts w:ascii="Times New Roman" w:hAnsi="Times New Roman"/>
          <w:b/>
          <w:bCs/>
          <w:sz w:val="24"/>
        </w:rPr>
        <w:t>Table</w:t>
      </w:r>
      <w:r>
        <w:rPr>
          <w:rFonts w:hint="eastAsia" w:ascii="Times New Roman" w:hAnsi="Times New Roman"/>
          <w:b/>
          <w:bCs/>
          <w:sz w:val="24"/>
        </w:rPr>
        <w:t xml:space="preserve"> S</w:t>
      </w:r>
      <w:r>
        <w:rPr>
          <w:rFonts w:ascii="Times New Roman" w:hAnsi="Times New Roman"/>
          <w:b/>
          <w:bCs/>
          <w:sz w:val="24"/>
        </w:rPr>
        <w:t>2.</w:t>
      </w:r>
      <w:r>
        <w:rPr>
          <w:rFonts w:hint="eastAsia" w:ascii="Times New Roman" w:hAnsi="Times New Roman"/>
          <w:b/>
          <w:bCs/>
          <w:sz w:val="24"/>
        </w:rPr>
        <w:t xml:space="preserve"> Detailed information of survival difference between gene set mutant (deleterious) and wide type in pan-cancer.</w:t>
      </w:r>
    </w:p>
    <w:p>
      <w:pPr>
        <w:spacing w:before="312" w:beforeLines="100" w:after="312" w:afterLines="100" w:line="400" w:lineRule="atLeast"/>
        <w:jc w:val="left"/>
        <w:rPr>
          <w:rFonts w:ascii="Times New Roman" w:hAnsi="Times New Roman"/>
          <w:b/>
          <w:bCs/>
          <w:sz w:val="24"/>
        </w:rPr>
      </w:pPr>
      <w:r>
        <w:rPr>
          <w:rFonts w:hint="eastAsia" w:ascii="Times New Roman" w:hAnsi="Times New Roman"/>
          <w:b/>
          <w:bCs/>
          <w:sz w:val="24"/>
        </w:rPr>
        <w:t xml:space="preserve">Table S3. The correlation between VSIR expression and the sensitivity of GDSC drugs (top 30) in pan-cancer. </w:t>
      </w:r>
    </w:p>
    <w:p>
      <w:pPr>
        <w:spacing w:before="312" w:beforeLines="100" w:after="312" w:afterLines="100" w:line="400" w:lineRule="atLeast"/>
        <w:jc w:val="left"/>
        <w:rPr>
          <w:rFonts w:ascii="Times New Roman" w:hAnsi="Times New Roman"/>
          <w:b/>
          <w:bCs/>
          <w:sz w:val="28"/>
          <w:szCs w:val="28"/>
        </w:rPr>
      </w:pPr>
      <w:r>
        <w:rPr>
          <w:rFonts w:hint="eastAsia" w:ascii="Times New Roman" w:hAnsi="Times New Roman"/>
          <w:b/>
          <w:bCs/>
          <w:sz w:val="24"/>
        </w:rPr>
        <w:t>Table S4. The correlation between VSIR expression and the sensitivity of CTRP drugs (top 30) in pan-cancer.</w:t>
      </w:r>
    </w:p>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054"/>
    <w:rsid w:val="00001196"/>
    <w:rsid w:val="00001CC4"/>
    <w:rsid w:val="00011C11"/>
    <w:rsid w:val="0001211C"/>
    <w:rsid w:val="00012402"/>
    <w:rsid w:val="00034CB0"/>
    <w:rsid w:val="0004636F"/>
    <w:rsid w:val="0005469E"/>
    <w:rsid w:val="0005565F"/>
    <w:rsid w:val="00062DAA"/>
    <w:rsid w:val="00065A72"/>
    <w:rsid w:val="0006688A"/>
    <w:rsid w:val="00076F9F"/>
    <w:rsid w:val="00080205"/>
    <w:rsid w:val="00081D00"/>
    <w:rsid w:val="00085CD0"/>
    <w:rsid w:val="000A55C9"/>
    <w:rsid w:val="000B3E17"/>
    <w:rsid w:val="000B6261"/>
    <w:rsid w:val="000C71F8"/>
    <w:rsid w:val="000E0645"/>
    <w:rsid w:val="000E3BD5"/>
    <w:rsid w:val="000E794A"/>
    <w:rsid w:val="000F7B24"/>
    <w:rsid w:val="0011067F"/>
    <w:rsid w:val="0013007E"/>
    <w:rsid w:val="00153607"/>
    <w:rsid w:val="0015403B"/>
    <w:rsid w:val="0015606C"/>
    <w:rsid w:val="001611EA"/>
    <w:rsid w:val="0016348C"/>
    <w:rsid w:val="0016656E"/>
    <w:rsid w:val="00187DBB"/>
    <w:rsid w:val="00194284"/>
    <w:rsid w:val="00197D6F"/>
    <w:rsid w:val="001A3D7F"/>
    <w:rsid w:val="001A65B1"/>
    <w:rsid w:val="001A7101"/>
    <w:rsid w:val="001D1734"/>
    <w:rsid w:val="001D35ED"/>
    <w:rsid w:val="001F24CD"/>
    <w:rsid w:val="00204755"/>
    <w:rsid w:val="00213DF4"/>
    <w:rsid w:val="00214906"/>
    <w:rsid w:val="00225985"/>
    <w:rsid w:val="00225C1A"/>
    <w:rsid w:val="00233549"/>
    <w:rsid w:val="0024312C"/>
    <w:rsid w:val="00251857"/>
    <w:rsid w:val="00256F93"/>
    <w:rsid w:val="0027267E"/>
    <w:rsid w:val="00272841"/>
    <w:rsid w:val="00276D32"/>
    <w:rsid w:val="00277536"/>
    <w:rsid w:val="0028003B"/>
    <w:rsid w:val="00280910"/>
    <w:rsid w:val="00285643"/>
    <w:rsid w:val="0028756A"/>
    <w:rsid w:val="002929F0"/>
    <w:rsid w:val="002936B1"/>
    <w:rsid w:val="00296D45"/>
    <w:rsid w:val="002A67CC"/>
    <w:rsid w:val="002A74DE"/>
    <w:rsid w:val="002A79D7"/>
    <w:rsid w:val="002B5E95"/>
    <w:rsid w:val="002B602B"/>
    <w:rsid w:val="002B6879"/>
    <w:rsid w:val="002C31EE"/>
    <w:rsid w:val="002C406B"/>
    <w:rsid w:val="002C65EA"/>
    <w:rsid w:val="002D68F7"/>
    <w:rsid w:val="002E7C4E"/>
    <w:rsid w:val="002F5758"/>
    <w:rsid w:val="00305242"/>
    <w:rsid w:val="003216F5"/>
    <w:rsid w:val="0032401D"/>
    <w:rsid w:val="00333E00"/>
    <w:rsid w:val="00342FF8"/>
    <w:rsid w:val="00353CA3"/>
    <w:rsid w:val="00361B4F"/>
    <w:rsid w:val="00366D3E"/>
    <w:rsid w:val="00380C31"/>
    <w:rsid w:val="00393669"/>
    <w:rsid w:val="003937AA"/>
    <w:rsid w:val="00395B85"/>
    <w:rsid w:val="00396E96"/>
    <w:rsid w:val="003A3DC4"/>
    <w:rsid w:val="003B421D"/>
    <w:rsid w:val="003D4245"/>
    <w:rsid w:val="0042374A"/>
    <w:rsid w:val="00424B8E"/>
    <w:rsid w:val="00424E1D"/>
    <w:rsid w:val="004262DB"/>
    <w:rsid w:val="0042764E"/>
    <w:rsid w:val="00434DA7"/>
    <w:rsid w:val="00435A7F"/>
    <w:rsid w:val="00436822"/>
    <w:rsid w:val="00443E3D"/>
    <w:rsid w:val="00446F29"/>
    <w:rsid w:val="00450D02"/>
    <w:rsid w:val="00453E19"/>
    <w:rsid w:val="00463D41"/>
    <w:rsid w:val="00465D28"/>
    <w:rsid w:val="00465FE4"/>
    <w:rsid w:val="00466A2E"/>
    <w:rsid w:val="0047468A"/>
    <w:rsid w:val="0047627D"/>
    <w:rsid w:val="00477BFB"/>
    <w:rsid w:val="004879DE"/>
    <w:rsid w:val="004909B3"/>
    <w:rsid w:val="00490ADD"/>
    <w:rsid w:val="004946CD"/>
    <w:rsid w:val="00495A21"/>
    <w:rsid w:val="00496C27"/>
    <w:rsid w:val="004A4E0B"/>
    <w:rsid w:val="004A7631"/>
    <w:rsid w:val="004B2E9F"/>
    <w:rsid w:val="004B79FE"/>
    <w:rsid w:val="004C1FA8"/>
    <w:rsid w:val="004D0354"/>
    <w:rsid w:val="004E2D0D"/>
    <w:rsid w:val="004E5DA2"/>
    <w:rsid w:val="004F230B"/>
    <w:rsid w:val="00512A23"/>
    <w:rsid w:val="00512EE5"/>
    <w:rsid w:val="005132B5"/>
    <w:rsid w:val="005210B0"/>
    <w:rsid w:val="0052349C"/>
    <w:rsid w:val="00532D4F"/>
    <w:rsid w:val="00540F18"/>
    <w:rsid w:val="00541C51"/>
    <w:rsid w:val="00542EFD"/>
    <w:rsid w:val="005533C6"/>
    <w:rsid w:val="00554B8A"/>
    <w:rsid w:val="00554CA4"/>
    <w:rsid w:val="00562272"/>
    <w:rsid w:val="00572031"/>
    <w:rsid w:val="00594042"/>
    <w:rsid w:val="00594D95"/>
    <w:rsid w:val="0059626E"/>
    <w:rsid w:val="005A4BA3"/>
    <w:rsid w:val="005B72C8"/>
    <w:rsid w:val="005C513F"/>
    <w:rsid w:val="005C6E93"/>
    <w:rsid w:val="005D6348"/>
    <w:rsid w:val="005E0FE9"/>
    <w:rsid w:val="005E425F"/>
    <w:rsid w:val="005F60D6"/>
    <w:rsid w:val="00600092"/>
    <w:rsid w:val="0060494B"/>
    <w:rsid w:val="006061CE"/>
    <w:rsid w:val="006065DF"/>
    <w:rsid w:val="00612548"/>
    <w:rsid w:val="00615B71"/>
    <w:rsid w:val="00621F57"/>
    <w:rsid w:val="0062277B"/>
    <w:rsid w:val="0062320C"/>
    <w:rsid w:val="0062681A"/>
    <w:rsid w:val="006356D4"/>
    <w:rsid w:val="0064512B"/>
    <w:rsid w:val="00650F16"/>
    <w:rsid w:val="006650E5"/>
    <w:rsid w:val="00665B30"/>
    <w:rsid w:val="00666E83"/>
    <w:rsid w:val="0067405B"/>
    <w:rsid w:val="006777AD"/>
    <w:rsid w:val="00677EBE"/>
    <w:rsid w:val="0068548C"/>
    <w:rsid w:val="00687F44"/>
    <w:rsid w:val="006A1F34"/>
    <w:rsid w:val="006A315F"/>
    <w:rsid w:val="006A3CA4"/>
    <w:rsid w:val="006B08C7"/>
    <w:rsid w:val="006B3CEF"/>
    <w:rsid w:val="006B7A87"/>
    <w:rsid w:val="006D24BF"/>
    <w:rsid w:val="006D6D56"/>
    <w:rsid w:val="006E4015"/>
    <w:rsid w:val="006F14A0"/>
    <w:rsid w:val="006F294E"/>
    <w:rsid w:val="006F38D1"/>
    <w:rsid w:val="006F4243"/>
    <w:rsid w:val="00700DA3"/>
    <w:rsid w:val="00701396"/>
    <w:rsid w:val="00704135"/>
    <w:rsid w:val="00704C0F"/>
    <w:rsid w:val="0070668E"/>
    <w:rsid w:val="00706899"/>
    <w:rsid w:val="00706E6A"/>
    <w:rsid w:val="00712393"/>
    <w:rsid w:val="00724036"/>
    <w:rsid w:val="00743FF2"/>
    <w:rsid w:val="00762423"/>
    <w:rsid w:val="00765668"/>
    <w:rsid w:val="00767606"/>
    <w:rsid w:val="00774FF3"/>
    <w:rsid w:val="0077737F"/>
    <w:rsid w:val="00780EC7"/>
    <w:rsid w:val="00783FFF"/>
    <w:rsid w:val="007960A9"/>
    <w:rsid w:val="00797C9A"/>
    <w:rsid w:val="007B1C67"/>
    <w:rsid w:val="007B7959"/>
    <w:rsid w:val="007D185A"/>
    <w:rsid w:val="007D7C87"/>
    <w:rsid w:val="007E503D"/>
    <w:rsid w:val="00800C5C"/>
    <w:rsid w:val="00811AC2"/>
    <w:rsid w:val="008144B3"/>
    <w:rsid w:val="00824627"/>
    <w:rsid w:val="0082651B"/>
    <w:rsid w:val="00834C7C"/>
    <w:rsid w:val="008407E0"/>
    <w:rsid w:val="00846AAC"/>
    <w:rsid w:val="008601E7"/>
    <w:rsid w:val="00874A80"/>
    <w:rsid w:val="00877957"/>
    <w:rsid w:val="008A67DF"/>
    <w:rsid w:val="008B0DA3"/>
    <w:rsid w:val="008B0EA3"/>
    <w:rsid w:val="008D069B"/>
    <w:rsid w:val="008D232D"/>
    <w:rsid w:val="008D2535"/>
    <w:rsid w:val="008D33E7"/>
    <w:rsid w:val="008D5F6D"/>
    <w:rsid w:val="008E27F6"/>
    <w:rsid w:val="008E2965"/>
    <w:rsid w:val="008E3054"/>
    <w:rsid w:val="008F0345"/>
    <w:rsid w:val="008F2B6E"/>
    <w:rsid w:val="008F5B55"/>
    <w:rsid w:val="00910986"/>
    <w:rsid w:val="0091113B"/>
    <w:rsid w:val="00911FF5"/>
    <w:rsid w:val="00913C3F"/>
    <w:rsid w:val="009232F7"/>
    <w:rsid w:val="00927A8C"/>
    <w:rsid w:val="00931AFC"/>
    <w:rsid w:val="009358FD"/>
    <w:rsid w:val="00940742"/>
    <w:rsid w:val="00941BFC"/>
    <w:rsid w:val="009524C6"/>
    <w:rsid w:val="00953BD6"/>
    <w:rsid w:val="00962485"/>
    <w:rsid w:val="009637D4"/>
    <w:rsid w:val="009665C3"/>
    <w:rsid w:val="0096697D"/>
    <w:rsid w:val="00972170"/>
    <w:rsid w:val="00976B86"/>
    <w:rsid w:val="00984C86"/>
    <w:rsid w:val="00985D52"/>
    <w:rsid w:val="009863DC"/>
    <w:rsid w:val="009A3246"/>
    <w:rsid w:val="009A5EE5"/>
    <w:rsid w:val="009B11FC"/>
    <w:rsid w:val="009C36F4"/>
    <w:rsid w:val="009C6749"/>
    <w:rsid w:val="009D0D8C"/>
    <w:rsid w:val="009D1279"/>
    <w:rsid w:val="009D34DD"/>
    <w:rsid w:val="009D437F"/>
    <w:rsid w:val="009D4BB3"/>
    <w:rsid w:val="009D7C0C"/>
    <w:rsid w:val="009E4BE2"/>
    <w:rsid w:val="009E6832"/>
    <w:rsid w:val="009E6F09"/>
    <w:rsid w:val="009F4F81"/>
    <w:rsid w:val="009F66F9"/>
    <w:rsid w:val="009F701D"/>
    <w:rsid w:val="00A02344"/>
    <w:rsid w:val="00A03F2A"/>
    <w:rsid w:val="00A05CA6"/>
    <w:rsid w:val="00A07102"/>
    <w:rsid w:val="00A22CE2"/>
    <w:rsid w:val="00A3108D"/>
    <w:rsid w:val="00A4392F"/>
    <w:rsid w:val="00A501C3"/>
    <w:rsid w:val="00A52C9F"/>
    <w:rsid w:val="00A6655A"/>
    <w:rsid w:val="00A668F1"/>
    <w:rsid w:val="00A66B9F"/>
    <w:rsid w:val="00A6728B"/>
    <w:rsid w:val="00A70CF7"/>
    <w:rsid w:val="00A76952"/>
    <w:rsid w:val="00A76BA8"/>
    <w:rsid w:val="00A858C3"/>
    <w:rsid w:val="00A9257E"/>
    <w:rsid w:val="00AA077D"/>
    <w:rsid w:val="00AA7A56"/>
    <w:rsid w:val="00AB12D5"/>
    <w:rsid w:val="00AB375B"/>
    <w:rsid w:val="00AB56D3"/>
    <w:rsid w:val="00AB77ED"/>
    <w:rsid w:val="00AB7F1E"/>
    <w:rsid w:val="00AD08E4"/>
    <w:rsid w:val="00AE52E4"/>
    <w:rsid w:val="00AE7624"/>
    <w:rsid w:val="00AF70B0"/>
    <w:rsid w:val="00B3528D"/>
    <w:rsid w:val="00B3765D"/>
    <w:rsid w:val="00B400A9"/>
    <w:rsid w:val="00B5632B"/>
    <w:rsid w:val="00B57662"/>
    <w:rsid w:val="00B60B13"/>
    <w:rsid w:val="00B65911"/>
    <w:rsid w:val="00B65DF7"/>
    <w:rsid w:val="00B763F5"/>
    <w:rsid w:val="00B7765B"/>
    <w:rsid w:val="00B831DA"/>
    <w:rsid w:val="00B875D5"/>
    <w:rsid w:val="00B92021"/>
    <w:rsid w:val="00B92292"/>
    <w:rsid w:val="00BA532B"/>
    <w:rsid w:val="00BC0F8D"/>
    <w:rsid w:val="00BC29F7"/>
    <w:rsid w:val="00BC5596"/>
    <w:rsid w:val="00BD4F15"/>
    <w:rsid w:val="00BD60D3"/>
    <w:rsid w:val="00BE1564"/>
    <w:rsid w:val="00BE2A0E"/>
    <w:rsid w:val="00BE401A"/>
    <w:rsid w:val="00BF6228"/>
    <w:rsid w:val="00C07127"/>
    <w:rsid w:val="00C14E89"/>
    <w:rsid w:val="00C24DD6"/>
    <w:rsid w:val="00C25FFF"/>
    <w:rsid w:val="00C3145F"/>
    <w:rsid w:val="00C40384"/>
    <w:rsid w:val="00C4296A"/>
    <w:rsid w:val="00C46F6D"/>
    <w:rsid w:val="00C60640"/>
    <w:rsid w:val="00C66EB4"/>
    <w:rsid w:val="00C70189"/>
    <w:rsid w:val="00C9540D"/>
    <w:rsid w:val="00CA3124"/>
    <w:rsid w:val="00CA3EB5"/>
    <w:rsid w:val="00CA42C1"/>
    <w:rsid w:val="00CB3AC6"/>
    <w:rsid w:val="00CB59A1"/>
    <w:rsid w:val="00CD09E7"/>
    <w:rsid w:val="00CE4CB9"/>
    <w:rsid w:val="00CF55AD"/>
    <w:rsid w:val="00D0393A"/>
    <w:rsid w:val="00D05C53"/>
    <w:rsid w:val="00D0744A"/>
    <w:rsid w:val="00D10535"/>
    <w:rsid w:val="00D12427"/>
    <w:rsid w:val="00D26D72"/>
    <w:rsid w:val="00D33ED5"/>
    <w:rsid w:val="00D46F1C"/>
    <w:rsid w:val="00D472E3"/>
    <w:rsid w:val="00D53830"/>
    <w:rsid w:val="00D625CC"/>
    <w:rsid w:val="00D62788"/>
    <w:rsid w:val="00D660AC"/>
    <w:rsid w:val="00D675D8"/>
    <w:rsid w:val="00D7210F"/>
    <w:rsid w:val="00D75A29"/>
    <w:rsid w:val="00D779F6"/>
    <w:rsid w:val="00D83796"/>
    <w:rsid w:val="00D86544"/>
    <w:rsid w:val="00DA20A1"/>
    <w:rsid w:val="00DA431D"/>
    <w:rsid w:val="00DA52F8"/>
    <w:rsid w:val="00DB73C1"/>
    <w:rsid w:val="00DC1B7B"/>
    <w:rsid w:val="00DE066C"/>
    <w:rsid w:val="00DE21AB"/>
    <w:rsid w:val="00DF3FAE"/>
    <w:rsid w:val="00E01A3D"/>
    <w:rsid w:val="00E01CA2"/>
    <w:rsid w:val="00E03457"/>
    <w:rsid w:val="00E043D5"/>
    <w:rsid w:val="00E0750D"/>
    <w:rsid w:val="00E12BEB"/>
    <w:rsid w:val="00E148BE"/>
    <w:rsid w:val="00E1588E"/>
    <w:rsid w:val="00E20854"/>
    <w:rsid w:val="00E22BD8"/>
    <w:rsid w:val="00E3705F"/>
    <w:rsid w:val="00E37CF1"/>
    <w:rsid w:val="00E41D05"/>
    <w:rsid w:val="00E43473"/>
    <w:rsid w:val="00E446F6"/>
    <w:rsid w:val="00E52059"/>
    <w:rsid w:val="00E52ED5"/>
    <w:rsid w:val="00E63889"/>
    <w:rsid w:val="00E656CC"/>
    <w:rsid w:val="00E70145"/>
    <w:rsid w:val="00E714F0"/>
    <w:rsid w:val="00E763B7"/>
    <w:rsid w:val="00E77524"/>
    <w:rsid w:val="00E82C0B"/>
    <w:rsid w:val="00E94B36"/>
    <w:rsid w:val="00E9674E"/>
    <w:rsid w:val="00E96CAD"/>
    <w:rsid w:val="00E978CC"/>
    <w:rsid w:val="00EA59A7"/>
    <w:rsid w:val="00EC2B96"/>
    <w:rsid w:val="00EC3B2C"/>
    <w:rsid w:val="00EC40AF"/>
    <w:rsid w:val="00EC4A60"/>
    <w:rsid w:val="00ED22A5"/>
    <w:rsid w:val="00ED3A03"/>
    <w:rsid w:val="00ED4F28"/>
    <w:rsid w:val="00ED5ED1"/>
    <w:rsid w:val="00EF5D68"/>
    <w:rsid w:val="00EF644E"/>
    <w:rsid w:val="00EF6F90"/>
    <w:rsid w:val="00F0781C"/>
    <w:rsid w:val="00F1511C"/>
    <w:rsid w:val="00F318C4"/>
    <w:rsid w:val="00F35F42"/>
    <w:rsid w:val="00F51858"/>
    <w:rsid w:val="00F77769"/>
    <w:rsid w:val="00FB09FF"/>
    <w:rsid w:val="00FB33B7"/>
    <w:rsid w:val="00FB3F1E"/>
    <w:rsid w:val="00FB5DC6"/>
    <w:rsid w:val="00FB61A9"/>
    <w:rsid w:val="00FE2D2F"/>
    <w:rsid w:val="00FE5991"/>
    <w:rsid w:val="00FE7479"/>
    <w:rsid w:val="0FFD10E3"/>
    <w:rsid w:val="63BA28D9"/>
    <w:rsid w:val="6CE01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507</Words>
  <Characters>2892</Characters>
  <Lines>24</Lines>
  <Paragraphs>6</Paragraphs>
  <TotalTime>6</TotalTime>
  <ScaleCrop>false</ScaleCrop>
  <LinksUpToDate>false</LinksUpToDate>
  <CharactersWithSpaces>3393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2022-02-14T11:50:00Z</dcterms:created>
  <dc:creator>TopEdit</dc:creator>
  <cp:lastModifiedBy>Eason zh</cp:lastModifiedBy>
  <dcterms:modified xsi:type="dcterms:W3CDTF">2022-03-20T19:17:36Z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F3FA3F1F1CCB4F6583D4DD0244C7C2AE</vt:lpwstr>
  </property>
</Properties>
</file>