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F69C" w14:textId="77777777" w:rsidR="002C493F" w:rsidRPr="003B2259" w:rsidRDefault="002C493F" w:rsidP="0042661F">
      <w:pPr>
        <w:pStyle w:val="ListParagraph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F56D50">
        <w:rPr>
          <w:b/>
          <w:bCs/>
          <w:sz w:val="28"/>
          <w:szCs w:val="28"/>
        </w:rPr>
        <w:t>Panel Design</w:t>
      </w:r>
    </w:p>
    <w:p w14:paraId="71E892E3" w14:textId="77777777" w:rsidR="002C493F" w:rsidRDefault="002C493F" w:rsidP="0042661F">
      <w:r w:rsidRPr="00374670">
        <w:t xml:space="preserve">In the preliminary experiments, we found that the DNA </w:t>
      </w:r>
      <w:r>
        <w:t xml:space="preserve">from </w:t>
      </w:r>
      <w:r w:rsidRPr="0042661F">
        <w:t>archeolog</w:t>
      </w:r>
      <w:r>
        <w:t xml:space="preserve">ical </w:t>
      </w:r>
      <w:r w:rsidRPr="00374670">
        <w:t xml:space="preserve">remains </w:t>
      </w:r>
      <w:r>
        <w:t>was highly degraded</w:t>
      </w:r>
      <w:r w:rsidRPr="00374670">
        <w:t xml:space="preserve">, and the length of DNA fragments mostly </w:t>
      </w:r>
      <w:r w:rsidRPr="006D7C44">
        <w:t>concentrate</w:t>
      </w:r>
      <w:r>
        <w:t>d</w:t>
      </w:r>
      <w:r w:rsidRPr="00374670">
        <w:t xml:space="preserve"> in</w:t>
      </w:r>
      <w:r>
        <w:t xml:space="preserve"> the range of</w:t>
      </w:r>
      <w:r w:rsidRPr="00374670">
        <w:t xml:space="preserve"> 70-150 bp. Therefore, we chose multiple</w:t>
      </w:r>
      <w:r>
        <w:t>x</w:t>
      </w:r>
      <w:r w:rsidRPr="00374670">
        <w:t xml:space="preserve"> PCR targeting capture</w:t>
      </w:r>
      <w:r>
        <w:t xml:space="preserve"> based on the</w:t>
      </w:r>
      <w:r w:rsidRPr="00374670">
        <w:t xml:space="preserve"> </w:t>
      </w:r>
      <w:r>
        <w:t xml:space="preserve">NGS </w:t>
      </w:r>
      <w:r w:rsidRPr="00374670">
        <w:t>platform</w:t>
      </w:r>
      <w:r>
        <w:t xml:space="preserve"> to </w:t>
      </w:r>
      <w:r w:rsidRPr="00374670">
        <w:t>ensure the uniformity of amplification. After amplification, a large number of samples can be detected and analyzed</w:t>
      </w:r>
      <w:r>
        <w:t xml:space="preserve"> in parallel</w:t>
      </w:r>
      <w:r w:rsidRPr="00374670">
        <w:t xml:space="preserve"> using </w:t>
      </w:r>
      <w:r>
        <w:t>NGS</w:t>
      </w:r>
      <w:r w:rsidRPr="00374670">
        <w:t xml:space="preserve"> platform. In view of the characteristics of highly degraded DNA involved in this study, we designed a more sensitive short amplifier primer system</w:t>
      </w:r>
      <w:r>
        <w:t>.</w:t>
      </w:r>
    </w:p>
    <w:p w14:paraId="025814F7" w14:textId="77777777" w:rsidR="002C493F" w:rsidRPr="00A16A01" w:rsidRDefault="002C493F" w:rsidP="0042661F"/>
    <w:p w14:paraId="0828FD02" w14:textId="77777777" w:rsidR="002C493F" w:rsidRPr="00AE4442" w:rsidRDefault="002C493F" w:rsidP="0042661F">
      <w:pPr>
        <w:rPr>
          <w:lang w:val="fr-FR"/>
        </w:rPr>
      </w:pPr>
      <w:r w:rsidRPr="0041762A">
        <w:t xml:space="preserve">The </w:t>
      </w:r>
      <w:r>
        <w:t>panel</w:t>
      </w:r>
      <w:r w:rsidRPr="0041762A">
        <w:t xml:space="preserve"> comprises 485 Y-SNPs, which covers the common lineages in </w:t>
      </w:r>
      <w:smartTag w:uri="urn:schemas-microsoft-com:office:smarttags" w:element="place">
        <w:r w:rsidRPr="0041762A">
          <w:t>East Asia</w:t>
        </w:r>
      </w:smartTag>
      <w:r w:rsidRPr="0041762A">
        <w:t>.</w:t>
      </w:r>
      <w:r w:rsidRPr="007A7BB1">
        <w:rPr>
          <w:b/>
          <w:bCs/>
        </w:rPr>
        <w:t xml:space="preserve"> </w:t>
      </w:r>
      <w:r w:rsidRPr="00AE4442">
        <w:rPr>
          <w:lang w:val="fr-FR"/>
        </w:rPr>
        <w:t>The details are as follows.</w:t>
      </w:r>
    </w:p>
    <w:p w14:paraId="277EEED3" w14:textId="77777777" w:rsidR="002C493F" w:rsidRDefault="002C493F" w:rsidP="00A76FAB">
      <w:pPr>
        <w:rPr>
          <w:lang w:val="fr-FR"/>
        </w:rPr>
      </w:pPr>
      <w:r w:rsidRPr="00414327">
        <w:rPr>
          <w:b/>
          <w:bCs/>
          <w:lang w:val="fr-FR"/>
        </w:rPr>
        <w:t>485 Y-SNPs</w:t>
      </w:r>
      <w:r w:rsidRPr="00414327">
        <w:rPr>
          <w:rFonts w:hint="eastAsia"/>
          <w:lang w:val="fr-FR"/>
        </w:rPr>
        <w:t>：</w:t>
      </w:r>
      <w:r w:rsidRPr="00414327">
        <w:rPr>
          <w:lang w:val="fr-FR"/>
        </w:rPr>
        <w:t>M1</w:t>
      </w:r>
      <w:r>
        <w:rPr>
          <w:lang w:val="fr-FR"/>
        </w:rPr>
        <w:t>76, Z17874, F708, Z35983, F4535(Z19137), F710, CTS53, CTS66, F8465, P305, F717, B482, SK1514, B470, M130, F723, F725, M406, M407, F728, PH40, F8, Y26395, F8497, F3830, M324, P201, 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28413"/>
          <w:attr w:name="UnitName" w:val="g"/>
        </w:smartTagPr>
        <w:r>
          <w:rPr>
            <w:lang w:val="fr-FR"/>
          </w:rPr>
          <w:t>2828413G</w:t>
        </w:r>
      </w:smartTag>
      <w:r>
        <w:rPr>
          <w:lang w:val="fr-FR"/>
        </w:rPr>
        <w:t>, F13, F743, F26868, F700, Z6616, PH90, M346, M343, F748, Z2054, Z7299, A9461, PF3146, Z8022, F3737, PH116, C6651181T, 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695160"/>
          <w:attr w:name="UnitName" w:val="g"/>
        </w:smartTagPr>
        <w:r>
          <w:rPr>
            <w:lang w:val="fr-FR"/>
          </w:rPr>
          <w:t>6695160G</w:t>
        </w:r>
      </w:smartTag>
      <w:r>
        <w:rPr>
          <w:lang w:val="fr-FR"/>
        </w:rPr>
        <w:t>, CTS342, F810, F813(M6539), F819, Z35160, CTS426(PF4641,YSC0000307), CTS439, B433, F826, K1512(SK1517, SK1514), F5477, F827, F830, V36, FGC39579(Z31694), V20, L940(F835), V4, Z26015, L712, CTS579, V22, F46(Y15), L830, F4065, Z7700, CTS595, AF6, B457, F854, F48, F856, CTS616, CTS623(PF6419), F866, AM01856(F871), G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942166"/>
          <w:attr w:name="UnitName" w:val="a"/>
        </w:smartTagPr>
        <w:r>
          <w:rPr>
            <w:lang w:val="fr-FR"/>
          </w:rPr>
          <w:t>6942166A</w:t>
        </w:r>
      </w:smartTag>
      <w:r>
        <w:rPr>
          <w:lang w:val="fr-FR"/>
        </w:rPr>
        <w:t>, TS677(PF2015), SK1512, Z20492, SK1770, CTS713, Z43879, F55, CTS723, F4068, SK1507, BZ175, F903, F906, F6193, CTS901, Z24014, F915, F60, M522, F919, F923, S218(Z253), CTS1102, Y7582, CTS1174, CTS1211(S3357), F940, CTS1303, Z43967, C7383403T, CTS1451, F964, CTS1483, F977, F979, IMS-JST002611, F993, F996, F85, B388, Z34163, F1019, F1022, M1932,F16077, A9472, F4084, PF5008, Y16313(Z35310), YP1541, C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765756"/>
          <w:attr w:name="UnitName" w:val="a"/>
        </w:smartTagPr>
        <w:r>
          <w:rPr>
            <w:lang w:val="fr-FR"/>
          </w:rPr>
          <w:t>7765756A</w:t>
        </w:r>
      </w:smartTag>
      <w:r>
        <w:rPr>
          <w:lang w:val="fr-FR"/>
        </w:rPr>
        <w:t xml:space="preserve">, SK1726, B456, FGC16863(Y7110), F100, Z8806, Y26383, F1070, FGC10851(Y5297), F16381, FGC6031, F1095, F1096, PF5088, B80, F5489, L56, K473, F1123, Z35348, SK1927, F1127, PF5160(Z2221), Z43904, F4759, SK1772, F134, M5415, F5481, F1212, F138, F5504(SK1630), F141, F1232, F1236, L1324, SK1676, F1252, B469, F1262, B115, F1266, Z396, Z780(M971), YP968(FGC4517), F14326, F1273, F1276, F4774, F1290, F153, SK1778(Z25746), F1313, F5506(SK1636), L22(S142), F27531, </w:t>
      </w:r>
      <w:r w:rsidRPr="00A76FAB">
        <w:rPr>
          <w:lang w:val="fr-FR"/>
        </w:rPr>
        <w:t>FGC7535</w:t>
      </w:r>
      <w:r w:rsidRPr="00A76FAB">
        <w:rPr>
          <w:rFonts w:hint="eastAsia"/>
          <w:lang w:val="fr-FR"/>
        </w:rPr>
        <w:t>（</w:t>
      </w:r>
      <w:r w:rsidRPr="00A76FAB">
        <w:rPr>
          <w:lang w:val="fr-FR"/>
        </w:rPr>
        <w:t>SK1106</w:t>
      </w:r>
      <w:r w:rsidRPr="00A76FAB">
        <w:rPr>
          <w:rFonts w:hint="eastAsia"/>
          <w:lang w:val="fr-FR"/>
        </w:rPr>
        <w:t>，</w:t>
      </w:r>
      <w:r w:rsidRPr="00A76FAB">
        <w:rPr>
          <w:lang w:val="fr-FR"/>
        </w:rPr>
        <w:t>Z6552</w:t>
      </w:r>
      <w:r w:rsidRPr="00A76FAB">
        <w:rPr>
          <w:rFonts w:hint="eastAsia"/>
          <w:lang w:val="fr-FR"/>
        </w:rPr>
        <w:t>）</w:t>
      </w:r>
      <w:r>
        <w:rPr>
          <w:lang w:val="fr-FR"/>
        </w:rPr>
        <w:t xml:space="preserve">, Z25907, F1365(M5420, PF1558), F1369, Z781, PF5090, Z32854, F1388, F1389, F1391, M405, F168, F27587, L485, Y20935, PF6896, Z1926, Y1274, Z5933, B450, FGC10863(Y3191), F1536, F201, Y13527, Z18440, B170, F4156, Z25942, F6592, Z26030, F11165, Y17949, JN15, </w:t>
      </w:r>
      <w:r w:rsidRPr="00A76FAB">
        <w:rPr>
          <w:lang w:val="fr-FR"/>
        </w:rPr>
        <w:t>P</w:t>
      </w:r>
      <w:r>
        <w:rPr>
          <w:lang w:val="fr-FR"/>
        </w:rPr>
        <w:t xml:space="preserve">164, F1675, Z400(AM00103, F1683), Z24089, F238, Z25930(F14422), CTS1936, F1699, P177, PH975, L596, P143, CTS2190, F1736, AMM050(FGC7110, S2645), F4168(L24, S286, Z396), F1756, CTS2457, CTS2458, F254, F1759, CTS2562, FGC3022, </w:t>
      </w:r>
      <w:r w:rsidRPr="00A76FAB">
        <w:rPr>
          <w:lang w:val="fr-FR"/>
        </w:rPr>
        <w:t>P37.2(PF4004, AM00519, CTS4097, PF4008, S2</w:t>
      </w:r>
      <w:r w:rsidRPr="00333FF6">
        <w:rPr>
          <w:lang w:val="fr-FR"/>
        </w:rPr>
        <w:t>669, Z2651), F1803(M1348), Z6046, F1813</w:t>
      </w:r>
      <w:r w:rsidRPr="00A51B11">
        <w:rPr>
          <w:lang w:val="fr-FR"/>
        </w:rPr>
        <w:t>,</w:t>
      </w:r>
      <w:r w:rsidRPr="00333FF6">
        <w:rPr>
          <w:lang w:val="fr-FR"/>
        </w:rPr>
        <w:t xml:space="preserve"> CTS3068(PF4700, YSC0001264, Z2213), CTS3085, F1827, M333, M170, M180, N5, F270, F1852, Z43976, L215, CTS3402(S3361, V2670), M184, M222(Page84, USP9Y+3636), FGC14165(Y5001), C</w:t>
      </w:r>
      <w:r>
        <w:rPr>
          <w:lang w:val="fr-FR"/>
        </w:rPr>
        <w:t xml:space="preserve">TS3427, </w:t>
      </w:r>
      <w:r w:rsidRPr="00A76FAB">
        <w:rPr>
          <w:lang w:val="fr-FR"/>
        </w:rPr>
        <w:t>M46(Page7</w:t>
      </w:r>
      <w:r>
        <w:rPr>
          <w:lang w:val="fr-FR"/>
        </w:rPr>
        <w:t>0, Tat), F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63"/>
          <w:attr w:name="UnitName" w:val="m"/>
        </w:smartTagPr>
        <w:r>
          <w:rPr>
            <w:lang w:val="fr-FR"/>
          </w:rPr>
          <w:t>1863M</w:t>
        </w:r>
      </w:smartTag>
      <w:r>
        <w:rPr>
          <w:lang w:val="fr-FR"/>
        </w:rPr>
        <w:t xml:space="preserve">237, M188, </w:t>
      </w:r>
      <w:r w:rsidRPr="00A76FAB">
        <w:rPr>
          <w:lang w:val="fr-FR"/>
        </w:rPr>
        <w:t>AM0</w:t>
      </w:r>
      <w:r>
        <w:rPr>
          <w:lang w:val="fr-FR"/>
        </w:rPr>
        <w:t xml:space="preserve">1310(PF4708, YSC0000173, Z2359), M250, M253, M173(P241, Page29), M201, Page101, M198(PF6238), L713, M283, F1918, FGC17664(Y5035, Z17187), Z2651, F1942, P191, M217, CTS4179, M215, M214, Y24368, FGC12511, M207, Z282(V3055), L30, CTS4367, L21(M529, S145), Z43977, CTS4585, Y920, CTS4693, CTS4800, </w:t>
      </w:r>
      <w:r w:rsidRPr="00A76FAB">
        <w:rPr>
          <w:lang w:val="fr-FR"/>
        </w:rPr>
        <w:t>YP417(M12415, V3192, FGC20517)</w:t>
      </w:r>
      <w:r>
        <w:rPr>
          <w:lang w:val="fr-FR"/>
        </w:rPr>
        <w:t xml:space="preserve">, </w:t>
      </w:r>
      <w:r w:rsidRPr="00A76FAB">
        <w:rPr>
          <w:lang w:val="fr-FR"/>
        </w:rPr>
        <w:t>YP1691(B30)</w:t>
      </w:r>
      <w:r>
        <w:rPr>
          <w:lang w:val="fr-FR"/>
        </w:rPr>
        <w:t xml:space="preserve">, </w:t>
      </w:r>
      <w:r w:rsidRPr="00A76FAB">
        <w:rPr>
          <w:lang w:val="fr-FR"/>
        </w:rPr>
        <w:t>CTS4960</w:t>
      </w:r>
      <w:r>
        <w:rPr>
          <w:lang w:val="fr-FR"/>
        </w:rPr>
        <w:t xml:space="preserve">, </w:t>
      </w:r>
      <w:r w:rsidRPr="00A76FAB">
        <w:rPr>
          <w:lang w:val="fr-FR"/>
        </w:rPr>
        <w:t>F310</w:t>
      </w:r>
      <w:r>
        <w:rPr>
          <w:lang w:val="fr-FR"/>
        </w:rPr>
        <w:t xml:space="preserve">, </w:t>
      </w:r>
      <w:r w:rsidRPr="00A76FAB">
        <w:rPr>
          <w:lang w:val="fr-FR"/>
        </w:rPr>
        <w:t>SK1734</w:t>
      </w:r>
      <w:r>
        <w:rPr>
          <w:lang w:val="fr-FR"/>
        </w:rPr>
        <w:t xml:space="preserve">, </w:t>
      </w:r>
      <w:r w:rsidRPr="00A76FAB">
        <w:rPr>
          <w:lang w:val="fr-FR"/>
        </w:rPr>
        <w:t>M1368</w:t>
      </w:r>
      <w:r>
        <w:rPr>
          <w:lang w:val="fr-FR"/>
        </w:rPr>
        <w:t xml:space="preserve">, </w:t>
      </w:r>
      <w:r w:rsidRPr="00A76FAB">
        <w:rPr>
          <w:lang w:val="fr-FR"/>
        </w:rPr>
        <w:t>F317</w:t>
      </w:r>
      <w:r>
        <w:rPr>
          <w:lang w:val="fr-FR"/>
        </w:rPr>
        <w:t xml:space="preserve">, </w:t>
      </w:r>
      <w:r w:rsidRPr="00A76FAB">
        <w:rPr>
          <w:lang w:val="fr-FR"/>
        </w:rPr>
        <w:t>SK1555</w:t>
      </w:r>
      <w:r>
        <w:rPr>
          <w:lang w:val="fr-FR"/>
        </w:rPr>
        <w:t xml:space="preserve">, PF7521(S4567,Z2908), Y2910(FGC10329), </w:t>
      </w:r>
      <w:r>
        <w:rPr>
          <w:lang w:val="fr-FR"/>
        </w:rPr>
        <w:lastRenderedPageBreak/>
        <w:t xml:space="preserve">F325, L332, F4199, PF6899, SK1675, CTS5488, F2130(F2042), F2137, SK1568, F2172, Z5931, PF5425, M438, L42, F4212, Z23673(Y9320, FGC29897), F2268, CTS6364, SK1661(SK1601), F5484, AM01781(S18967, SK1786), F12086, F2356, SK1746(F5524), CTS6796, CTS6803, CTS6804, F12147, SK1660, Z24088, CTS6904, F2411, F2415, F4229, M353, F400, S19575, S272(YSC0000049, Z7), SK1755, F3960, L497, F2489, F2491, F2527, S205(Z92), F4370, F3967, SK1922, FGC1846(Y2136), F2569, Z43965, PH3317, DF96(S1809), FGC32413, F2576, PH3340, F2584(F2065, S20163), L330, M2936(Z4237), F4249, F438, Y57, PF5190, F444, F446, F449, F4251, CTS8428, F2685, Y47, Y4166, SK1926, Y874, Z7415, CTS8624(M2240), </w:t>
      </w:r>
      <w:r w:rsidRPr="00A76FAB">
        <w:rPr>
          <w:lang w:val="fr-FR"/>
        </w:rPr>
        <w:t>S337</w:t>
      </w:r>
      <w:r w:rsidRPr="00A76FAB">
        <w:rPr>
          <w:rFonts w:hint="eastAsia"/>
          <w:lang w:val="fr-FR"/>
        </w:rPr>
        <w:t>（</w:t>
      </w:r>
      <w:r w:rsidRPr="00A76FAB">
        <w:rPr>
          <w:lang w:val="fr-FR"/>
        </w:rPr>
        <w:t>Z60</w:t>
      </w:r>
      <w:r w:rsidRPr="00A76FAB">
        <w:rPr>
          <w:rFonts w:hint="eastAsia"/>
          <w:lang w:val="fr-FR"/>
        </w:rPr>
        <w:t>）</w:t>
      </w:r>
      <w:r>
        <w:rPr>
          <w:lang w:val="fr-FR"/>
        </w:rPr>
        <w:t xml:space="preserve">, Y16850, P180, F492, F12502, L621(S392), F22912, FGC29898(Y9036, Z23674), F2859, F2868, SK1533, F2883, L366, F2890, F4274, SK1802, F2924, P124, F2928, F2930, M423, M3, BZ380, F2941, YP4610, F2944, L275, F4284, CTS9996, F533, YP1692(Z35977), Y9, Z25928, Y7080, F3067, F3053, CTS10427, Y7(AM00482, V4155), CTS10535, CTS10573, S340(F3105, Z94), F560, Z1842, SK2264, Z4056, SK2163, F3163, L550(S431), Z39487, F3172, Z25910(F1455), YP4549, Z1936, F24357, YP263, L53, M145, M223, M101, SK1757, M11, L595, M33, F3247, M48, M159, SK1731, M124, L329, M25, M54, M67(PF5137, S51), M73, M75, M81, M78, L715, M92, M110, M120, Z283/(S339), P287, </w:t>
      </w:r>
      <w:r w:rsidRPr="00A76FAB">
        <w:rPr>
          <w:lang w:val="fr-FR"/>
        </w:rPr>
        <w:t>S1953</w:t>
      </w:r>
      <w:r w:rsidRPr="00A76FAB">
        <w:rPr>
          <w:rFonts w:hint="eastAsia"/>
          <w:lang w:val="fr-FR"/>
        </w:rPr>
        <w:t>（</w:t>
      </w:r>
      <w:r w:rsidRPr="00A76FAB">
        <w:rPr>
          <w:lang w:val="fr-FR"/>
        </w:rPr>
        <w:t>Z2535</w:t>
      </w:r>
      <w:r w:rsidRPr="00A76FAB">
        <w:rPr>
          <w:rFonts w:hint="eastAsia"/>
          <w:lang w:val="fr-FR"/>
        </w:rPr>
        <w:t>）</w:t>
      </w:r>
      <w:r>
        <w:rPr>
          <w:lang w:val="fr-FR"/>
        </w:rPr>
        <w:t xml:space="preserve">, SK1760, K644, PH5117, B418, M1470, FGC766, Y16779, SK1764, PF7261, CTS10738(M1707), Y23787, M285, CTS10841, Y3640, F3361(M2113, S24798), PF5216, SK1571, </w:t>
      </w:r>
      <w:r w:rsidRPr="00A76FAB">
        <w:rPr>
          <w:lang w:val="fr-FR"/>
        </w:rPr>
        <w:t>CTS11043</w:t>
      </w:r>
    </w:p>
    <w:p w14:paraId="4B9CEEDB" w14:textId="3E819509" w:rsidR="002C493F" w:rsidRPr="006F3F9D" w:rsidRDefault="002C493F" w:rsidP="003A3C52">
      <w:pPr>
        <w:numPr>
          <w:ilvl w:val="0"/>
          <w:numId w:val="1"/>
        </w:numPr>
        <w:rPr>
          <w:b/>
          <w:bCs/>
          <w:sz w:val="28"/>
          <w:szCs w:val="28"/>
          <w:lang w:val="fr-FR"/>
        </w:rPr>
      </w:pPr>
      <w:r w:rsidRPr="006F3F9D">
        <w:rPr>
          <w:b/>
          <w:bCs/>
          <w:sz w:val="28"/>
          <w:szCs w:val="28"/>
          <w:lang w:val="fr-FR"/>
        </w:rPr>
        <w:t>PCR Amplification and Sequencing</w:t>
      </w:r>
    </w:p>
    <w:p w14:paraId="5E842CD3" w14:textId="77777777" w:rsidR="002C493F" w:rsidRPr="006A5C28" w:rsidRDefault="002C493F" w:rsidP="0042661F">
      <w:pPr>
        <w:pStyle w:val="ListParagraph"/>
        <w:numPr>
          <w:ilvl w:val="1"/>
          <w:numId w:val="1"/>
        </w:numPr>
        <w:ind w:firstLineChars="0"/>
        <w:rPr>
          <w:b/>
          <w:bCs/>
          <w:lang w:val="fr-FR"/>
        </w:rPr>
      </w:pPr>
      <w:r w:rsidRPr="006A5C28">
        <w:rPr>
          <w:b/>
          <w:bCs/>
          <w:lang w:val="fr-FR"/>
        </w:rPr>
        <w:t>Multiplex PCR</w:t>
      </w:r>
    </w:p>
    <w:p w14:paraId="0FB873F8" w14:textId="77777777" w:rsidR="002C493F" w:rsidRPr="007A7BB1" w:rsidRDefault="002C493F" w:rsidP="0042661F">
      <w:pPr>
        <w:pStyle w:val="ListParagraph"/>
        <w:ind w:firstLineChars="0" w:firstLine="0"/>
      </w:pPr>
      <w:r w:rsidRPr="006F3F9D">
        <w:rPr>
          <w:lang w:val="fr-FR"/>
        </w:rPr>
        <w:t xml:space="preserve">Setting up the multiplex PCR should be carried out in a specialized </w:t>
      </w:r>
      <w:r>
        <w:rPr>
          <w:lang w:val="fr-FR"/>
        </w:rPr>
        <w:t>ancient</w:t>
      </w:r>
      <w:r w:rsidRPr="006F3F9D">
        <w:rPr>
          <w:lang w:val="fr-FR"/>
        </w:rPr>
        <w:t xml:space="preserve"> DNA laboratory. All surfaces and equipment should be cleaned with bleach and ethanol to avoid contamination. </w:t>
      </w:r>
      <w:r w:rsidRPr="003A3C52">
        <w:rPr>
          <w:lang w:val="fr-FR"/>
        </w:rPr>
        <w:t xml:space="preserve">Always include one PCR blank per eight to </w:t>
      </w:r>
      <w:r w:rsidRPr="007A7BB1">
        <w:t>ten samples.</w:t>
      </w:r>
    </w:p>
    <w:p w14:paraId="3245B85A" w14:textId="77777777" w:rsidR="002C493F" w:rsidRPr="007A7BB1" w:rsidRDefault="002C493F" w:rsidP="0042661F">
      <w:pPr>
        <w:pStyle w:val="ListParagraph"/>
        <w:ind w:left="360" w:firstLineChars="0" w:firstLine="0"/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19"/>
        <w:gridCol w:w="3881"/>
      </w:tblGrid>
      <w:tr w:rsidR="002C493F" w14:paraId="1D2437FC" w14:textId="77777777" w:rsidTr="00E26488">
        <w:tc>
          <w:tcPr>
            <w:tcW w:w="2662" w:type="pct"/>
            <w:shd w:val="clear" w:color="auto" w:fill="C0C0C0"/>
          </w:tcPr>
          <w:p w14:paraId="37BE2492" w14:textId="77777777" w:rsidR="002C493F" w:rsidRPr="006F3F9D" w:rsidRDefault="002C493F" w:rsidP="00E26488">
            <w:pPr>
              <w:pStyle w:val="ListParagraph"/>
              <w:ind w:firstLineChars="0" w:firstLine="0"/>
              <w:jc w:val="center"/>
              <w:rPr>
                <w:b/>
                <w:bCs/>
                <w:szCs w:val="21"/>
                <w:lang w:val="fr-FR"/>
              </w:rPr>
            </w:pPr>
            <w:r w:rsidRPr="006F3F9D">
              <w:rPr>
                <w:szCs w:val="21"/>
                <w:lang w:val="fr-FR"/>
              </w:rPr>
              <w:t>Reagent</w:t>
            </w:r>
          </w:p>
        </w:tc>
        <w:tc>
          <w:tcPr>
            <w:tcW w:w="2338" w:type="pct"/>
            <w:shd w:val="clear" w:color="auto" w:fill="C0C0C0"/>
          </w:tcPr>
          <w:p w14:paraId="148DC0A5" w14:textId="0C3F4BB8" w:rsidR="002C493F" w:rsidRPr="00773472" w:rsidRDefault="002C493F" w:rsidP="00E26488">
            <w:pPr>
              <w:pStyle w:val="ListParagraph"/>
              <w:ind w:firstLineChars="0" w:firstLine="0"/>
              <w:jc w:val="center"/>
              <w:rPr>
                <w:b/>
                <w:bCs/>
                <w:kern w:val="0"/>
                <w:szCs w:val="21"/>
              </w:rPr>
            </w:pPr>
            <w:r w:rsidRPr="007A7BB1">
              <w:rPr>
                <w:szCs w:val="21"/>
              </w:rPr>
              <w:t>Volume pe</w:t>
            </w:r>
            <w:r w:rsidRPr="00773472">
              <w:rPr>
                <w:szCs w:val="21"/>
              </w:rPr>
              <w:t>r reaction</w:t>
            </w:r>
            <w:r>
              <w:rPr>
                <w:szCs w:val="21"/>
              </w:rPr>
              <w:t xml:space="preserve"> </w:t>
            </w:r>
            <w:r w:rsidRPr="00773472">
              <w:rPr>
                <w:szCs w:val="21"/>
              </w:rPr>
              <w:t>(</w:t>
            </w:r>
            <w:proofErr w:type="spellStart"/>
            <w:r w:rsidR="00DB7291">
              <w:rPr>
                <w:szCs w:val="21"/>
              </w:rPr>
              <w:t>μL</w:t>
            </w:r>
            <w:proofErr w:type="spellEnd"/>
            <w:r w:rsidRPr="00773472">
              <w:rPr>
                <w:b/>
                <w:bCs/>
                <w:szCs w:val="21"/>
              </w:rPr>
              <w:t>)</w:t>
            </w:r>
          </w:p>
        </w:tc>
      </w:tr>
      <w:tr w:rsidR="002C493F" w14:paraId="6F96E347" w14:textId="77777777" w:rsidTr="00E26488">
        <w:tc>
          <w:tcPr>
            <w:tcW w:w="2662" w:type="pct"/>
          </w:tcPr>
          <w:p w14:paraId="11848150" w14:textId="77777777" w:rsidR="002C493F" w:rsidRPr="00773472" w:rsidRDefault="002C493F" w:rsidP="00E26488">
            <w:pPr>
              <w:pStyle w:val="ListParagraph"/>
              <w:ind w:firstLineChars="0" w:firstLine="0"/>
              <w:jc w:val="center"/>
              <w:rPr>
                <w:b/>
                <w:bCs/>
                <w:szCs w:val="21"/>
              </w:rPr>
            </w:pPr>
            <w:r w:rsidRPr="00773472">
              <w:rPr>
                <w:szCs w:val="21"/>
              </w:rPr>
              <w:t>Nuclease-free water</w:t>
            </w:r>
          </w:p>
        </w:tc>
        <w:tc>
          <w:tcPr>
            <w:tcW w:w="2338" w:type="pct"/>
          </w:tcPr>
          <w:p w14:paraId="23618779" w14:textId="73489653" w:rsidR="002C493F" w:rsidRPr="00773472" w:rsidRDefault="002C493F" w:rsidP="00E26488">
            <w:pPr>
              <w:pStyle w:val="ListParagraph"/>
              <w:ind w:firstLineChars="0" w:firstLine="0"/>
              <w:jc w:val="center"/>
              <w:rPr>
                <w:szCs w:val="21"/>
              </w:rPr>
            </w:pPr>
            <w:r w:rsidRPr="00773472">
              <w:rPr>
                <w:szCs w:val="21"/>
              </w:rPr>
              <w:t xml:space="preserve">Add up to 50 </w:t>
            </w:r>
            <w:proofErr w:type="spellStart"/>
            <w:r w:rsidR="00DB7291">
              <w:rPr>
                <w:kern w:val="0"/>
                <w:szCs w:val="21"/>
              </w:rPr>
              <w:t>μL</w:t>
            </w:r>
            <w:proofErr w:type="spellEnd"/>
          </w:p>
        </w:tc>
      </w:tr>
      <w:tr w:rsidR="002C493F" w14:paraId="10473D7A" w14:textId="77777777" w:rsidTr="00E26488">
        <w:tc>
          <w:tcPr>
            <w:tcW w:w="2662" w:type="pct"/>
          </w:tcPr>
          <w:p w14:paraId="0A9A0F16" w14:textId="77777777" w:rsidR="002C493F" w:rsidRPr="00773472" w:rsidRDefault="002C493F" w:rsidP="00E26488">
            <w:pPr>
              <w:pStyle w:val="ListParagraph"/>
              <w:ind w:firstLineChars="0" w:firstLine="0"/>
              <w:jc w:val="center"/>
              <w:rPr>
                <w:b/>
                <w:bCs/>
                <w:szCs w:val="21"/>
              </w:rPr>
            </w:pPr>
            <w:r w:rsidRPr="00773472">
              <w:rPr>
                <w:szCs w:val="21"/>
              </w:rPr>
              <w:t>Primer Master Mix</w:t>
            </w:r>
          </w:p>
        </w:tc>
        <w:tc>
          <w:tcPr>
            <w:tcW w:w="2338" w:type="pct"/>
          </w:tcPr>
          <w:p w14:paraId="53416EDF" w14:textId="42BBEF1B" w:rsidR="002C493F" w:rsidRPr="00773472" w:rsidRDefault="002C493F" w:rsidP="00E26488">
            <w:pPr>
              <w:pStyle w:val="ListParagraph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 w:rsidR="00DB7291">
              <w:rPr>
                <w:szCs w:val="21"/>
              </w:rPr>
              <w:t xml:space="preserve"> </w:t>
            </w:r>
            <w:proofErr w:type="spellStart"/>
            <w:r w:rsidR="00DB7291">
              <w:rPr>
                <w:kern w:val="0"/>
                <w:szCs w:val="21"/>
              </w:rPr>
              <w:t>μL</w:t>
            </w:r>
            <w:proofErr w:type="spellEnd"/>
          </w:p>
        </w:tc>
      </w:tr>
      <w:tr w:rsidR="002C493F" w14:paraId="7AA8A8F4" w14:textId="77777777" w:rsidTr="00E26488">
        <w:tc>
          <w:tcPr>
            <w:tcW w:w="2662" w:type="pct"/>
          </w:tcPr>
          <w:p w14:paraId="180E2A58" w14:textId="77777777" w:rsidR="002C493F" w:rsidRPr="00773472" w:rsidRDefault="002C493F" w:rsidP="00E26488">
            <w:pPr>
              <w:pStyle w:val="ListParagraph"/>
              <w:ind w:firstLineChars="0" w:firstLine="0"/>
              <w:jc w:val="center"/>
              <w:rPr>
                <w:b/>
                <w:bCs/>
                <w:szCs w:val="21"/>
              </w:rPr>
            </w:pPr>
            <w:r w:rsidRPr="00773472">
              <w:rPr>
                <w:szCs w:val="21"/>
              </w:rPr>
              <w:t>gDNA(1-200 ng)</w:t>
            </w:r>
          </w:p>
        </w:tc>
        <w:tc>
          <w:tcPr>
            <w:tcW w:w="2338" w:type="pct"/>
          </w:tcPr>
          <w:p w14:paraId="727B2E35" w14:textId="3ED0A983" w:rsidR="002C493F" w:rsidRPr="00773472" w:rsidRDefault="002C493F" w:rsidP="00E26488">
            <w:pPr>
              <w:pStyle w:val="ListParagraph"/>
              <w:ind w:firstLineChars="0" w:firstLine="0"/>
              <w:jc w:val="center"/>
              <w:rPr>
                <w:szCs w:val="21"/>
              </w:rPr>
            </w:pPr>
            <w:r w:rsidRPr="00773472">
              <w:rPr>
                <w:szCs w:val="21"/>
              </w:rPr>
              <w:t xml:space="preserve">x </w:t>
            </w:r>
            <w:proofErr w:type="spellStart"/>
            <w:r w:rsidR="00DB7291">
              <w:rPr>
                <w:kern w:val="0"/>
                <w:szCs w:val="21"/>
              </w:rPr>
              <w:t>μL</w:t>
            </w:r>
            <w:proofErr w:type="spellEnd"/>
          </w:p>
        </w:tc>
      </w:tr>
      <w:tr w:rsidR="002C493F" w14:paraId="2FFA76B4" w14:textId="77777777" w:rsidTr="00E26488">
        <w:tc>
          <w:tcPr>
            <w:tcW w:w="2662" w:type="pct"/>
          </w:tcPr>
          <w:p w14:paraId="336682AA" w14:textId="77777777" w:rsidR="002C493F" w:rsidRPr="00773472" w:rsidRDefault="002C493F" w:rsidP="00333FF6">
            <w:pPr>
              <w:pStyle w:val="ListParagraph"/>
              <w:ind w:firstLineChars="0" w:firstLine="0"/>
              <w:jc w:val="center"/>
              <w:rPr>
                <w:b/>
                <w:bCs/>
                <w:szCs w:val="21"/>
              </w:rPr>
            </w:pPr>
            <w:r w:rsidRPr="00773472">
              <w:rPr>
                <w:szCs w:val="21"/>
              </w:rPr>
              <w:t>3</w:t>
            </w:r>
            <w:r w:rsidRPr="00DB7291">
              <w:rPr>
                <w:szCs w:val="21"/>
              </w:rPr>
              <w:t xml:space="preserve"> x </w:t>
            </w:r>
            <w:proofErr w:type="spellStart"/>
            <w:r w:rsidRPr="00333FF6">
              <w:rPr>
                <w:szCs w:val="21"/>
              </w:rPr>
              <w:t>EnzymeH</w:t>
            </w:r>
            <w:r>
              <w:rPr>
                <w:szCs w:val="21"/>
              </w:rPr>
              <w:t>T</w:t>
            </w:r>
            <w:proofErr w:type="spellEnd"/>
          </w:p>
        </w:tc>
        <w:tc>
          <w:tcPr>
            <w:tcW w:w="2338" w:type="pct"/>
          </w:tcPr>
          <w:p w14:paraId="7EAF8E7E" w14:textId="6603E419" w:rsidR="002C493F" w:rsidRPr="00773472" w:rsidRDefault="002C493F" w:rsidP="00E26488">
            <w:pPr>
              <w:pStyle w:val="ListParagraph"/>
              <w:ind w:firstLineChars="0" w:firstLine="0"/>
              <w:jc w:val="center"/>
              <w:rPr>
                <w:szCs w:val="21"/>
              </w:rPr>
            </w:pPr>
            <w:r w:rsidRPr="00773472">
              <w:rPr>
                <w:szCs w:val="21"/>
              </w:rPr>
              <w:t>17</w:t>
            </w:r>
            <w:r w:rsidR="00DB7291">
              <w:rPr>
                <w:szCs w:val="21"/>
              </w:rPr>
              <w:t xml:space="preserve"> </w:t>
            </w:r>
            <w:proofErr w:type="spellStart"/>
            <w:r w:rsidR="00DB7291">
              <w:rPr>
                <w:kern w:val="0"/>
                <w:szCs w:val="21"/>
              </w:rPr>
              <w:t>μL</w:t>
            </w:r>
            <w:proofErr w:type="spellEnd"/>
          </w:p>
        </w:tc>
      </w:tr>
    </w:tbl>
    <w:p w14:paraId="36A8A5D7" w14:textId="77777777" w:rsidR="002C493F" w:rsidRPr="009C0E7D" w:rsidRDefault="002C493F" w:rsidP="0042661F">
      <w:pPr>
        <w:pStyle w:val="ListParagraph"/>
        <w:ind w:firstLineChars="0" w:firstLine="0"/>
      </w:pPr>
      <w:r w:rsidRPr="00F948A8">
        <w:t xml:space="preserve">After PCR setup, run the </w:t>
      </w:r>
      <w:r>
        <w:t>multiplex</w:t>
      </w:r>
      <w:r w:rsidRPr="00F948A8">
        <w:t xml:space="preserve"> PCR in a thermocycler: </w:t>
      </w:r>
      <w:r>
        <w:t>i</w:t>
      </w:r>
      <w:r w:rsidRPr="00780DE5">
        <w:t>nitial denaturation</w:t>
      </w:r>
      <w:r w:rsidRPr="00780DE5" w:rsidDel="00F948A8">
        <w:t xml:space="preserve"> </w:t>
      </w:r>
      <w:r w:rsidRPr="009C0E7D">
        <w:t xml:space="preserve">at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8"/>
          <w:attr w:name="UnitName" w:val="℃"/>
        </w:smartTagPr>
        <w:r w:rsidRPr="009C0E7D">
          <w:t>98</w:t>
        </w:r>
        <w:r w:rsidRPr="00DB7291">
          <w:rPr>
            <w:rFonts w:hint="eastAsia"/>
          </w:rPr>
          <w:t>℃</w:t>
        </w:r>
      </w:smartTag>
      <w:r w:rsidRPr="009C0E7D">
        <w:t xml:space="preserve"> for 3 min, </w:t>
      </w:r>
      <w:r w:rsidRPr="00780DE5">
        <w:t>followed by</w:t>
      </w:r>
      <w:r w:rsidRPr="009C0E7D">
        <w:t xml:space="preserve"> </w:t>
      </w:r>
      <w:r>
        <w:t>32</w:t>
      </w:r>
      <w:r w:rsidRPr="009C0E7D">
        <w:t xml:space="preserve"> cycles of </w:t>
      </w:r>
      <w:r w:rsidRPr="00780DE5">
        <w:t xml:space="preserve">denaturation </w:t>
      </w:r>
      <w:r>
        <w:t xml:space="preserve">for </w:t>
      </w:r>
      <w:r w:rsidRPr="009C0E7D">
        <w:t xml:space="preserve">20 s at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8"/>
          <w:attr w:name="UnitName" w:val="℃"/>
        </w:smartTagPr>
        <w:r w:rsidRPr="009C0E7D">
          <w:t>98</w:t>
        </w:r>
        <w:r w:rsidRPr="00DB7291">
          <w:rPr>
            <w:rFonts w:hint="eastAsia"/>
          </w:rPr>
          <w:t>℃</w:t>
        </w:r>
      </w:smartTag>
      <w:r w:rsidRPr="009C0E7D">
        <w:t xml:space="preserve">, </w:t>
      </w:r>
      <w:r>
        <w:t>a</w:t>
      </w:r>
      <w:r w:rsidRPr="00780DE5">
        <w:t xml:space="preserve">nnealing </w:t>
      </w:r>
      <w:r>
        <w:t>&amp; e</w:t>
      </w:r>
      <w:r w:rsidRPr="00780DE5">
        <w:t xml:space="preserve">longation </w:t>
      </w:r>
      <w:r>
        <w:t>for 6</w:t>
      </w:r>
      <w:r w:rsidRPr="009C0E7D">
        <w:t xml:space="preserve"> min at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4"/>
          <w:attr w:name="UnitName" w:val="℃"/>
        </w:smartTagPr>
        <w:r>
          <w:t>64</w:t>
        </w:r>
        <w:r w:rsidRPr="00DB7291">
          <w:rPr>
            <w:rFonts w:hint="eastAsia"/>
          </w:rPr>
          <w:t>℃</w:t>
        </w:r>
      </w:smartTag>
      <w:r w:rsidRPr="009C0E7D">
        <w:t>,</w:t>
      </w:r>
      <w:r>
        <w:t xml:space="preserve">. The protocol </w:t>
      </w:r>
      <w:r w:rsidRPr="00CC604C">
        <w:t>ends with a final extension</w:t>
      </w:r>
      <w:r>
        <w:t xml:space="preserve"> </w:t>
      </w:r>
      <w:r w:rsidRPr="009C0E7D">
        <w:t xml:space="preserve">at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2"/>
          <w:attr w:name="UnitName" w:val="℃"/>
        </w:smartTagPr>
        <w:r w:rsidRPr="009C0E7D">
          <w:t>72</w:t>
        </w:r>
        <w:r w:rsidRPr="00DB7291">
          <w:rPr>
            <w:rFonts w:hint="eastAsia"/>
          </w:rPr>
          <w:t>℃</w:t>
        </w:r>
      </w:smartTag>
      <w:r>
        <w:t xml:space="preserve"> </w:t>
      </w:r>
      <w:r w:rsidRPr="009C0E7D">
        <w:t>for 2 min.</w:t>
      </w:r>
    </w:p>
    <w:p w14:paraId="7EEF09C2" w14:textId="77777777" w:rsidR="002C493F" w:rsidRPr="006A5C28" w:rsidRDefault="002C493F" w:rsidP="0042661F">
      <w:pPr>
        <w:pStyle w:val="ListParagraph"/>
        <w:numPr>
          <w:ilvl w:val="1"/>
          <w:numId w:val="1"/>
        </w:numPr>
        <w:ind w:firstLineChars="0"/>
        <w:rPr>
          <w:b/>
          <w:bCs/>
          <w:lang w:val="fr-FR"/>
        </w:rPr>
      </w:pPr>
      <w:r w:rsidRPr="006A5C28">
        <w:rPr>
          <w:b/>
          <w:bCs/>
          <w:lang w:val="fr-FR"/>
        </w:rPr>
        <w:t>Purification of PCR products</w:t>
      </w:r>
    </w:p>
    <w:p w14:paraId="335663D1" w14:textId="77777777" w:rsidR="002C493F" w:rsidRDefault="002C493F" w:rsidP="0042661F">
      <w:pPr>
        <w:pStyle w:val="ListParagraph"/>
        <w:ind w:firstLineChars="0" w:firstLine="0"/>
      </w:pPr>
      <w:r>
        <w:t xml:space="preserve">Purify the reactions using the </w:t>
      </w:r>
      <w:proofErr w:type="spellStart"/>
      <w:r>
        <w:t>Agencourt</w:t>
      </w:r>
      <w:proofErr w:type="spellEnd"/>
      <w:r>
        <w:t xml:space="preserve"> </w:t>
      </w:r>
      <w:proofErr w:type="spellStart"/>
      <w:r>
        <w:t>AMPure</w:t>
      </w:r>
      <w:proofErr w:type="spellEnd"/>
      <w:r>
        <w:t xml:space="preserve"> XP Reagent beads according to manufacturer’s instructions. At last, using a pipette, remove residual traces of ethanol. Let the beads air-dry for 8-10 min at room temperature without caps.</w:t>
      </w:r>
      <w:r w:rsidRPr="004A797F">
        <w:t xml:space="preserve"> </w:t>
      </w:r>
      <w:r>
        <w:t>The DNA attached in beads in this step will be the template for indexing PCR.</w:t>
      </w:r>
    </w:p>
    <w:p w14:paraId="14402B03" w14:textId="77777777" w:rsidR="002C493F" w:rsidRPr="006A5C28" w:rsidRDefault="002C493F" w:rsidP="0042661F">
      <w:pPr>
        <w:pStyle w:val="ListParagraph"/>
        <w:numPr>
          <w:ilvl w:val="1"/>
          <w:numId w:val="1"/>
        </w:numPr>
        <w:ind w:firstLineChars="0"/>
        <w:rPr>
          <w:b/>
          <w:bCs/>
          <w:lang w:val="fr-FR"/>
        </w:rPr>
      </w:pPr>
      <w:r w:rsidRPr="006A5C28">
        <w:rPr>
          <w:b/>
          <w:bCs/>
          <w:lang w:val="fr-FR"/>
        </w:rPr>
        <w:t>Indexing PCR</w:t>
      </w:r>
    </w:p>
    <w:p w14:paraId="7CBEBCA5" w14:textId="77777777" w:rsidR="002C493F" w:rsidRDefault="002C493F" w:rsidP="0042661F">
      <w:pPr>
        <w:pStyle w:val="ListParagraph"/>
        <w:ind w:firstLineChars="0" w:firstLine="0"/>
      </w:pPr>
      <w:r>
        <w:t xml:space="preserve">Prepare the master mix by adding all reagents except the barcoded indexing primers. Then add the master mix into PCR tubes from the purification step. </w:t>
      </w:r>
      <w:r w:rsidRPr="00511FED">
        <w:t xml:space="preserve">Mix carefully by </w:t>
      </w:r>
      <w:r>
        <w:t>pipetting. At last, add the indexing primer.</w:t>
      </w:r>
    </w:p>
    <w:p w14:paraId="3C580CBD" w14:textId="77777777" w:rsidR="002C493F" w:rsidRDefault="002C493F" w:rsidP="0042661F">
      <w:pPr>
        <w:pStyle w:val="ListParagraph"/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33"/>
        <w:gridCol w:w="3567"/>
      </w:tblGrid>
      <w:tr w:rsidR="002C493F" w:rsidRPr="005472A8" w14:paraId="25B33E0F" w14:textId="77777777" w:rsidTr="00E26488">
        <w:tc>
          <w:tcPr>
            <w:tcW w:w="2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18ED7FCF" w14:textId="77777777" w:rsidR="002C493F" w:rsidRPr="00773472" w:rsidRDefault="002C493F" w:rsidP="00E26488">
            <w:pPr>
              <w:pStyle w:val="ListParagraph"/>
              <w:ind w:firstLineChars="0" w:firstLine="0"/>
              <w:jc w:val="center"/>
              <w:rPr>
                <w:b/>
                <w:bCs/>
                <w:szCs w:val="21"/>
              </w:rPr>
            </w:pPr>
            <w:r w:rsidRPr="00773472">
              <w:rPr>
                <w:szCs w:val="21"/>
              </w:rPr>
              <w:t>Reagent</w:t>
            </w: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6A4CF72C" w14:textId="3E52874C" w:rsidR="002C493F" w:rsidRPr="00773472" w:rsidRDefault="002C493F" w:rsidP="00E26488">
            <w:pPr>
              <w:pStyle w:val="ListParagraph"/>
              <w:ind w:firstLineChars="0" w:firstLine="0"/>
              <w:jc w:val="center"/>
              <w:rPr>
                <w:b/>
                <w:bCs/>
                <w:kern w:val="0"/>
                <w:szCs w:val="21"/>
              </w:rPr>
            </w:pPr>
            <w:r w:rsidRPr="00773472">
              <w:rPr>
                <w:szCs w:val="21"/>
              </w:rPr>
              <w:t>Volume per reaction(</w:t>
            </w:r>
            <w:proofErr w:type="spellStart"/>
            <w:r w:rsidR="00DB7291">
              <w:rPr>
                <w:szCs w:val="21"/>
              </w:rPr>
              <w:t>μL</w:t>
            </w:r>
            <w:proofErr w:type="spellEnd"/>
            <w:r w:rsidRPr="00773472">
              <w:rPr>
                <w:szCs w:val="21"/>
              </w:rPr>
              <w:t>)</w:t>
            </w:r>
          </w:p>
        </w:tc>
      </w:tr>
      <w:tr w:rsidR="002C493F" w:rsidRPr="005472A8" w14:paraId="5A2B025B" w14:textId="77777777" w:rsidTr="00E26488">
        <w:tc>
          <w:tcPr>
            <w:tcW w:w="2851" w:type="pct"/>
            <w:tcBorders>
              <w:top w:val="single" w:sz="4" w:space="0" w:color="auto"/>
            </w:tcBorders>
          </w:tcPr>
          <w:p w14:paraId="68608E94" w14:textId="77777777" w:rsidR="002C493F" w:rsidRPr="00773472" w:rsidRDefault="002C493F" w:rsidP="00E26488">
            <w:pPr>
              <w:pStyle w:val="ListParagraph"/>
              <w:ind w:firstLineChars="0" w:firstLine="0"/>
              <w:jc w:val="center"/>
              <w:rPr>
                <w:b/>
                <w:bCs/>
                <w:szCs w:val="21"/>
              </w:rPr>
            </w:pPr>
            <w:r w:rsidRPr="00773472">
              <w:rPr>
                <w:szCs w:val="21"/>
              </w:rPr>
              <w:lastRenderedPageBreak/>
              <w:t>Nuclease-free water</w:t>
            </w:r>
          </w:p>
        </w:tc>
        <w:tc>
          <w:tcPr>
            <w:tcW w:w="2149" w:type="pct"/>
            <w:tcBorders>
              <w:top w:val="single" w:sz="4" w:space="0" w:color="auto"/>
            </w:tcBorders>
          </w:tcPr>
          <w:p w14:paraId="5B4AA865" w14:textId="7F1D3DE1" w:rsidR="002C493F" w:rsidRPr="00773472" w:rsidRDefault="002C493F" w:rsidP="00E26488">
            <w:pPr>
              <w:pStyle w:val="ListParagraph"/>
              <w:ind w:firstLineChars="0" w:firstLine="0"/>
              <w:jc w:val="center"/>
              <w:rPr>
                <w:szCs w:val="21"/>
              </w:rPr>
            </w:pPr>
            <w:r w:rsidRPr="00773472">
              <w:rPr>
                <w:szCs w:val="21"/>
              </w:rPr>
              <w:t xml:space="preserve">18 </w:t>
            </w:r>
            <w:proofErr w:type="spellStart"/>
            <w:r w:rsidR="00DB7291">
              <w:rPr>
                <w:kern w:val="0"/>
                <w:szCs w:val="21"/>
              </w:rPr>
              <w:t>μL</w:t>
            </w:r>
            <w:proofErr w:type="spellEnd"/>
          </w:p>
        </w:tc>
      </w:tr>
      <w:tr w:rsidR="002C493F" w:rsidRPr="005472A8" w14:paraId="71017C60" w14:textId="77777777" w:rsidTr="00E26488">
        <w:tc>
          <w:tcPr>
            <w:tcW w:w="2851" w:type="pct"/>
          </w:tcPr>
          <w:p w14:paraId="3F064AD4" w14:textId="77777777" w:rsidR="002C493F" w:rsidRPr="00773472" w:rsidRDefault="002C493F" w:rsidP="00E26488">
            <w:pPr>
              <w:pStyle w:val="ListParagraph"/>
              <w:ind w:firstLineChars="0" w:firstLine="0"/>
              <w:jc w:val="center"/>
              <w:rPr>
                <w:b/>
                <w:bCs/>
                <w:szCs w:val="21"/>
              </w:rPr>
            </w:pPr>
            <w:proofErr w:type="spellStart"/>
            <w:r w:rsidRPr="00773472">
              <w:rPr>
                <w:szCs w:val="21"/>
              </w:rPr>
              <w:t>Primer_LF</w:t>
            </w:r>
            <w:proofErr w:type="spellEnd"/>
            <w:r w:rsidRPr="00773472">
              <w:rPr>
                <w:szCs w:val="21"/>
              </w:rPr>
              <w:t xml:space="preserve">(10 </w:t>
            </w:r>
            <w:proofErr w:type="spellStart"/>
            <w:r w:rsidRPr="00333FF6">
              <w:rPr>
                <w:szCs w:val="21"/>
              </w:rPr>
              <w:t>μM</w:t>
            </w:r>
            <w:proofErr w:type="spellEnd"/>
            <w:r w:rsidRPr="00773472">
              <w:rPr>
                <w:b/>
                <w:bCs/>
                <w:szCs w:val="21"/>
              </w:rPr>
              <w:t>)</w:t>
            </w:r>
          </w:p>
        </w:tc>
        <w:tc>
          <w:tcPr>
            <w:tcW w:w="2149" w:type="pct"/>
          </w:tcPr>
          <w:p w14:paraId="6F7184D3" w14:textId="1FDBE7B0" w:rsidR="002C493F" w:rsidRPr="00773472" w:rsidRDefault="002C493F" w:rsidP="00E26488">
            <w:pPr>
              <w:pStyle w:val="ListParagraph"/>
              <w:ind w:firstLineChars="0" w:firstLine="0"/>
              <w:jc w:val="center"/>
              <w:rPr>
                <w:szCs w:val="21"/>
              </w:rPr>
            </w:pPr>
            <w:r w:rsidRPr="00773472">
              <w:rPr>
                <w:szCs w:val="21"/>
              </w:rPr>
              <w:t>1</w:t>
            </w:r>
            <w:r w:rsidR="00DB7291">
              <w:rPr>
                <w:szCs w:val="21"/>
              </w:rPr>
              <w:t xml:space="preserve"> </w:t>
            </w:r>
            <w:proofErr w:type="spellStart"/>
            <w:r w:rsidR="00DB7291">
              <w:rPr>
                <w:kern w:val="0"/>
                <w:szCs w:val="21"/>
              </w:rPr>
              <w:t>μL</w:t>
            </w:r>
            <w:proofErr w:type="spellEnd"/>
          </w:p>
        </w:tc>
      </w:tr>
      <w:tr w:rsidR="002C493F" w:rsidRPr="005472A8" w14:paraId="254C7ED0" w14:textId="77777777" w:rsidTr="00E26488">
        <w:tc>
          <w:tcPr>
            <w:tcW w:w="2851" w:type="pct"/>
          </w:tcPr>
          <w:p w14:paraId="610D541A" w14:textId="77777777" w:rsidR="002C493F" w:rsidRPr="00333FF6" w:rsidRDefault="002C493F" w:rsidP="00E26488">
            <w:pPr>
              <w:pStyle w:val="ListParagraph"/>
              <w:ind w:firstLineChars="0" w:firstLine="0"/>
              <w:jc w:val="center"/>
              <w:rPr>
                <w:b/>
                <w:bCs/>
                <w:szCs w:val="21"/>
              </w:rPr>
            </w:pPr>
            <w:r w:rsidRPr="00333FF6">
              <w:rPr>
                <w:szCs w:val="21"/>
              </w:rPr>
              <w:t xml:space="preserve">Indexing Primer(10 </w:t>
            </w:r>
            <w:proofErr w:type="spellStart"/>
            <w:r w:rsidRPr="00333FF6">
              <w:rPr>
                <w:szCs w:val="21"/>
              </w:rPr>
              <w:t>μM</w:t>
            </w:r>
            <w:proofErr w:type="spellEnd"/>
            <w:r w:rsidRPr="00333FF6">
              <w:rPr>
                <w:szCs w:val="21"/>
              </w:rPr>
              <w:t>)</w:t>
            </w:r>
          </w:p>
        </w:tc>
        <w:tc>
          <w:tcPr>
            <w:tcW w:w="2149" w:type="pct"/>
          </w:tcPr>
          <w:p w14:paraId="57605292" w14:textId="525403A8" w:rsidR="002C493F" w:rsidRPr="00773472" w:rsidRDefault="002C493F" w:rsidP="00E26488">
            <w:pPr>
              <w:pStyle w:val="ListParagraph"/>
              <w:ind w:firstLineChars="0" w:firstLine="0"/>
              <w:jc w:val="center"/>
              <w:rPr>
                <w:szCs w:val="21"/>
              </w:rPr>
            </w:pPr>
            <w:r w:rsidRPr="00773472">
              <w:rPr>
                <w:szCs w:val="21"/>
              </w:rPr>
              <w:t>1</w:t>
            </w:r>
            <w:r w:rsidR="00DB7291">
              <w:rPr>
                <w:szCs w:val="21"/>
              </w:rPr>
              <w:t xml:space="preserve"> </w:t>
            </w:r>
            <w:proofErr w:type="spellStart"/>
            <w:r w:rsidR="00DB7291">
              <w:rPr>
                <w:kern w:val="0"/>
                <w:szCs w:val="21"/>
              </w:rPr>
              <w:t>μL</w:t>
            </w:r>
            <w:proofErr w:type="spellEnd"/>
          </w:p>
        </w:tc>
      </w:tr>
      <w:tr w:rsidR="002C493F" w:rsidRPr="005472A8" w14:paraId="5EC93B92" w14:textId="77777777" w:rsidTr="00E26488">
        <w:tc>
          <w:tcPr>
            <w:tcW w:w="2851" w:type="pct"/>
            <w:tcBorders>
              <w:bottom w:val="single" w:sz="4" w:space="0" w:color="auto"/>
            </w:tcBorders>
          </w:tcPr>
          <w:p w14:paraId="02A9A7E4" w14:textId="77777777" w:rsidR="002C493F" w:rsidRPr="00333FF6" w:rsidRDefault="002C493F" w:rsidP="00E26488">
            <w:pPr>
              <w:pStyle w:val="ListParagraph"/>
              <w:ind w:firstLineChars="0" w:firstLine="0"/>
              <w:jc w:val="center"/>
              <w:rPr>
                <w:b/>
                <w:bCs/>
                <w:szCs w:val="21"/>
              </w:rPr>
            </w:pPr>
            <w:r w:rsidRPr="00333FF6">
              <w:rPr>
                <w:szCs w:val="21"/>
              </w:rPr>
              <w:t xml:space="preserve">3 x </w:t>
            </w:r>
            <w:proofErr w:type="spellStart"/>
            <w:r w:rsidRPr="00333FF6">
              <w:rPr>
                <w:szCs w:val="21"/>
              </w:rPr>
              <w:t>EnzymeHT</w:t>
            </w:r>
            <w:proofErr w:type="spellEnd"/>
          </w:p>
        </w:tc>
        <w:tc>
          <w:tcPr>
            <w:tcW w:w="2149" w:type="pct"/>
            <w:tcBorders>
              <w:bottom w:val="single" w:sz="4" w:space="0" w:color="auto"/>
            </w:tcBorders>
          </w:tcPr>
          <w:p w14:paraId="419A7D64" w14:textId="7C1D3120" w:rsidR="002C493F" w:rsidRPr="00773472" w:rsidRDefault="002C493F" w:rsidP="00E26488">
            <w:pPr>
              <w:pStyle w:val="ListParagraph"/>
              <w:ind w:firstLineChars="0" w:firstLine="0"/>
              <w:jc w:val="center"/>
              <w:rPr>
                <w:szCs w:val="21"/>
              </w:rPr>
            </w:pPr>
            <w:r w:rsidRPr="00773472">
              <w:rPr>
                <w:szCs w:val="21"/>
              </w:rPr>
              <w:t>10</w:t>
            </w:r>
            <w:r w:rsidR="00DB7291">
              <w:rPr>
                <w:szCs w:val="21"/>
              </w:rPr>
              <w:t xml:space="preserve"> </w:t>
            </w:r>
            <w:proofErr w:type="spellStart"/>
            <w:r w:rsidR="00DB7291">
              <w:rPr>
                <w:kern w:val="0"/>
                <w:szCs w:val="21"/>
              </w:rPr>
              <w:t>μL</w:t>
            </w:r>
            <w:proofErr w:type="spellEnd"/>
          </w:p>
        </w:tc>
      </w:tr>
    </w:tbl>
    <w:p w14:paraId="68FF4380" w14:textId="77777777" w:rsidR="002C493F" w:rsidRPr="00BA0CD0" w:rsidRDefault="002C493F" w:rsidP="0042661F">
      <w:pPr>
        <w:pStyle w:val="ListParagraph"/>
        <w:ind w:left="360" w:firstLineChars="0" w:firstLine="0"/>
      </w:pPr>
    </w:p>
    <w:p w14:paraId="23CD822F" w14:textId="684AF149" w:rsidR="002C493F" w:rsidRDefault="002C493F" w:rsidP="0042661F">
      <w:pPr>
        <w:pStyle w:val="ListParagraph"/>
        <w:ind w:firstLineChars="0" w:firstLine="0"/>
      </w:pPr>
      <w:r w:rsidRPr="00F6409F">
        <w:t xml:space="preserve">After PCR setup, run the </w:t>
      </w:r>
      <w:r>
        <w:t>indexing</w:t>
      </w:r>
      <w:r w:rsidRPr="00F6409F">
        <w:t xml:space="preserve"> PCR in a thermocycler: initial denaturation at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8"/>
          <w:attr w:name="UnitName" w:val="℃"/>
        </w:smartTagPr>
        <w:r w:rsidRPr="00F6409F">
          <w:t>98</w:t>
        </w:r>
        <w:r w:rsidRPr="00DB7291">
          <w:rPr>
            <w:rFonts w:hint="eastAsia"/>
          </w:rPr>
          <w:t>℃</w:t>
        </w:r>
      </w:smartTag>
      <w:r w:rsidRPr="00F6409F">
        <w:t xml:space="preserve"> for </w:t>
      </w:r>
      <w:r>
        <w:t>2</w:t>
      </w:r>
      <w:r w:rsidR="00DB7291">
        <w:t xml:space="preserve"> </w:t>
      </w:r>
      <w:r w:rsidRPr="00F6409F">
        <w:t xml:space="preserve">min, followed by </w:t>
      </w:r>
      <w:r>
        <w:t>8</w:t>
      </w:r>
      <w:r w:rsidRPr="00F6409F">
        <w:t xml:space="preserve"> cycles of denaturation for </w:t>
      </w:r>
      <w:r>
        <w:t>15</w:t>
      </w:r>
      <w:r w:rsidRPr="00F6409F">
        <w:t xml:space="preserve"> s at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8"/>
          <w:attr w:name="UnitName" w:val="℃"/>
        </w:smartTagPr>
        <w:r w:rsidRPr="00F6409F">
          <w:t>98</w:t>
        </w:r>
        <w:r w:rsidRPr="00DB7291">
          <w:rPr>
            <w:rFonts w:hint="eastAsia"/>
          </w:rPr>
          <w:t>℃</w:t>
        </w:r>
      </w:smartTag>
      <w:r>
        <w:t>, annealing</w:t>
      </w:r>
      <w:r w:rsidRPr="00F6409F">
        <w:t xml:space="preserve"> for </w:t>
      </w:r>
      <w:r>
        <w:t>30</w:t>
      </w:r>
      <w:r w:rsidRPr="00F6409F">
        <w:t xml:space="preserve"> s at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5"/>
          <w:attr w:name="UnitName" w:val="℃"/>
        </w:smartTagPr>
        <w:r w:rsidRPr="00F6409F">
          <w:t>5</w:t>
        </w:r>
        <w:r>
          <w:t>5</w:t>
        </w:r>
        <w:r w:rsidRPr="00DB7291">
          <w:rPr>
            <w:rFonts w:hint="eastAsia"/>
          </w:rPr>
          <w:t>℃</w:t>
        </w:r>
      </w:smartTag>
      <w:r w:rsidRPr="00F6409F">
        <w:t>, elongation</w:t>
      </w:r>
      <w:r>
        <w:t xml:space="preserve"> </w:t>
      </w:r>
      <w:r w:rsidRPr="00F6409F">
        <w:t xml:space="preserve">for </w:t>
      </w:r>
      <w:r>
        <w:t>30</w:t>
      </w:r>
      <w:r w:rsidRPr="00F6409F">
        <w:t xml:space="preserve"> s at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2"/>
          <w:attr w:name="UnitName" w:val="℃"/>
        </w:smartTagPr>
        <w:r>
          <w:t>72</w:t>
        </w:r>
        <w:r w:rsidRPr="00DB7291">
          <w:rPr>
            <w:rFonts w:hint="eastAsia"/>
          </w:rPr>
          <w:t>℃</w:t>
        </w:r>
      </w:smartTag>
      <w:r w:rsidRPr="00F6409F">
        <w:t xml:space="preserve">. The protocol ends with a final extension at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2"/>
          <w:attr w:name="UnitName" w:val="℃"/>
        </w:smartTagPr>
        <w:r w:rsidRPr="00F6409F">
          <w:t>72</w:t>
        </w:r>
        <w:r w:rsidRPr="00DB7291">
          <w:rPr>
            <w:rFonts w:hint="eastAsia"/>
          </w:rPr>
          <w:t>℃</w:t>
        </w:r>
      </w:smartTag>
      <w:r w:rsidRPr="00F6409F">
        <w:t xml:space="preserve"> for 2 min.</w:t>
      </w:r>
      <w:r>
        <w:t xml:space="preserve"> </w:t>
      </w:r>
    </w:p>
    <w:p w14:paraId="1E080225" w14:textId="77777777" w:rsidR="002C493F" w:rsidRPr="006A5C28" w:rsidRDefault="002C493F" w:rsidP="0042661F">
      <w:pPr>
        <w:pStyle w:val="ListParagraph"/>
        <w:numPr>
          <w:ilvl w:val="1"/>
          <w:numId w:val="1"/>
        </w:numPr>
        <w:ind w:firstLineChars="0"/>
        <w:rPr>
          <w:b/>
          <w:bCs/>
          <w:lang w:val="fr-FR"/>
        </w:rPr>
      </w:pPr>
      <w:r w:rsidRPr="006A5C28">
        <w:rPr>
          <w:b/>
          <w:bCs/>
          <w:lang w:val="fr-FR"/>
        </w:rPr>
        <w:t>Purification of PCR products</w:t>
      </w:r>
    </w:p>
    <w:p w14:paraId="3446FA58" w14:textId="06F28473" w:rsidR="002C493F" w:rsidRDefault="002C493F" w:rsidP="0042661F">
      <w:r>
        <w:t>Purify the reactions using the beads according to manufacturer’s instructions.</w:t>
      </w:r>
      <w:r w:rsidRPr="00F6409F">
        <w:t xml:space="preserve"> </w:t>
      </w:r>
      <w:r>
        <w:t xml:space="preserve">Elute and store DNA in 20 </w:t>
      </w:r>
      <w:proofErr w:type="spellStart"/>
      <w:r w:rsidR="00DB7291">
        <w:t>μL</w:t>
      </w:r>
      <w:proofErr w:type="spellEnd"/>
      <w:r>
        <w:t xml:space="preserve"> HPLC grade water.</w:t>
      </w:r>
    </w:p>
    <w:p w14:paraId="21FEBE97" w14:textId="77777777" w:rsidR="002C493F" w:rsidRPr="006A5C28" w:rsidRDefault="002C493F" w:rsidP="0042661F">
      <w:pPr>
        <w:pStyle w:val="ListParagraph"/>
        <w:numPr>
          <w:ilvl w:val="1"/>
          <w:numId w:val="1"/>
        </w:numPr>
        <w:ind w:firstLineChars="0"/>
        <w:rPr>
          <w:b/>
          <w:bCs/>
          <w:lang w:val="fr-FR"/>
        </w:rPr>
      </w:pPr>
      <w:r w:rsidRPr="006A5C28">
        <w:rPr>
          <w:b/>
          <w:bCs/>
          <w:lang w:val="fr-FR"/>
        </w:rPr>
        <w:t>Quantification</w:t>
      </w:r>
    </w:p>
    <w:p w14:paraId="44E2584F" w14:textId="77777777" w:rsidR="002C493F" w:rsidRDefault="002C493F" w:rsidP="0042661F">
      <w:r>
        <w:t xml:space="preserve">Quantify the purified amplicon libraries with the </w:t>
      </w:r>
      <w:r w:rsidRPr="009A7001">
        <w:t>Qubit® dsDNA HS Assay Kits</w:t>
      </w:r>
      <w:r>
        <w:t xml:space="preserve"> according to manufacturer’s instructions. Then </w:t>
      </w:r>
      <w:r w:rsidRPr="009A7001">
        <w:t>Pool all sample libraries using an equal amount of DNA.</w:t>
      </w:r>
    </w:p>
    <w:p w14:paraId="3A62A40B" w14:textId="77777777" w:rsidR="002C493F" w:rsidRPr="006A5C28" w:rsidRDefault="002C493F" w:rsidP="0042661F">
      <w:pPr>
        <w:pStyle w:val="ListParagraph"/>
        <w:numPr>
          <w:ilvl w:val="1"/>
          <w:numId w:val="1"/>
        </w:numPr>
        <w:ind w:firstLineChars="0"/>
        <w:rPr>
          <w:b/>
          <w:bCs/>
          <w:lang w:val="fr-FR"/>
        </w:rPr>
      </w:pPr>
      <w:r w:rsidRPr="006A5C28">
        <w:rPr>
          <w:b/>
          <w:bCs/>
          <w:lang w:val="fr-FR"/>
        </w:rPr>
        <w:t>Sequencing</w:t>
      </w:r>
    </w:p>
    <w:p w14:paraId="753C0F90" w14:textId="77777777" w:rsidR="002C493F" w:rsidRDefault="002C493F" w:rsidP="0042661F">
      <w:r>
        <w:t>Measure the DNA concentration of the pooled library on a Qubit fluorometer according to manufacturer’s instructions, and dilute to the required concentration.</w:t>
      </w:r>
      <w:r w:rsidRPr="009A7001">
        <w:t xml:space="preserve"> </w:t>
      </w:r>
      <w:r>
        <w:t xml:space="preserve">Sequence purified and pooled amplicon libraries on </w:t>
      </w:r>
      <w:proofErr w:type="spellStart"/>
      <w:r w:rsidRPr="00AE4442">
        <w:t>Novaseq</w:t>
      </w:r>
      <w:proofErr w:type="spellEnd"/>
      <w:r w:rsidRPr="00AE4442">
        <w:t xml:space="preserve"> 6000</w:t>
      </w:r>
      <w:r>
        <w:t xml:space="preserve"> sequencers according to manufacturer’s instructions.</w:t>
      </w:r>
    </w:p>
    <w:p w14:paraId="1C2DF1CA" w14:textId="77777777" w:rsidR="002C493F" w:rsidRDefault="002C493F" w:rsidP="0042661F"/>
    <w:p w14:paraId="29A18A35" w14:textId="77777777" w:rsidR="002C493F" w:rsidRPr="0041762A" w:rsidRDefault="002C493F" w:rsidP="0041762A">
      <w:pPr>
        <w:pStyle w:val="ListParagraph"/>
        <w:numPr>
          <w:ilvl w:val="0"/>
          <w:numId w:val="3"/>
        </w:numPr>
        <w:ind w:firstLineChars="0"/>
        <w:rPr>
          <w:b/>
          <w:bCs/>
          <w:sz w:val="28"/>
          <w:szCs w:val="28"/>
        </w:rPr>
      </w:pPr>
      <w:r w:rsidRPr="0041762A">
        <w:rPr>
          <w:b/>
          <w:bCs/>
          <w:sz w:val="28"/>
          <w:szCs w:val="28"/>
        </w:rPr>
        <w:t>Data Analysis</w:t>
      </w:r>
    </w:p>
    <w:p w14:paraId="353FD318" w14:textId="77777777" w:rsidR="002C493F" w:rsidRDefault="002C493F" w:rsidP="0042661F">
      <w:pPr>
        <w:pStyle w:val="ListParagraph"/>
        <w:numPr>
          <w:ilvl w:val="1"/>
          <w:numId w:val="3"/>
        </w:numPr>
        <w:ind w:firstLineChars="0"/>
        <w:rPr>
          <w:color w:val="000000"/>
        </w:rPr>
      </w:pPr>
      <w:proofErr w:type="spellStart"/>
      <w:r w:rsidRPr="00AE4442">
        <w:t>Novaseq</w:t>
      </w:r>
      <w:proofErr w:type="spellEnd"/>
      <w:r w:rsidRPr="00AE4442">
        <w:t xml:space="preserve"> 6000</w:t>
      </w:r>
      <w:r w:rsidRPr="006D7C44">
        <w:rPr>
          <w:color w:val="000000"/>
        </w:rPr>
        <w:t xml:space="preserve"> platform </w:t>
      </w:r>
      <w:r>
        <w:rPr>
          <w:color w:val="000000"/>
        </w:rPr>
        <w:t>was</w:t>
      </w:r>
      <w:r w:rsidRPr="006D7C44">
        <w:rPr>
          <w:color w:val="000000"/>
        </w:rPr>
        <w:t xml:space="preserve"> used for double-ended sequencing to obtain sequence data of 150</w:t>
      </w:r>
      <w:r>
        <w:rPr>
          <w:color w:val="000000"/>
        </w:rPr>
        <w:t>-</w:t>
      </w:r>
      <w:r w:rsidRPr="006D7C44">
        <w:rPr>
          <w:color w:val="000000"/>
        </w:rPr>
        <w:t xml:space="preserve">bp </w:t>
      </w:r>
      <w:r>
        <w:rPr>
          <w:color w:val="000000"/>
        </w:rPr>
        <w:t xml:space="preserve">paired-end reads </w:t>
      </w:r>
      <w:r w:rsidRPr="006D7C44">
        <w:rPr>
          <w:color w:val="000000"/>
        </w:rPr>
        <w:t>(</w:t>
      </w:r>
      <w:proofErr w:type="spellStart"/>
      <w:r w:rsidRPr="006D7C44">
        <w:rPr>
          <w:color w:val="000000"/>
        </w:rPr>
        <w:t>fastq</w:t>
      </w:r>
      <w:proofErr w:type="spellEnd"/>
      <w:r w:rsidRPr="006D7C44">
        <w:rPr>
          <w:color w:val="000000"/>
        </w:rPr>
        <w:t>).</w:t>
      </w:r>
    </w:p>
    <w:p w14:paraId="6C921044" w14:textId="77777777" w:rsidR="002C493F" w:rsidRPr="00811887" w:rsidRDefault="002C493F" w:rsidP="005C67D4">
      <w:pPr>
        <w:pStyle w:val="ListParagraph"/>
        <w:numPr>
          <w:ilvl w:val="1"/>
          <w:numId w:val="3"/>
        </w:numPr>
        <w:ind w:firstLineChars="0"/>
        <w:rPr>
          <w:color w:val="000000"/>
        </w:rPr>
      </w:pPr>
      <w:r w:rsidRPr="00811887">
        <w:rPr>
          <w:color w:val="000000"/>
        </w:rPr>
        <w:t xml:space="preserve">We clipped the sequencing adapters by </w:t>
      </w:r>
      <w:proofErr w:type="spellStart"/>
      <w:r w:rsidRPr="00811887">
        <w:rPr>
          <w:color w:val="000000"/>
        </w:rPr>
        <w:t>cutadapt</w:t>
      </w:r>
      <w:proofErr w:type="spellEnd"/>
      <w:r w:rsidRPr="00811887">
        <w:rPr>
          <w:color w:val="000000"/>
        </w:rPr>
        <w:t xml:space="preserve"> software.</w:t>
      </w:r>
    </w:p>
    <w:p w14:paraId="3A86E4A8" w14:textId="77777777" w:rsidR="002C493F" w:rsidRPr="00811887" w:rsidRDefault="002C493F" w:rsidP="0042661F">
      <w:pPr>
        <w:pStyle w:val="ListParagraph"/>
        <w:numPr>
          <w:ilvl w:val="1"/>
          <w:numId w:val="3"/>
        </w:numPr>
        <w:ind w:firstLineChars="0"/>
        <w:rPr>
          <w:color w:val="000000"/>
        </w:rPr>
      </w:pPr>
      <w:r w:rsidRPr="00811887">
        <w:rPr>
          <w:color w:val="000000"/>
        </w:rPr>
        <w:t xml:space="preserve">After adapter removing, reads </w:t>
      </w:r>
      <w:r w:rsidRPr="00811887">
        <w:rPr>
          <w:szCs w:val="21"/>
        </w:rPr>
        <w:t>were aligned to hg19 by bwa</w:t>
      </w:r>
      <w:r w:rsidRPr="00811887">
        <w:rPr>
          <w:color w:val="000000"/>
        </w:rPr>
        <w:t xml:space="preserve"> (parameter: </w:t>
      </w:r>
      <w:proofErr w:type="spellStart"/>
      <w:r w:rsidRPr="00811887">
        <w:rPr>
          <w:color w:val="000000"/>
        </w:rPr>
        <w:t>aln</w:t>
      </w:r>
      <w:proofErr w:type="spellEnd"/>
      <w:r w:rsidRPr="00811887">
        <w:rPr>
          <w:color w:val="000000"/>
        </w:rPr>
        <w:t xml:space="preserve">) </w:t>
      </w:r>
      <w:r>
        <w:rPr>
          <w:color w:val="000000"/>
        </w:rPr>
        <w:t>(</w:t>
      </w:r>
      <w:r w:rsidRPr="00811887">
        <w:rPr>
          <w:color w:val="000000"/>
        </w:rPr>
        <w:t>version 1.7</w:t>
      </w:r>
      <w:r>
        <w:rPr>
          <w:color w:val="000000"/>
        </w:rPr>
        <w:t xml:space="preserve">) </w:t>
      </w:r>
      <w:r w:rsidRPr="00811887">
        <w:rPr>
          <w:color w:val="000000"/>
        </w:rPr>
        <w:t>to generate BAM (Binary Alignment/Map) files.</w:t>
      </w:r>
    </w:p>
    <w:p w14:paraId="63FEE6DB" w14:textId="77777777" w:rsidR="002C493F" w:rsidRPr="00811887" w:rsidRDefault="002C493F" w:rsidP="0042661F">
      <w:pPr>
        <w:pStyle w:val="ListParagraph"/>
        <w:numPr>
          <w:ilvl w:val="1"/>
          <w:numId w:val="3"/>
        </w:numPr>
        <w:ind w:firstLineChars="0"/>
        <w:rPr>
          <w:color w:val="000000"/>
        </w:rPr>
      </w:pPr>
      <w:r w:rsidRPr="00811887">
        <w:rPr>
          <w:color w:val="000000"/>
        </w:rPr>
        <w:t>For the new</w:t>
      </w:r>
      <w:r w:rsidRPr="00811887">
        <w:rPr>
          <w:color w:val="000000"/>
          <w:szCs w:val="21"/>
        </w:rPr>
        <w:t xml:space="preserve"> BAM file, we used </w:t>
      </w:r>
      <w:proofErr w:type="spellStart"/>
      <w:r w:rsidRPr="00811887">
        <w:rPr>
          <w:color w:val="000000"/>
          <w:szCs w:val="21"/>
        </w:rPr>
        <w:t>BAMClipper</w:t>
      </w:r>
      <w:proofErr w:type="spellEnd"/>
      <w:r w:rsidRPr="00811887">
        <w:rPr>
          <w:color w:val="000000"/>
          <w:szCs w:val="21"/>
        </w:rPr>
        <w:t xml:space="preserve"> software </w:t>
      </w:r>
      <w:r w:rsidRPr="00811887">
        <w:rPr>
          <w:szCs w:val="21"/>
        </w:rPr>
        <w:t xml:space="preserve">(Au C H et al. 2017) </w:t>
      </w:r>
      <w:r w:rsidRPr="00811887">
        <w:rPr>
          <w:color w:val="000000"/>
          <w:szCs w:val="21"/>
        </w:rPr>
        <w:t>to get the final BAM file by removing the primer sequence from the BAM file according to the primer’s physical location.</w:t>
      </w:r>
    </w:p>
    <w:p w14:paraId="44EB59FE" w14:textId="77777777" w:rsidR="002C493F" w:rsidRPr="00811887" w:rsidRDefault="002C493F" w:rsidP="0042661F">
      <w:pPr>
        <w:pStyle w:val="ListParagraph"/>
        <w:numPr>
          <w:ilvl w:val="1"/>
          <w:numId w:val="3"/>
        </w:numPr>
        <w:ind w:firstLineChars="0"/>
      </w:pPr>
      <w:r w:rsidRPr="00811887">
        <w:t xml:space="preserve">We used </w:t>
      </w:r>
      <w:proofErr w:type="spellStart"/>
      <w:r w:rsidRPr="00811887">
        <w:t>samtools</w:t>
      </w:r>
      <w:proofErr w:type="spellEnd"/>
      <w:r w:rsidRPr="00811887">
        <w:t xml:space="preserve"> (version 1.8) and </w:t>
      </w:r>
      <w:proofErr w:type="spellStart"/>
      <w:r w:rsidRPr="00811887">
        <w:t>bcftools</w:t>
      </w:r>
      <w:proofErr w:type="spellEnd"/>
      <w:r w:rsidRPr="00811887">
        <w:t xml:space="preserve"> (version 1.8) to identify mutation sites (</w:t>
      </w:r>
      <w:proofErr w:type="spellStart"/>
      <w:r w:rsidRPr="00811887">
        <w:t>vcf</w:t>
      </w:r>
      <w:proofErr w:type="spellEnd"/>
      <w:r w:rsidRPr="00811887">
        <w:t>).</w:t>
      </w:r>
    </w:p>
    <w:p w14:paraId="13E83779" w14:textId="77777777" w:rsidR="002C493F" w:rsidRPr="00811887" w:rsidRDefault="002C493F" w:rsidP="0042661F">
      <w:pPr>
        <w:pStyle w:val="ListParagraph"/>
        <w:numPr>
          <w:ilvl w:val="1"/>
          <w:numId w:val="3"/>
        </w:numPr>
        <w:ind w:firstLineChars="0"/>
      </w:pPr>
      <w:r w:rsidRPr="00811887">
        <w:t>We checked the mutations by using IGV 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11887">
          <w:t>2.5.0</w:t>
        </w:r>
      </w:smartTag>
      <w:r w:rsidRPr="00811887">
        <w:t>).</w:t>
      </w:r>
    </w:p>
    <w:p w14:paraId="4EA4DA66" w14:textId="77777777" w:rsidR="002C493F" w:rsidRPr="009E004E" w:rsidRDefault="002C493F"/>
    <w:p w14:paraId="255B52CC" w14:textId="77777777" w:rsidR="002C493F" w:rsidRPr="0042661F" w:rsidRDefault="002C493F"/>
    <w:sectPr w:rsidR="002C493F" w:rsidRPr="0042661F" w:rsidSect="00335A9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4A77A" w14:textId="77777777" w:rsidR="00881BB4" w:rsidRDefault="00881BB4" w:rsidP="0042661F">
      <w:r>
        <w:separator/>
      </w:r>
    </w:p>
  </w:endnote>
  <w:endnote w:type="continuationSeparator" w:id="0">
    <w:p w14:paraId="16E298E6" w14:textId="77777777" w:rsidR="00881BB4" w:rsidRDefault="00881BB4" w:rsidP="0042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7B84" w14:textId="77777777" w:rsidR="00881BB4" w:rsidRDefault="00881BB4" w:rsidP="0042661F">
      <w:r>
        <w:separator/>
      </w:r>
    </w:p>
  </w:footnote>
  <w:footnote w:type="continuationSeparator" w:id="0">
    <w:p w14:paraId="398EE081" w14:textId="77777777" w:rsidR="00881BB4" w:rsidRDefault="00881BB4" w:rsidP="00426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336D4"/>
    <w:multiLevelType w:val="multilevel"/>
    <w:tmpl w:val="A7D064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23AC23CE"/>
    <w:multiLevelType w:val="multilevel"/>
    <w:tmpl w:val="73BC511E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57D978EA"/>
    <w:multiLevelType w:val="multilevel"/>
    <w:tmpl w:val="289C44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5A"/>
    <w:rsid w:val="00006B37"/>
    <w:rsid w:val="00052F5B"/>
    <w:rsid w:val="000A3409"/>
    <w:rsid w:val="000A53EF"/>
    <w:rsid w:val="000A68B7"/>
    <w:rsid w:val="001169AC"/>
    <w:rsid w:val="002C493F"/>
    <w:rsid w:val="00333FF6"/>
    <w:rsid w:val="00335A94"/>
    <w:rsid w:val="00374670"/>
    <w:rsid w:val="003A3C52"/>
    <w:rsid w:val="003B2259"/>
    <w:rsid w:val="00414327"/>
    <w:rsid w:val="0041762A"/>
    <w:rsid w:val="0042661F"/>
    <w:rsid w:val="0043452D"/>
    <w:rsid w:val="004A797F"/>
    <w:rsid w:val="004C7873"/>
    <w:rsid w:val="00511FED"/>
    <w:rsid w:val="005472A8"/>
    <w:rsid w:val="005C67D4"/>
    <w:rsid w:val="00616224"/>
    <w:rsid w:val="006A5C28"/>
    <w:rsid w:val="006C5EF2"/>
    <w:rsid w:val="006C6BE3"/>
    <w:rsid w:val="006D7C44"/>
    <w:rsid w:val="006F3F9D"/>
    <w:rsid w:val="00743D8F"/>
    <w:rsid w:val="00773472"/>
    <w:rsid w:val="00780235"/>
    <w:rsid w:val="00780DE5"/>
    <w:rsid w:val="00781C84"/>
    <w:rsid w:val="007A7BB1"/>
    <w:rsid w:val="007D79ED"/>
    <w:rsid w:val="00803F5A"/>
    <w:rsid w:val="00811887"/>
    <w:rsid w:val="00881BB4"/>
    <w:rsid w:val="008E37E5"/>
    <w:rsid w:val="009600B9"/>
    <w:rsid w:val="009749D0"/>
    <w:rsid w:val="009A7001"/>
    <w:rsid w:val="009C0E7D"/>
    <w:rsid w:val="009C7AB7"/>
    <w:rsid w:val="009D28AC"/>
    <w:rsid w:val="009E004E"/>
    <w:rsid w:val="00A16A01"/>
    <w:rsid w:val="00A51B11"/>
    <w:rsid w:val="00A76FAB"/>
    <w:rsid w:val="00AE4442"/>
    <w:rsid w:val="00B33E1C"/>
    <w:rsid w:val="00BA0CD0"/>
    <w:rsid w:val="00BB1804"/>
    <w:rsid w:val="00CC39AE"/>
    <w:rsid w:val="00CC604C"/>
    <w:rsid w:val="00CE11D1"/>
    <w:rsid w:val="00CE7F9D"/>
    <w:rsid w:val="00D63753"/>
    <w:rsid w:val="00D678BC"/>
    <w:rsid w:val="00DB7291"/>
    <w:rsid w:val="00E26488"/>
    <w:rsid w:val="00EB245B"/>
    <w:rsid w:val="00EE7087"/>
    <w:rsid w:val="00F3040A"/>
    <w:rsid w:val="00F56D50"/>
    <w:rsid w:val="00F6409F"/>
    <w:rsid w:val="00F7161B"/>
    <w:rsid w:val="00F9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32EA194"/>
  <w15:docId w15:val="{41FB8B32-0086-4E12-AB2D-BD87B616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61F"/>
    <w:pPr>
      <w:widowControl w:val="0"/>
      <w:jc w:val="both"/>
    </w:pPr>
    <w:rPr>
      <w:rFonts w:ascii="Times New Roman" w:eastAsia="SimSu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6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42661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26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42661F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42661F"/>
    <w:pPr>
      <w:ind w:firstLineChars="200" w:firstLine="420"/>
    </w:pPr>
  </w:style>
  <w:style w:type="character" w:customStyle="1" w:styleId="fontstyle01">
    <w:name w:val="fontstyle01"/>
    <w:uiPriority w:val="99"/>
    <w:rsid w:val="0042661F"/>
    <w:rPr>
      <w:rFonts w:ascii="Times New Roman" w:hAnsi="Times New Roman" w:cs="Times New Roman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CE11D1"/>
    <w:rPr>
      <w:rFonts w:ascii="Times New Roman" w:eastAsia="SimSun" w:hAnsi="Times New Roman"/>
      <w:kern w:val="2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7161B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7161B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6668</Characters>
  <Application>Microsoft Office Word</Application>
  <DocSecurity>0</DocSecurity>
  <Lines>55</Lines>
  <Paragraphs>15</Paragraphs>
  <ScaleCrop>false</ScaleCrop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盼新</dc:creator>
  <cp:keywords/>
  <dc:description/>
  <cp:lastModifiedBy>Jophcy Kumar</cp:lastModifiedBy>
  <cp:revision>2</cp:revision>
  <dcterms:created xsi:type="dcterms:W3CDTF">2022-01-17T12:23:00Z</dcterms:created>
  <dcterms:modified xsi:type="dcterms:W3CDTF">2022-01-17T12:23:00Z</dcterms:modified>
</cp:coreProperties>
</file>