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30891569" w:rsidR="00EA3D3C" w:rsidRPr="00994A3D" w:rsidRDefault="00654E8F" w:rsidP="0001436A">
      <w:pPr>
        <w:pStyle w:val="Heading1"/>
      </w:pPr>
      <w:r w:rsidRPr="00994A3D">
        <w:t xml:space="preserve">Supplementary </w:t>
      </w:r>
      <w:r w:rsidR="000230C0">
        <w:t>methods</w:t>
      </w:r>
    </w:p>
    <w:p w14:paraId="35448841" w14:textId="74B8E9A3" w:rsidR="000230C0" w:rsidRDefault="000230C0" w:rsidP="000230C0">
      <w:pPr>
        <w:pStyle w:val="Heading2"/>
      </w:pPr>
      <w:bookmarkStart w:id="0" w:name="OLE_LINK14"/>
      <w:bookmarkStart w:id="1" w:name="OLE_LINK24"/>
      <w:r w:rsidRPr="00F3707F">
        <w:t>Cell culture</w:t>
      </w:r>
      <w:bookmarkEnd w:id="0"/>
      <w:bookmarkEnd w:id="1"/>
      <w:r w:rsidRPr="00F3707F">
        <w:t xml:space="preserve"> </w:t>
      </w:r>
    </w:p>
    <w:p w14:paraId="212BFDF5" w14:textId="77777777" w:rsidR="000230C0" w:rsidRDefault="000230C0" w:rsidP="000230C0">
      <w:pPr>
        <w:rPr>
          <w:rFonts w:cs="Times New Roman"/>
          <w:color w:val="000000" w:themeColor="text1"/>
          <w:szCs w:val="24"/>
        </w:rPr>
      </w:pPr>
      <w:r w:rsidRPr="00F3707F">
        <w:rPr>
          <w:rFonts w:cs="Times New Roman"/>
          <w:color w:val="000000" w:themeColor="text1"/>
          <w:szCs w:val="24"/>
        </w:rPr>
        <w:t xml:space="preserve">The human ESCC cell line Eca109 was purchased from the Institute of </w:t>
      </w:r>
      <w:proofErr w:type="spellStart"/>
      <w:r w:rsidRPr="00F3707F">
        <w:rPr>
          <w:rFonts w:cs="Times New Roman"/>
          <w:color w:val="000000" w:themeColor="text1"/>
          <w:szCs w:val="24"/>
        </w:rPr>
        <w:t>iCell</w:t>
      </w:r>
      <w:proofErr w:type="spellEnd"/>
      <w:r w:rsidRPr="00F3707F">
        <w:rPr>
          <w:rFonts w:cs="Times New Roman"/>
          <w:color w:val="000000" w:themeColor="text1"/>
          <w:szCs w:val="24"/>
        </w:rPr>
        <w:t xml:space="preserve"> Bioscience Inc (Shanghai, China)</w:t>
      </w:r>
      <w:r w:rsidRPr="00F3707F">
        <w:rPr>
          <w:rFonts w:cs="Times New Roman" w:hint="eastAsia"/>
          <w:color w:val="000000" w:themeColor="text1"/>
          <w:szCs w:val="24"/>
        </w:rPr>
        <w:t>,</w:t>
      </w:r>
      <w:r w:rsidRPr="00F3707F">
        <w:rPr>
          <w:rFonts w:cs="Times New Roman"/>
          <w:color w:val="000000" w:themeColor="text1"/>
          <w:szCs w:val="24"/>
        </w:rPr>
        <w:t xml:space="preserve"> and were cultured at 37°C and 5% CO2 with RPMI-1640 medium (Gibco, Life Technologies) appending 10% fetal bovine serum (</w:t>
      </w:r>
      <w:proofErr w:type="spellStart"/>
      <w:r w:rsidRPr="00F3707F">
        <w:rPr>
          <w:rFonts w:cs="Times New Roman"/>
          <w:color w:val="000000" w:themeColor="text1"/>
          <w:szCs w:val="24"/>
        </w:rPr>
        <w:t>AusGeneX</w:t>
      </w:r>
      <w:proofErr w:type="spellEnd"/>
      <w:r w:rsidRPr="00F3707F">
        <w:rPr>
          <w:rFonts w:cs="Times New Roman" w:hint="eastAsia"/>
          <w:color w:val="000000" w:themeColor="text1"/>
          <w:szCs w:val="24"/>
        </w:rPr>
        <w:t>,</w:t>
      </w:r>
      <w:r w:rsidRPr="00F3707F">
        <w:rPr>
          <w:rFonts w:ascii="Verdana" w:hAnsi="Verdana"/>
          <w:color w:val="000000" w:themeColor="text1"/>
          <w:szCs w:val="21"/>
          <w:shd w:val="clear" w:color="auto" w:fill="FFFFFF"/>
        </w:rPr>
        <w:t xml:space="preserve"> </w:t>
      </w:r>
      <w:r w:rsidRPr="00F3707F">
        <w:rPr>
          <w:rFonts w:cs="Times New Roman"/>
          <w:color w:val="000000" w:themeColor="text1"/>
          <w:szCs w:val="24"/>
        </w:rPr>
        <w:t xml:space="preserve">Australia), 100 U/mL penicillin, 100 mg/mL streptomycin. Cells were passaged when reaching 70% to 80% confluence. </w:t>
      </w:r>
    </w:p>
    <w:p w14:paraId="2FBA5966" w14:textId="7C16C73D" w:rsidR="000230C0" w:rsidRPr="00587450" w:rsidRDefault="000230C0" w:rsidP="000230C0">
      <w:pPr>
        <w:pStyle w:val="Heading2"/>
      </w:pPr>
      <w:r w:rsidRPr="00587450">
        <w:t xml:space="preserve">Plasmids and stable transfection </w:t>
      </w:r>
    </w:p>
    <w:p w14:paraId="1B047D24" w14:textId="77777777" w:rsidR="000230C0" w:rsidRPr="00B70B51" w:rsidRDefault="000230C0" w:rsidP="000230C0">
      <w:pPr>
        <w:rPr>
          <w:rFonts w:cs="Times New Roman"/>
          <w:color w:val="000000" w:themeColor="text1"/>
          <w:szCs w:val="24"/>
        </w:rPr>
      </w:pPr>
      <w:r w:rsidRPr="00587450">
        <w:rPr>
          <w:rFonts w:cs="Times New Roman"/>
          <w:color w:val="000000" w:themeColor="text1"/>
          <w:szCs w:val="24"/>
        </w:rPr>
        <w:t>T</w:t>
      </w:r>
      <w:r w:rsidRPr="00B70B51">
        <w:rPr>
          <w:rFonts w:cs="Times New Roman"/>
          <w:color w:val="000000" w:themeColor="text1"/>
          <w:szCs w:val="24"/>
        </w:rPr>
        <w:t>he genes encoding human NRAGE (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NM_001005333</w:t>
      </w:r>
      <w:r w:rsidRPr="00B70B51">
        <w:rPr>
          <w:rFonts w:cs="Times New Roman"/>
          <w:color w:val="000000" w:themeColor="text1"/>
          <w:szCs w:val="24"/>
        </w:rPr>
        <w:t>)-overexpression recombinant plasmid construction and DNA preparation followed standard procedures for In-Fusion™ Advantage PCR Cloning Kit (</w:t>
      </w:r>
      <w:proofErr w:type="spellStart"/>
      <w:r w:rsidRPr="00B70B51">
        <w:rPr>
          <w:rFonts w:cs="Times New Roman"/>
          <w:color w:val="000000" w:themeColor="text1"/>
          <w:szCs w:val="24"/>
        </w:rPr>
        <w:t>Clontech</w:t>
      </w:r>
      <w:proofErr w:type="spellEnd"/>
      <w:r w:rsidRPr="00B70B51">
        <w:rPr>
          <w:rFonts w:cs="Times New Roman"/>
          <w:color w:val="000000" w:themeColor="text1"/>
          <w:szCs w:val="24"/>
        </w:rPr>
        <w:t>, Japan). Primers for NRAGE cDNA: upstream, 5′-</w:t>
      </w:r>
      <w:r w:rsidRPr="00B70B51">
        <w:rPr>
          <w:rFonts w:eastAsia="Times New Roman" w:cs="Times New Roman"/>
          <w:color w:val="000000" w:themeColor="text1"/>
          <w:szCs w:val="24"/>
          <w:shd w:val="clear" w:color="auto" w:fill="FFFFFF"/>
        </w:rPr>
        <w:t>ATGGCTCAGAAAATGGACTGTGGT</w:t>
      </w:r>
      <w:r w:rsidRPr="00B70B51">
        <w:rPr>
          <w:rFonts w:cs="Times New Roman"/>
          <w:color w:val="000000" w:themeColor="text1"/>
          <w:szCs w:val="24"/>
        </w:rPr>
        <w:t>-3′; down-stream, 5′-</w:t>
      </w:r>
      <w:r w:rsidRPr="00B70B51">
        <w:rPr>
          <w:rFonts w:eastAsia="Times New Roman" w:cs="Times New Roman"/>
          <w:color w:val="000000" w:themeColor="text1"/>
          <w:szCs w:val="24"/>
          <w:shd w:val="clear" w:color="auto" w:fill="FFFFFF"/>
        </w:rPr>
        <w:t>CTCAACCCAGAAGAAACCAATGGC</w:t>
      </w:r>
      <w:r w:rsidRPr="00B70B51">
        <w:rPr>
          <w:rFonts w:cs="Times New Roman"/>
          <w:color w:val="000000" w:themeColor="text1"/>
          <w:szCs w:val="24"/>
        </w:rPr>
        <w:t>-3′; An empty-vector construct was used as the control. Briefly, first day, Eca109 cells were seeded into a 6-well plate with 1×10</w:t>
      </w:r>
      <w:r w:rsidRPr="00B70B51">
        <w:rPr>
          <w:rFonts w:cs="Times New Roman"/>
          <w:color w:val="000000" w:themeColor="text1"/>
          <w:szCs w:val="24"/>
          <w:vertAlign w:val="superscript"/>
        </w:rPr>
        <w:t>5</w:t>
      </w:r>
      <w:r w:rsidRPr="00B70B51">
        <w:rPr>
          <w:rFonts w:cs="Times New Roman"/>
          <w:color w:val="000000" w:themeColor="text1"/>
          <w:szCs w:val="24"/>
        </w:rPr>
        <w:t xml:space="preserve"> cells/well, and then NRAGE recombinant plasmid and empty-vector were transfected into cells using </w:t>
      </w:r>
      <w:proofErr w:type="spellStart"/>
      <w:r w:rsidRPr="00B70B51">
        <w:rPr>
          <w:rFonts w:cs="Times New Roman"/>
          <w:color w:val="000000" w:themeColor="text1"/>
          <w:szCs w:val="24"/>
        </w:rPr>
        <w:t>lipofectamine</w:t>
      </w:r>
      <w:r w:rsidRPr="00B70B51">
        <w:rPr>
          <w:rFonts w:cs="Times New Roman"/>
          <w:color w:val="000000" w:themeColor="text1"/>
          <w:szCs w:val="24"/>
          <w:vertAlign w:val="superscript"/>
        </w:rPr>
        <w:t>TM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 2000 (Invitrogen, USA) reagent. After 24h, </w:t>
      </w:r>
      <w:bookmarkStart w:id="2" w:name="_Hlk27561258"/>
      <w:r w:rsidRPr="00B70B51">
        <w:rPr>
          <w:rFonts w:cs="Times New Roman"/>
          <w:color w:val="000000" w:themeColor="text1"/>
          <w:szCs w:val="24"/>
        </w:rPr>
        <w:t>Transfect</w:t>
      </w:r>
      <w:bookmarkEnd w:id="2"/>
      <w:r w:rsidRPr="00B70B51">
        <w:rPr>
          <w:rFonts w:cs="Times New Roman"/>
          <w:color w:val="000000" w:themeColor="text1"/>
          <w:szCs w:val="24"/>
        </w:rPr>
        <w:t>ed cells were screened against 500μg/mL G418 (</w:t>
      </w:r>
      <w:proofErr w:type="spellStart"/>
      <w:r w:rsidRPr="00B70B51">
        <w:rPr>
          <w:rFonts w:cs="Times New Roman"/>
          <w:color w:val="000000" w:themeColor="text1"/>
          <w:szCs w:val="24"/>
        </w:rPr>
        <w:t>Solarbio</w:t>
      </w:r>
      <w:proofErr w:type="spellEnd"/>
      <w:r w:rsidRPr="00B70B51">
        <w:rPr>
          <w:rFonts w:cs="Times New Roman"/>
          <w:color w:val="000000" w:themeColor="text1"/>
          <w:szCs w:val="24"/>
        </w:rPr>
        <w:t>, Beijing, China) for 14 days. Monoclonal Eca109-overexpression NRAGE (E/N) and Eca109-overexpression empty-vector (E) cells were obtained by limited dilution screening.</w:t>
      </w:r>
    </w:p>
    <w:p w14:paraId="164194D0" w14:textId="4B0DA543" w:rsidR="000230C0" w:rsidRPr="00587450" w:rsidRDefault="000230C0" w:rsidP="000230C0">
      <w:pPr>
        <w:pStyle w:val="Heading2"/>
      </w:pPr>
      <w:r w:rsidRPr="00587450">
        <w:t xml:space="preserve">Realtime PCR </w:t>
      </w:r>
    </w:p>
    <w:p w14:paraId="6CF6B505" w14:textId="77777777" w:rsidR="000230C0" w:rsidRPr="0034356D" w:rsidRDefault="000230C0" w:rsidP="000230C0">
      <w:pPr>
        <w:rPr>
          <w:rFonts w:cs="Times New Roman"/>
          <w:color w:val="000000" w:themeColor="text1"/>
          <w:szCs w:val="24"/>
        </w:rPr>
      </w:pPr>
      <w:r w:rsidRPr="00587450">
        <w:rPr>
          <w:rFonts w:cs="Times New Roman"/>
          <w:color w:val="000000" w:themeColor="text1"/>
          <w:szCs w:val="24"/>
        </w:rPr>
        <w:t xml:space="preserve">Total RNA was extracted from the cells with </w:t>
      </w:r>
      <w:proofErr w:type="spellStart"/>
      <w:r w:rsidRPr="00587450">
        <w:rPr>
          <w:rFonts w:cs="Times New Roman"/>
          <w:color w:val="000000" w:themeColor="text1"/>
          <w:szCs w:val="24"/>
        </w:rPr>
        <w:t>Trizol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reagent (Invitrogen, USA) according to the manufacturer’s instructions. Reverse transcribed reaction was performed using </w:t>
      </w:r>
      <w:proofErr w:type="spellStart"/>
      <w:r w:rsidRPr="00587450">
        <w:rPr>
          <w:rFonts w:cs="Times New Roman"/>
          <w:color w:val="000000" w:themeColor="text1"/>
          <w:szCs w:val="24"/>
        </w:rPr>
        <w:t>RevertAid</w:t>
      </w:r>
      <w:r w:rsidRPr="00587450">
        <w:rPr>
          <w:rFonts w:cs="Times New Roman"/>
          <w:color w:val="000000" w:themeColor="text1"/>
          <w:szCs w:val="24"/>
          <w:vertAlign w:val="superscript"/>
        </w:rPr>
        <w:t>TM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First Strand cDNA Synthesis Kit (</w:t>
      </w:r>
      <w:bookmarkStart w:id="3" w:name="OLE_LINK2"/>
      <w:r w:rsidRPr="00587450">
        <w:rPr>
          <w:rFonts w:cs="Times New Roman"/>
          <w:color w:val="000000" w:themeColor="text1"/>
          <w:szCs w:val="24"/>
        </w:rPr>
        <w:t>Thermo Scientific, K1622, USA</w:t>
      </w:r>
      <w:bookmarkEnd w:id="3"/>
      <w:r w:rsidRPr="00587450">
        <w:rPr>
          <w:rFonts w:cs="Times New Roman"/>
          <w:color w:val="000000" w:themeColor="text1"/>
          <w:szCs w:val="24"/>
        </w:rPr>
        <w:t xml:space="preserve">). Expression of NRAGE mRNA was performed with </w:t>
      </w:r>
      <w:proofErr w:type="spellStart"/>
      <w:r w:rsidRPr="00587450">
        <w:rPr>
          <w:rFonts w:cs="Times New Roman"/>
          <w:color w:val="000000" w:themeColor="text1"/>
          <w:szCs w:val="24"/>
        </w:rPr>
        <w:t>realtime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PCR using SYBR Premix </w:t>
      </w:r>
      <w:proofErr w:type="spellStart"/>
      <w:r w:rsidRPr="00587450">
        <w:rPr>
          <w:rFonts w:cs="Times New Roman"/>
          <w:color w:val="000000" w:themeColor="text1"/>
          <w:szCs w:val="24"/>
        </w:rPr>
        <w:t>ExTaq</w:t>
      </w:r>
      <w:proofErr w:type="spellEnd"/>
      <w:r w:rsidRPr="00587450">
        <w:rPr>
          <w:rFonts w:cs="Times New Roman"/>
          <w:color w:val="000000" w:themeColor="text1"/>
          <w:szCs w:val="24"/>
        </w:rPr>
        <w:t>™ (Takara, Shiga, Japan) on CFX 96™ Real-Time PCR Detection System (BIO-RAD Laboratories, Inc., California, USA). GAPDH wa</w:t>
      </w:r>
      <w:r w:rsidRPr="0034356D">
        <w:rPr>
          <w:rFonts w:cs="Times New Roman"/>
          <w:color w:val="000000" w:themeColor="text1"/>
          <w:szCs w:val="24"/>
        </w:rPr>
        <w:t xml:space="preserve">s used as the internal control. The </w:t>
      </w:r>
      <w:hyperlink r:id="rId8" w:history="1">
        <w:r w:rsidRPr="0034356D">
          <w:rPr>
            <w:rFonts w:cs="Times New Roman"/>
            <w:color w:val="000000" w:themeColor="text1"/>
            <w:szCs w:val="24"/>
          </w:rPr>
          <w:t>design</w:t>
        </w:r>
      </w:hyperlink>
      <w:r w:rsidRPr="0034356D">
        <w:rPr>
          <w:rFonts w:cs="Times New Roman"/>
          <w:color w:val="000000" w:themeColor="text1"/>
          <w:szCs w:val="24"/>
        </w:rPr>
        <w:t> </w:t>
      </w:r>
      <w:hyperlink r:id="rId9" w:history="1">
        <w:r w:rsidRPr="0034356D">
          <w:rPr>
            <w:rFonts w:cs="Times New Roman"/>
            <w:color w:val="000000" w:themeColor="text1"/>
            <w:szCs w:val="24"/>
          </w:rPr>
          <w:t>formulas</w:t>
        </w:r>
      </w:hyperlink>
      <w:r w:rsidRPr="0034356D">
        <w:rPr>
          <w:rFonts w:cs="Times New Roman"/>
          <w:color w:val="000000" w:themeColor="text1"/>
          <w:szCs w:val="24"/>
        </w:rPr>
        <w:t xml:space="preserve"> of fold changes was 2</w:t>
      </w:r>
      <w:r w:rsidRPr="0034356D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Pr="0034356D">
        <w:rPr>
          <w:rFonts w:eastAsia="Microsoft YaHei" w:cs="Times New Roman"/>
          <w:color w:val="000000" w:themeColor="text1"/>
          <w:szCs w:val="24"/>
          <w:vertAlign w:val="superscript"/>
        </w:rPr>
        <w:t>−</w:t>
      </w:r>
      <w:r w:rsidRPr="0034356D">
        <w:rPr>
          <w:rFonts w:cs="Times New Roman"/>
          <w:color w:val="000000" w:themeColor="text1"/>
          <w:szCs w:val="24"/>
          <w:vertAlign w:val="superscript"/>
        </w:rPr>
        <w:t xml:space="preserve"> [(Ct of target gene) </w:t>
      </w:r>
      <w:r w:rsidRPr="0034356D">
        <w:rPr>
          <w:rFonts w:eastAsia="Microsoft YaHei" w:cs="Times New Roman"/>
          <w:color w:val="000000" w:themeColor="text1"/>
          <w:szCs w:val="24"/>
          <w:vertAlign w:val="superscript"/>
        </w:rPr>
        <w:t>−</w:t>
      </w:r>
      <w:r w:rsidRPr="0034356D">
        <w:rPr>
          <w:rFonts w:cs="Times New Roman"/>
          <w:color w:val="000000" w:themeColor="text1"/>
          <w:szCs w:val="24"/>
          <w:vertAlign w:val="superscript"/>
        </w:rPr>
        <w:t xml:space="preserve"> (Ct of GAPDH)]</w:t>
      </w:r>
      <w:r w:rsidRPr="0034356D">
        <w:rPr>
          <w:rFonts w:cs="Times New Roman"/>
          <w:color w:val="000000" w:themeColor="text1"/>
          <w:szCs w:val="24"/>
        </w:rPr>
        <w:t xml:space="preserve"> method. The primers were as followed, NRAGE</w:t>
      </w:r>
    </w:p>
    <w:p w14:paraId="4F8B6944" w14:textId="77777777" w:rsidR="000230C0" w:rsidRPr="0034356D" w:rsidRDefault="000230C0" w:rsidP="000230C0">
      <w:pPr>
        <w:rPr>
          <w:rFonts w:cs="Times New Roman"/>
          <w:color w:val="000000" w:themeColor="text1"/>
          <w:szCs w:val="24"/>
        </w:rPr>
      </w:pPr>
      <w:r w:rsidRPr="0034356D">
        <w:rPr>
          <w:rFonts w:cs="Times New Roman"/>
          <w:color w:val="000000" w:themeColor="text1"/>
          <w:szCs w:val="24"/>
        </w:rPr>
        <w:t>Forward</w:t>
      </w:r>
      <w:r>
        <w:rPr>
          <w:rFonts w:cs="Times New Roman" w:hint="eastAsia"/>
          <w:color w:val="000000" w:themeColor="text1"/>
          <w:szCs w:val="24"/>
        </w:rPr>
        <w:t>:</w:t>
      </w:r>
      <w:r w:rsidRPr="0034356D">
        <w:rPr>
          <w:rFonts w:cs="Times New Roman"/>
          <w:color w:val="000000" w:themeColor="text1"/>
          <w:szCs w:val="24"/>
        </w:rPr>
        <w:t xml:space="preserve">5’- GCTCGGTCTCCTCTTGGTGATTC-3’; </w:t>
      </w:r>
    </w:p>
    <w:p w14:paraId="325237A3" w14:textId="77777777" w:rsidR="000230C0" w:rsidRPr="0034356D" w:rsidRDefault="000230C0" w:rsidP="000230C0">
      <w:pPr>
        <w:rPr>
          <w:rFonts w:cs="Times New Roman"/>
          <w:color w:val="000000" w:themeColor="text1"/>
          <w:szCs w:val="24"/>
        </w:rPr>
      </w:pPr>
      <w:r w:rsidRPr="0034356D">
        <w:rPr>
          <w:rFonts w:cs="Times New Roman"/>
          <w:color w:val="000000" w:themeColor="text1"/>
          <w:szCs w:val="24"/>
        </w:rPr>
        <w:t>Reverse</w:t>
      </w:r>
      <w:r>
        <w:rPr>
          <w:rFonts w:cs="Times New Roman" w:hint="eastAsia"/>
          <w:color w:val="000000" w:themeColor="text1"/>
          <w:szCs w:val="24"/>
        </w:rPr>
        <w:t>:</w:t>
      </w:r>
      <w:r w:rsidRPr="0034356D">
        <w:rPr>
          <w:rFonts w:cs="Times New Roman"/>
          <w:color w:val="000000" w:themeColor="text1"/>
          <w:szCs w:val="24"/>
        </w:rPr>
        <w:t xml:space="preserve"> 5’-GGCACTCGTCTGTAGTCCAGGTATT-3’.</w:t>
      </w:r>
    </w:p>
    <w:p w14:paraId="172D2B34" w14:textId="25522AA2" w:rsidR="000230C0" w:rsidRPr="00587450" w:rsidRDefault="000230C0" w:rsidP="000230C0">
      <w:pPr>
        <w:pStyle w:val="Heading2"/>
      </w:pPr>
      <w:r w:rsidRPr="00587450">
        <w:t>Western blot</w:t>
      </w:r>
    </w:p>
    <w:p w14:paraId="3ADF2C34" w14:textId="77777777" w:rsidR="000230C0" w:rsidRPr="00587450" w:rsidRDefault="000230C0" w:rsidP="000230C0">
      <w:pPr>
        <w:shd w:val="clear" w:color="auto" w:fill="FFFFFF"/>
        <w:rPr>
          <w:rFonts w:cs="Times New Roman"/>
          <w:color w:val="000000" w:themeColor="text1"/>
          <w:szCs w:val="24"/>
        </w:rPr>
      </w:pPr>
      <w:r w:rsidRPr="00B70B51">
        <w:rPr>
          <w:rFonts w:cs="Times New Roman"/>
          <w:color w:val="000000" w:themeColor="text1"/>
          <w:szCs w:val="24"/>
        </w:rPr>
        <w:t>Cells were collected and then lysed for 20 mins in cold lysis buffer (</w:t>
      </w:r>
      <w:proofErr w:type="spellStart"/>
      <w:r w:rsidRPr="00B70B51">
        <w:rPr>
          <w:rFonts w:cs="Times New Roman"/>
          <w:color w:val="000000" w:themeColor="text1"/>
          <w:szCs w:val="24"/>
        </w:rPr>
        <w:t>Beyotime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 Institute of</w:t>
      </w:r>
      <w:r>
        <w:rPr>
          <w:rFonts w:cs="Times New Roman"/>
          <w:color w:val="000000" w:themeColor="text1"/>
          <w:szCs w:val="24"/>
        </w:rPr>
        <w:t xml:space="preserve"> </w:t>
      </w:r>
      <w:r w:rsidRPr="00B70B51">
        <w:rPr>
          <w:rFonts w:cs="Times New Roman"/>
          <w:color w:val="000000" w:themeColor="text1"/>
          <w:szCs w:val="24"/>
        </w:rPr>
        <w:t>Biotechnology, China) containing Protein phosphatase inhibitors (protein Phosphatase</w:t>
      </w:r>
      <w:r>
        <w:rPr>
          <w:rFonts w:cs="Times New Roman"/>
          <w:color w:val="000000" w:themeColor="text1"/>
          <w:szCs w:val="24"/>
        </w:rPr>
        <w:t xml:space="preserve"> </w:t>
      </w:r>
      <w:r w:rsidRPr="00B70B51">
        <w:rPr>
          <w:rFonts w:cs="Times New Roman"/>
          <w:color w:val="000000" w:themeColor="text1"/>
          <w:szCs w:val="24"/>
        </w:rPr>
        <w:t>Inhibitor, All-in-one, 100</w:t>
      </w:r>
      <w:bookmarkStart w:id="4" w:name="OLE_LINK1"/>
      <w:bookmarkStart w:id="5" w:name="OLE_LINK3"/>
      <w:r w:rsidRPr="00B70B51">
        <w:rPr>
          <w:rFonts w:cs="Times New Roman"/>
          <w:color w:val="000000" w:themeColor="text1"/>
          <w:szCs w:val="24"/>
        </w:rPr>
        <w:t xml:space="preserve"> ×, </w:t>
      </w:r>
      <w:proofErr w:type="spellStart"/>
      <w:r w:rsidRPr="00B70B51">
        <w:rPr>
          <w:rFonts w:cs="Times New Roman"/>
          <w:color w:val="000000" w:themeColor="text1"/>
          <w:szCs w:val="24"/>
        </w:rPr>
        <w:t>Solarbio</w:t>
      </w:r>
      <w:proofErr w:type="spellEnd"/>
      <w:r w:rsidRPr="00B70B51">
        <w:rPr>
          <w:rFonts w:cs="Times New Roman"/>
          <w:color w:val="000000" w:themeColor="text1"/>
          <w:szCs w:val="24"/>
        </w:rPr>
        <w:t>, Beijing, China</w:t>
      </w:r>
      <w:bookmarkEnd w:id="4"/>
      <w:bookmarkEnd w:id="5"/>
      <w:r w:rsidRPr="00B70B51">
        <w:rPr>
          <w:rFonts w:cs="Times New Roman"/>
          <w:color w:val="000000" w:themeColor="text1"/>
          <w:szCs w:val="24"/>
        </w:rPr>
        <w:t>). BCA kit (</w:t>
      </w:r>
      <w:proofErr w:type="spellStart"/>
      <w:r w:rsidRPr="00B70B51">
        <w:rPr>
          <w:rFonts w:cs="Times New Roman"/>
          <w:color w:val="000000" w:themeColor="text1"/>
          <w:szCs w:val="24"/>
        </w:rPr>
        <w:t>Generay</w:t>
      </w:r>
      <w:proofErr w:type="spellEnd"/>
      <w:r w:rsidRPr="00B70B51">
        <w:rPr>
          <w:rFonts w:cs="Times New Roman"/>
          <w:color w:val="000000" w:themeColor="text1"/>
          <w:szCs w:val="24"/>
        </w:rPr>
        <w:t>, Shanghai, China) was used to detected protein concentrations; 20μg of samples were resolved by 10% SDS-PAGE and then transferred to polyvinylidene fluoride (PVDF) as previously described</w:t>
      </w:r>
      <w:r>
        <w:rPr>
          <w:rFonts w:cs="Times New Roman"/>
          <w:color w:val="000000" w:themeColor="text1"/>
        </w:rPr>
        <w:t>.</w:t>
      </w:r>
      <w:r w:rsidRPr="00B70B51">
        <w:rPr>
          <w:rFonts w:cs="Times New Roman"/>
          <w:color w:val="000000" w:themeColor="text1"/>
          <w:szCs w:val="24"/>
        </w:rPr>
        <w:t xml:space="preserve"> Protein bands were visualized using enhanced chemiluminescent substrate according to the manufacturer’s protocol (Millipore, Billerica, MA, USA). The primary antibodies against </w:t>
      </w:r>
      <w:r w:rsidRPr="00587450">
        <w:rPr>
          <w:rFonts w:cs="Times New Roman"/>
          <w:color w:val="000000" w:themeColor="text1"/>
          <w:szCs w:val="24"/>
        </w:rPr>
        <w:t>NRAGE (</w:t>
      </w:r>
      <w:proofErr w:type="spellStart"/>
      <w:r w:rsidRPr="00587450">
        <w:rPr>
          <w:rFonts w:cs="Times New Roman"/>
          <w:color w:val="000000" w:themeColor="text1"/>
          <w:szCs w:val="24"/>
        </w:rPr>
        <w:t>Proteintech</w:t>
      </w:r>
      <w:proofErr w:type="spellEnd"/>
      <w:r w:rsidRPr="00587450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r w:rsidRPr="00587450">
        <w:rPr>
          <w:rFonts w:cs="Times New Roman"/>
          <w:color w:val="000000" w:themeColor="text1"/>
          <w:szCs w:val="24"/>
        </w:rPr>
        <w:t>Wuhan,</w:t>
      </w:r>
      <w:r>
        <w:rPr>
          <w:rFonts w:cs="Times New Roman"/>
          <w:color w:val="000000" w:themeColor="text1"/>
          <w:szCs w:val="24"/>
        </w:rPr>
        <w:t xml:space="preserve"> </w:t>
      </w:r>
      <w:r w:rsidRPr="00587450">
        <w:rPr>
          <w:rFonts w:cs="Times New Roman"/>
          <w:color w:val="000000" w:themeColor="text1"/>
          <w:szCs w:val="24"/>
        </w:rPr>
        <w:t xml:space="preserve">China), β-catenin </w:t>
      </w:r>
      <w:r w:rsidRPr="00587450">
        <w:rPr>
          <w:rFonts w:cs="Times New Roman"/>
          <w:color w:val="000000" w:themeColor="text1"/>
          <w:szCs w:val="24"/>
        </w:rPr>
        <w:lastRenderedPageBreak/>
        <w:t>(</w:t>
      </w:r>
      <w:proofErr w:type="spellStart"/>
      <w:r w:rsidRPr="00587450">
        <w:rPr>
          <w:rFonts w:cs="Times New Roman"/>
          <w:color w:val="000000" w:themeColor="text1"/>
          <w:szCs w:val="24"/>
        </w:rPr>
        <w:t>Proteintech</w:t>
      </w:r>
      <w:proofErr w:type="spellEnd"/>
      <w:r w:rsidRPr="00587450">
        <w:rPr>
          <w:rFonts w:cs="Times New Roman"/>
          <w:color w:val="000000" w:themeColor="text1"/>
          <w:szCs w:val="24"/>
        </w:rPr>
        <w:t>, Wuhan, China), p-β-catenin (CST, USA), Gsk3β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 w:hint="eastAsia"/>
          <w:color w:val="000000" w:themeColor="text1"/>
          <w:szCs w:val="24"/>
        </w:rPr>
        <w:t>(</w:t>
      </w:r>
      <w:proofErr w:type="spellStart"/>
      <w:r w:rsidRPr="00587450">
        <w:rPr>
          <w:rFonts w:cs="Times New Roman"/>
          <w:color w:val="000000" w:themeColor="text1"/>
          <w:szCs w:val="24"/>
        </w:rPr>
        <w:t>Proteintech</w:t>
      </w:r>
      <w:proofErr w:type="spellEnd"/>
      <w:r w:rsidRPr="00587450">
        <w:rPr>
          <w:rFonts w:cs="Times New Roman"/>
          <w:color w:val="000000" w:themeColor="text1"/>
          <w:szCs w:val="24"/>
        </w:rPr>
        <w:t>, Wuhan, China</w:t>
      </w:r>
      <w:r>
        <w:rPr>
          <w:rFonts w:cs="Times New Roman"/>
          <w:color w:val="000000" w:themeColor="text1"/>
          <w:szCs w:val="24"/>
        </w:rPr>
        <w:t>)</w:t>
      </w:r>
      <w:r w:rsidRPr="00587450">
        <w:rPr>
          <w:rFonts w:cs="Times New Roman"/>
          <w:color w:val="000000" w:themeColor="text1"/>
          <w:szCs w:val="24"/>
        </w:rPr>
        <w:t>, p-Gsk3β</w:t>
      </w:r>
      <w:r>
        <w:rPr>
          <w:rFonts w:cs="Times New Roman"/>
          <w:color w:val="000000" w:themeColor="text1"/>
          <w:szCs w:val="24"/>
        </w:rPr>
        <w:t xml:space="preserve"> </w:t>
      </w:r>
      <w:r w:rsidRPr="00587450">
        <w:rPr>
          <w:rFonts w:cs="Times New Roman"/>
          <w:color w:val="000000" w:themeColor="text1"/>
          <w:szCs w:val="24"/>
        </w:rPr>
        <w:t xml:space="preserve">(CST, </w:t>
      </w:r>
      <w:r>
        <w:rPr>
          <w:rFonts w:cs="Times New Roman"/>
          <w:color w:val="000000" w:themeColor="text1"/>
          <w:szCs w:val="24"/>
        </w:rPr>
        <w:t>U</w:t>
      </w:r>
      <w:r w:rsidRPr="00587450">
        <w:rPr>
          <w:rFonts w:cs="Times New Roman"/>
          <w:color w:val="000000" w:themeColor="text1"/>
          <w:szCs w:val="24"/>
        </w:rPr>
        <w:t>SA), GAPDH (ZSGB-BIO, Beijing, China), Cyclin D1 (Affinity Biosciences. OH. USA) were used.</w:t>
      </w:r>
    </w:p>
    <w:p w14:paraId="1EAF9737" w14:textId="00459518" w:rsidR="000230C0" w:rsidRPr="00587450" w:rsidRDefault="000230C0" w:rsidP="000230C0">
      <w:pPr>
        <w:pStyle w:val="Heading2"/>
      </w:pPr>
      <w:r w:rsidRPr="00587450">
        <w:t>CCK-8 assay</w:t>
      </w:r>
    </w:p>
    <w:p w14:paraId="5148E807" w14:textId="77777777" w:rsidR="000230C0" w:rsidRPr="00587450" w:rsidRDefault="000230C0" w:rsidP="000230C0">
      <w:pPr>
        <w:rPr>
          <w:rFonts w:cs="Times New Roman"/>
          <w:color w:val="000000" w:themeColor="text1"/>
          <w:szCs w:val="24"/>
        </w:rPr>
      </w:pPr>
      <w:r w:rsidRPr="00B70B51">
        <w:rPr>
          <w:rFonts w:cs="Times New Roman"/>
          <w:color w:val="000000" w:themeColor="text1"/>
          <w:szCs w:val="24"/>
        </w:rPr>
        <w:t xml:space="preserve">E and E/N on proliferation was evaluated by cell counting kit-8 (CCK-8, </w:t>
      </w:r>
      <w:proofErr w:type="spellStart"/>
      <w:r w:rsidRPr="00B70B51">
        <w:rPr>
          <w:rFonts w:cs="Times New Roman"/>
          <w:color w:val="000000" w:themeColor="text1"/>
          <w:szCs w:val="24"/>
        </w:rPr>
        <w:t>MedChemExpress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, USA) assay. Briefly, after 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irradiated</w:t>
      </w:r>
      <w:r w:rsidRPr="00B70B51">
        <w:rPr>
          <w:rFonts w:cs="Times New Roman"/>
          <w:color w:val="000000" w:themeColor="text1"/>
          <w:szCs w:val="24"/>
        </w:rPr>
        <w:t xml:space="preserve"> with 2 </w:t>
      </w:r>
      <w:proofErr w:type="spellStart"/>
      <w:r w:rsidRPr="00B70B51">
        <w:rPr>
          <w:rFonts w:cs="Times New Roman"/>
          <w:color w:val="000000" w:themeColor="text1"/>
          <w:szCs w:val="24"/>
        </w:rPr>
        <w:t>Gy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, 5 </w:t>
      </w:r>
      <w:proofErr w:type="spellStart"/>
      <w:r w:rsidRPr="00B70B51">
        <w:rPr>
          <w:rFonts w:cs="Times New Roman"/>
          <w:color w:val="000000" w:themeColor="text1"/>
          <w:szCs w:val="24"/>
        </w:rPr>
        <w:t>Gy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 or not, 1×10</w:t>
      </w:r>
      <w:r w:rsidRPr="00B70B51">
        <w:rPr>
          <w:rFonts w:cs="Times New Roman"/>
          <w:color w:val="000000" w:themeColor="text1"/>
          <w:szCs w:val="24"/>
          <w:vertAlign w:val="superscript"/>
        </w:rPr>
        <w:t>5</w:t>
      </w:r>
      <w:r w:rsidRPr="00B70B51">
        <w:rPr>
          <w:rFonts w:cs="Times New Roman"/>
          <w:color w:val="000000" w:themeColor="text1"/>
          <w:szCs w:val="24"/>
        </w:rPr>
        <w:t xml:space="preserve"> cells/well of E and E/N cells were seeded into 96-well plates in 100 mL R1640 medium and incubated at 37℃ with 5% CO2. 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Culture the cells in a CO</w:t>
      </w:r>
      <w:r w:rsidRPr="00B70B51">
        <w:rPr>
          <w:rFonts w:cs="Times New Roman"/>
          <w:color w:val="000000" w:themeColor="text1"/>
          <w:szCs w:val="24"/>
          <w:vertAlign w:val="subscript"/>
        </w:rPr>
        <w:t>2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 xml:space="preserve"> incubator at 37°C for 24 hours</w:t>
      </w:r>
      <w:r w:rsidRPr="00B70B51">
        <w:rPr>
          <w:rFonts w:cs="Times New Roman"/>
          <w:color w:val="000000" w:themeColor="text1"/>
          <w:szCs w:val="24"/>
        </w:rPr>
        <w:t xml:space="preserve">. 10 </w:t>
      </w:r>
      <w:proofErr w:type="spellStart"/>
      <w:r w:rsidRPr="00B70B51">
        <w:rPr>
          <w:rFonts w:cs="Times New Roman"/>
          <w:color w:val="000000" w:themeColor="text1"/>
          <w:szCs w:val="24"/>
        </w:rPr>
        <w:t>μL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 of CCK-8 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solution</w:t>
      </w:r>
      <w:r w:rsidRPr="00B70B51">
        <w:rPr>
          <w:rFonts w:cs="Times New Roman"/>
          <w:color w:val="000000" w:themeColor="text1"/>
          <w:szCs w:val="24"/>
        </w:rPr>
        <w:t xml:space="preserve"> was added in each corresponding well 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using a repeating pipettor</w:t>
      </w:r>
      <w:r w:rsidRPr="00B70B51">
        <w:rPr>
          <w:rFonts w:cs="Times New Roman"/>
          <w:color w:val="000000" w:themeColor="text1"/>
          <w:szCs w:val="24"/>
        </w:rPr>
        <w:t xml:space="preserve">. 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Incubate the plate for 1~4 hours in the incubator.</w:t>
      </w:r>
      <w:r w:rsidRPr="00B70B51">
        <w:rPr>
          <w:rFonts w:cs="Times New Roman"/>
          <w:color w:val="000000" w:themeColor="text1"/>
          <w:szCs w:val="24"/>
        </w:rPr>
        <w:t xml:space="preserve"> 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After that,</w:t>
      </w:r>
      <w:r w:rsidRPr="00B70B51">
        <w:rPr>
          <w:rFonts w:cs="Times New Roman"/>
          <w:color w:val="000000" w:themeColor="text1"/>
          <w:szCs w:val="24"/>
        </w:rPr>
        <w:t xml:space="preserve"> the absorbances a</w:t>
      </w:r>
      <w:r w:rsidRPr="00B70B51">
        <w:rPr>
          <w:rFonts w:cs="Times New Roman"/>
          <w:color w:val="000000" w:themeColor="text1"/>
          <w:szCs w:val="24"/>
          <w:shd w:val="clear" w:color="auto" w:fill="FFFFFF"/>
        </w:rPr>
        <w:t>t 450 nm were measured by M</w:t>
      </w:r>
      <w:r w:rsidRPr="00587450">
        <w:rPr>
          <w:rFonts w:cs="Times New Roman"/>
          <w:color w:val="000000" w:themeColor="text1"/>
          <w:szCs w:val="24"/>
          <w:shd w:val="clear" w:color="auto" w:fill="FFFFFF"/>
        </w:rPr>
        <w:t xml:space="preserve">ulti-function microporous plate detector </w:t>
      </w:r>
      <w:r w:rsidRPr="00587450">
        <w:rPr>
          <w:rFonts w:cs="Times New Roman"/>
          <w:color w:val="000000" w:themeColor="text1"/>
          <w:szCs w:val="24"/>
        </w:rPr>
        <w:t>(</w:t>
      </w:r>
      <w:proofErr w:type="spellStart"/>
      <w:r w:rsidRPr="00587450">
        <w:rPr>
          <w:rFonts w:cs="Times New Roman"/>
          <w:color w:val="000000" w:themeColor="text1"/>
          <w:szCs w:val="24"/>
        </w:rPr>
        <w:t>Biotek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Synergy-H1, USA). </w:t>
      </w:r>
    </w:p>
    <w:p w14:paraId="74FA4695" w14:textId="7799E2DC" w:rsidR="000230C0" w:rsidRPr="00587450" w:rsidRDefault="000230C0" w:rsidP="000230C0">
      <w:pPr>
        <w:pStyle w:val="Heading2"/>
      </w:pPr>
      <w:r w:rsidRPr="00587450">
        <w:t xml:space="preserve">Irradiation and </w:t>
      </w:r>
      <w:proofErr w:type="spellStart"/>
      <w:r w:rsidRPr="00587450">
        <w:t>Clonogenic</w:t>
      </w:r>
      <w:proofErr w:type="spellEnd"/>
      <w:r w:rsidRPr="00587450">
        <w:t xml:space="preserve"> Assay </w:t>
      </w:r>
    </w:p>
    <w:p w14:paraId="4072AD80" w14:textId="77777777" w:rsidR="000230C0" w:rsidRPr="00587450" w:rsidRDefault="000230C0" w:rsidP="000230C0">
      <w:pPr>
        <w:rPr>
          <w:rFonts w:cs="Times New Roman"/>
          <w:color w:val="000000" w:themeColor="text1"/>
          <w:szCs w:val="24"/>
        </w:rPr>
      </w:pPr>
      <w:r w:rsidRPr="00B70B51">
        <w:rPr>
          <w:rFonts w:cs="Times New Roman"/>
          <w:color w:val="000000" w:themeColor="text1"/>
          <w:szCs w:val="24"/>
        </w:rPr>
        <w:t xml:space="preserve">The </w:t>
      </w:r>
      <w:proofErr w:type="spellStart"/>
      <w:r w:rsidRPr="00B70B51">
        <w:rPr>
          <w:rFonts w:cs="Times New Roman"/>
          <w:color w:val="000000" w:themeColor="text1"/>
          <w:szCs w:val="24"/>
        </w:rPr>
        <w:t>radioresistance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 was measured via colony formation assays following exposure to IR. After being seeded in 6-well plates at 100, 100, 300, 500 cells/well and in 10-mm culture dishes at 3000 or 5000 cells/dish, E and E/N Cells were treated with various doses of radiation (0, 2, 4, 6</w:t>
      </w:r>
      <w:r>
        <w:rPr>
          <w:rFonts w:cs="Times New Roman" w:hint="eastAsia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r w:rsidRPr="00B70B51">
        <w:rPr>
          <w:rFonts w:cs="Times New Roman"/>
          <w:color w:val="000000" w:themeColor="text1"/>
          <w:szCs w:val="24"/>
        </w:rPr>
        <w:t>8</w:t>
      </w:r>
      <w:r>
        <w:rPr>
          <w:rFonts w:cs="Times New Roman" w:hint="eastAsia"/>
          <w:color w:val="000000" w:themeColor="text1"/>
          <w:szCs w:val="24"/>
        </w:rPr>
        <w:t xml:space="preserve"> </w:t>
      </w:r>
      <w:r w:rsidRPr="00B70B51">
        <w:rPr>
          <w:rFonts w:cs="Times New Roman"/>
          <w:color w:val="000000" w:themeColor="text1"/>
          <w:szCs w:val="24"/>
        </w:rPr>
        <w:t xml:space="preserve">or 10 </w:t>
      </w:r>
      <w:proofErr w:type="spellStart"/>
      <w:r w:rsidRPr="00B70B51">
        <w:rPr>
          <w:rFonts w:cs="Times New Roman"/>
          <w:color w:val="000000" w:themeColor="text1"/>
          <w:szCs w:val="24"/>
        </w:rPr>
        <w:t>Gy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) of 6MV X-rays by a linear accelerator (Elekta, Synergy) at a dose rate of 200 </w:t>
      </w:r>
      <w:proofErr w:type="spellStart"/>
      <w:r w:rsidRPr="00B70B51">
        <w:rPr>
          <w:rFonts w:cs="Times New Roman"/>
          <w:color w:val="000000" w:themeColor="text1"/>
          <w:szCs w:val="24"/>
        </w:rPr>
        <w:t>cGy</w:t>
      </w:r>
      <w:proofErr w:type="spellEnd"/>
      <w:r w:rsidRPr="00B70B51">
        <w:rPr>
          <w:rFonts w:cs="Times New Roman"/>
          <w:color w:val="000000" w:themeColor="text1"/>
          <w:szCs w:val="24"/>
        </w:rPr>
        <w:t>/min using a tissue compensation system with a 1.5-cm membrane. Then, the cells were incubated for 10~14 days until colonies appeared. After being fixed with methanol for 20 min and stained with 0.1% crystal violet (</w:t>
      </w:r>
      <w:proofErr w:type="spellStart"/>
      <w:r w:rsidRPr="00B70B51">
        <w:rPr>
          <w:rFonts w:cs="Times New Roman"/>
          <w:color w:val="000000" w:themeColor="text1"/>
          <w:szCs w:val="24"/>
        </w:rPr>
        <w:t>Solarbio</w:t>
      </w:r>
      <w:proofErr w:type="spellEnd"/>
      <w:r w:rsidRPr="00B70B51">
        <w:rPr>
          <w:rFonts w:cs="Times New Roman"/>
          <w:color w:val="000000" w:themeColor="text1"/>
          <w:szCs w:val="24"/>
        </w:rPr>
        <w:t xml:space="preserve">, Beijing, China) for15 min. a valid clone was containing at least 50 cells. Experiments were performed in triplicate. plating efficiency (PE)= number of valid clones /numbers of corresponding cells inoculated; Surviving fraction (SF)=PE experiment group/PE sham-irradiated group; GraphPad Prism 8.0 software was used to fit the data to a multi-target, single-hit model </w:t>
      </w:r>
      <w:r>
        <w:rPr>
          <w:rFonts w:cs="Times New Roman" w:hint="eastAsia"/>
          <w:color w:val="000000" w:themeColor="text1"/>
          <w:szCs w:val="24"/>
        </w:rPr>
        <w:t>(</w:t>
      </w:r>
      <w:r w:rsidRPr="00B70B51">
        <w:rPr>
          <w:rStyle w:val="Emphasis"/>
          <w:rFonts w:cs="Times New Roman"/>
          <w:color w:val="000000" w:themeColor="text1"/>
          <w:szCs w:val="24"/>
        </w:rPr>
        <w:t>y = 1-(1-exp(-k*x)) ˆN</w:t>
      </w:r>
      <w:r>
        <w:rPr>
          <w:rFonts w:cs="Times New Roman" w:hint="eastAsia"/>
          <w:color w:val="000000" w:themeColor="text1"/>
          <w:szCs w:val="24"/>
          <w:shd w:val="clear" w:color="auto" w:fill="FFFFFF"/>
        </w:rPr>
        <w:t>)</w:t>
      </w:r>
      <w:r w:rsidRPr="00587450">
        <w:rPr>
          <w:rFonts w:cs="Times New Roman" w:hint="eastAsia"/>
          <w:color w:val="000000" w:themeColor="text1"/>
          <w:szCs w:val="24"/>
          <w:shd w:val="clear" w:color="auto" w:fill="FFFFFF"/>
        </w:rPr>
        <w:t>.</w:t>
      </w:r>
    </w:p>
    <w:p w14:paraId="0A76EC95" w14:textId="00A0184B" w:rsidR="000230C0" w:rsidRPr="00587450" w:rsidRDefault="000230C0" w:rsidP="000230C0">
      <w:pPr>
        <w:pStyle w:val="Heading2"/>
      </w:pPr>
      <w:r w:rsidRPr="00587450">
        <w:t>Wound Healing assay</w:t>
      </w:r>
    </w:p>
    <w:p w14:paraId="0F5EC4E2" w14:textId="77777777" w:rsidR="000230C0" w:rsidRPr="00587450" w:rsidRDefault="000230C0" w:rsidP="000230C0">
      <w:pPr>
        <w:rPr>
          <w:rFonts w:cs="Times New Roman"/>
          <w:color w:val="000000" w:themeColor="text1"/>
          <w:szCs w:val="24"/>
        </w:rPr>
      </w:pPr>
      <w:r w:rsidRPr="00587450">
        <w:rPr>
          <w:rFonts w:cs="Times New Roman"/>
          <w:color w:val="000000" w:themeColor="text1"/>
          <w:szCs w:val="24"/>
        </w:rPr>
        <w:t>After irradiated by 5Gy or not, E and E/N were seeded into 6-well plate (2×10</w:t>
      </w:r>
      <w:r w:rsidRPr="00587450">
        <w:rPr>
          <w:rFonts w:cs="Times New Roman"/>
          <w:color w:val="000000" w:themeColor="text1"/>
          <w:szCs w:val="24"/>
          <w:vertAlign w:val="superscript"/>
        </w:rPr>
        <w:t>5</w:t>
      </w:r>
      <w:r w:rsidRPr="00587450">
        <w:rPr>
          <w:rFonts w:cs="Times New Roman"/>
          <w:color w:val="000000" w:themeColor="text1"/>
          <w:szCs w:val="24"/>
        </w:rPr>
        <w:t xml:space="preserve"> cells/Wells), in triplicate, for the wound healing assay. After 24 h of culture (T0), the "1" glyph was scratched on the bottom of the culture plate, followed by washing gently three times with PBS and addition of culture medium with 2.5% FBS. </w:t>
      </w:r>
      <w:r w:rsidRPr="00587450">
        <w:rPr>
          <w:rStyle w:val="tgt"/>
          <w:rFonts w:cs="Times New Roman"/>
          <w:color w:val="000000" w:themeColor="text1"/>
          <w:szCs w:val="24"/>
        </w:rPr>
        <w:t xml:space="preserve">The scratches were </w:t>
      </w:r>
      <w:r w:rsidRPr="00587450">
        <w:rPr>
          <w:rFonts w:cs="Times New Roman"/>
          <w:color w:val="000000" w:themeColor="text1"/>
          <w:szCs w:val="24"/>
        </w:rPr>
        <w:t>immediately</w:t>
      </w:r>
      <w:r w:rsidRPr="00587450">
        <w:rPr>
          <w:rStyle w:val="tgt"/>
          <w:rFonts w:cs="Times New Roman"/>
          <w:color w:val="000000" w:themeColor="text1"/>
          <w:szCs w:val="24"/>
        </w:rPr>
        <w:t xml:space="preserve"> observed under the microscope and photographed. After continuing culture for 12 and 24 hours, additional</w:t>
      </w:r>
      <w:r w:rsidRPr="00587450">
        <w:rPr>
          <w:rFonts w:cs="Times New Roman"/>
          <w:color w:val="000000" w:themeColor="text1"/>
          <w:szCs w:val="24"/>
        </w:rPr>
        <w:t xml:space="preserve"> photographs were taken.</w:t>
      </w:r>
      <w:r w:rsidRPr="00587450">
        <w:rPr>
          <w:rStyle w:val="tgt"/>
          <w:rFonts w:cs="Times New Roman"/>
          <w:color w:val="000000" w:themeColor="text1"/>
          <w:szCs w:val="24"/>
        </w:rPr>
        <w:t xml:space="preserve"> Image J software was used to analyze data and calculate cell mobility. Mobility = (</w:t>
      </w:r>
      <w:r w:rsidRPr="00587450">
        <w:rPr>
          <w:rFonts w:cs="Times New Roman"/>
          <w:color w:val="000000" w:themeColor="text1"/>
          <w:szCs w:val="24"/>
        </w:rPr>
        <w:t>scraped area</w:t>
      </w:r>
      <w:r w:rsidRPr="00587450">
        <w:rPr>
          <w:rStyle w:val="tgt"/>
          <w:rFonts w:cs="Times New Roman"/>
          <w:color w:val="000000" w:themeColor="text1"/>
          <w:szCs w:val="24"/>
        </w:rPr>
        <w:t xml:space="preserve"> at T0 - </w:t>
      </w:r>
      <w:r w:rsidRPr="00587450">
        <w:rPr>
          <w:rFonts w:cs="Times New Roman"/>
          <w:color w:val="000000" w:themeColor="text1"/>
          <w:szCs w:val="24"/>
        </w:rPr>
        <w:t>scraped area</w:t>
      </w:r>
      <w:r w:rsidRPr="00587450">
        <w:rPr>
          <w:rStyle w:val="tgt"/>
          <w:rFonts w:cs="Times New Roman"/>
          <w:color w:val="000000" w:themeColor="text1"/>
          <w:szCs w:val="24"/>
        </w:rPr>
        <w:t xml:space="preserve"> at each time point)/ </w:t>
      </w:r>
      <w:r w:rsidRPr="00587450">
        <w:rPr>
          <w:rFonts w:cs="Times New Roman"/>
          <w:color w:val="000000" w:themeColor="text1"/>
          <w:szCs w:val="24"/>
        </w:rPr>
        <w:t>scraped area</w:t>
      </w:r>
      <w:r w:rsidRPr="00587450">
        <w:rPr>
          <w:rStyle w:val="tgt"/>
          <w:rFonts w:cs="Times New Roman"/>
          <w:color w:val="000000" w:themeColor="text1"/>
          <w:szCs w:val="24"/>
        </w:rPr>
        <w:t xml:space="preserve"> at T0 ×100%.</w:t>
      </w:r>
    </w:p>
    <w:p w14:paraId="41B3C0C8" w14:textId="1A40CD04" w:rsidR="000230C0" w:rsidRPr="00587450" w:rsidRDefault="000230C0" w:rsidP="000230C0">
      <w:pPr>
        <w:pStyle w:val="Heading2"/>
      </w:pPr>
      <w:proofErr w:type="spellStart"/>
      <w:r w:rsidRPr="00587450">
        <w:t>Transwell</w:t>
      </w:r>
      <w:proofErr w:type="spellEnd"/>
      <w:r w:rsidRPr="00587450">
        <w:t xml:space="preserve"> Invasion Assay</w:t>
      </w:r>
    </w:p>
    <w:p w14:paraId="27F798B7" w14:textId="77777777" w:rsidR="000230C0" w:rsidRPr="00587450" w:rsidRDefault="000230C0" w:rsidP="000230C0">
      <w:pPr>
        <w:rPr>
          <w:rFonts w:cs="Times New Roman"/>
          <w:color w:val="000000" w:themeColor="text1"/>
          <w:szCs w:val="24"/>
        </w:rPr>
      </w:pPr>
      <w:r w:rsidRPr="00587450">
        <w:rPr>
          <w:rFonts w:cs="Times New Roman"/>
          <w:color w:val="000000" w:themeColor="text1"/>
          <w:szCs w:val="24"/>
        </w:rPr>
        <w:t xml:space="preserve">100μL </w:t>
      </w:r>
      <w:r w:rsidRPr="00587450">
        <w:rPr>
          <w:rFonts w:cs="Times New Roman" w:hint="eastAsia"/>
          <w:color w:val="000000" w:themeColor="text1"/>
          <w:szCs w:val="24"/>
        </w:rPr>
        <w:t>c</w:t>
      </w:r>
      <w:r w:rsidRPr="00587450">
        <w:rPr>
          <w:rFonts w:cs="Times New Roman"/>
          <w:color w:val="000000" w:themeColor="text1"/>
          <w:szCs w:val="24"/>
        </w:rPr>
        <w:t>ell suspension without FBS containing 2×10</w:t>
      </w:r>
      <w:r w:rsidRPr="00587450">
        <w:rPr>
          <w:rFonts w:cs="Times New Roman"/>
          <w:color w:val="000000" w:themeColor="text1"/>
          <w:szCs w:val="24"/>
          <w:vertAlign w:val="superscript"/>
        </w:rPr>
        <w:t>4</w:t>
      </w:r>
      <w:r w:rsidRPr="00587450">
        <w:rPr>
          <w:rFonts w:cs="Times New Roman"/>
          <w:color w:val="000000" w:themeColor="text1"/>
          <w:szCs w:val="24"/>
        </w:rPr>
        <w:t xml:space="preserve"> cells at logarithmic phase were collected and added to the upper compartment of </w:t>
      </w:r>
      <w:proofErr w:type="spellStart"/>
      <w:r w:rsidRPr="00587450">
        <w:rPr>
          <w:rFonts w:cs="Times New Roman"/>
          <w:color w:val="000000" w:themeColor="text1"/>
          <w:szCs w:val="24"/>
        </w:rPr>
        <w:t>Transwell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chamber (8-μm pore size; Corning, USA). 600 </w:t>
      </w:r>
      <w:proofErr w:type="spellStart"/>
      <w:r w:rsidRPr="00587450">
        <w:rPr>
          <w:rFonts w:cs="Times New Roman"/>
          <w:color w:val="000000" w:themeColor="text1"/>
          <w:szCs w:val="24"/>
        </w:rPr>
        <w:t>μL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</w:t>
      </w:r>
      <w:r w:rsidRPr="00587450">
        <w:rPr>
          <w:rFonts w:cs="Times New Roman" w:hint="eastAsia"/>
          <w:color w:val="000000" w:themeColor="text1"/>
          <w:szCs w:val="24"/>
        </w:rPr>
        <w:t>medium</w:t>
      </w:r>
      <w:r w:rsidRPr="00587450">
        <w:rPr>
          <w:rFonts w:cs="Times New Roman"/>
          <w:color w:val="000000" w:themeColor="text1"/>
          <w:szCs w:val="24"/>
        </w:rPr>
        <w:t xml:space="preserve"> containing 10% </w:t>
      </w:r>
      <w:r w:rsidRPr="00587450">
        <w:rPr>
          <w:rFonts w:cs="Times New Roman" w:hint="eastAsia"/>
          <w:color w:val="000000" w:themeColor="text1"/>
          <w:szCs w:val="24"/>
        </w:rPr>
        <w:t>FBS</w:t>
      </w:r>
      <w:r w:rsidRPr="00587450">
        <w:rPr>
          <w:rFonts w:cs="Times New Roman"/>
          <w:color w:val="000000" w:themeColor="text1"/>
          <w:szCs w:val="24"/>
        </w:rPr>
        <w:t xml:space="preserve"> was added to 24-well plate and cultured for 24 hours. The cells on the top surface and </w:t>
      </w:r>
      <w:proofErr w:type="spellStart"/>
      <w:r w:rsidRPr="00587450">
        <w:rPr>
          <w:rFonts w:cs="Times New Roman"/>
          <w:color w:val="000000" w:themeColor="text1"/>
          <w:szCs w:val="24"/>
        </w:rPr>
        <w:t>matrigel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were wiped off with cotton swabs. After fixation by 4% paraformaldehyde for 15 min, stained with 0.1% crystal violet for 15 min, washed with PBS, photographed under microscope (100×), and count the number of cells through the membrane. </w:t>
      </w:r>
    </w:p>
    <w:p w14:paraId="60AA7913" w14:textId="2DADB243" w:rsidR="000230C0" w:rsidRPr="00587450" w:rsidRDefault="000230C0" w:rsidP="000230C0">
      <w:pPr>
        <w:pStyle w:val="Heading2"/>
      </w:pPr>
      <w:r w:rsidRPr="00587450">
        <w:t>Flow cytometry analysis</w:t>
      </w:r>
    </w:p>
    <w:p w14:paraId="06F3AA84" w14:textId="77777777" w:rsidR="000230C0" w:rsidRDefault="000230C0" w:rsidP="000230C0">
      <w:pPr>
        <w:rPr>
          <w:rFonts w:cs="Times New Roman"/>
          <w:color w:val="000000" w:themeColor="text1"/>
          <w:szCs w:val="24"/>
        </w:rPr>
      </w:pPr>
      <w:r w:rsidRPr="00587450">
        <w:rPr>
          <w:rFonts w:cs="Times New Roman"/>
          <w:color w:val="000000" w:themeColor="text1"/>
          <w:szCs w:val="24"/>
        </w:rPr>
        <w:lastRenderedPageBreak/>
        <w:t>E and E/N cells with or without IR were suspended in culture medium at a concentration of 5×10</w:t>
      </w:r>
      <w:r w:rsidRPr="00587450">
        <w:rPr>
          <w:rFonts w:cs="Times New Roman"/>
          <w:color w:val="000000" w:themeColor="text1"/>
          <w:szCs w:val="24"/>
          <w:vertAlign w:val="superscript"/>
        </w:rPr>
        <w:t>6</w:t>
      </w:r>
      <w:r w:rsidRPr="00587450">
        <w:rPr>
          <w:rFonts w:cs="Times New Roman"/>
          <w:color w:val="000000" w:themeColor="text1"/>
          <w:szCs w:val="24"/>
        </w:rPr>
        <w:t xml:space="preserve"> cells mL</w:t>
      </w:r>
      <w:r w:rsidRPr="00587450">
        <w:rPr>
          <w:rFonts w:cs="Times New Roman"/>
          <w:color w:val="000000" w:themeColor="text1"/>
          <w:szCs w:val="24"/>
          <w:vertAlign w:val="superscript"/>
        </w:rPr>
        <w:t>-1</w:t>
      </w:r>
      <w:r w:rsidRPr="00587450">
        <w:rPr>
          <w:rFonts w:cs="Times New Roman"/>
          <w:color w:val="000000" w:themeColor="text1"/>
          <w:szCs w:val="24"/>
        </w:rPr>
        <w:t>, For apoptosis, 5</w:t>
      </w:r>
      <w:r w:rsidRPr="00587450">
        <w:rPr>
          <w:rFonts w:eastAsia="DengXian" w:cs="Times New Roman"/>
          <w:color w:val="000000" w:themeColor="text1"/>
          <w:szCs w:val="24"/>
        </w:rPr>
        <w:t>µ</w:t>
      </w:r>
      <w:r w:rsidRPr="00587450">
        <w:rPr>
          <w:rFonts w:cs="Times New Roman"/>
          <w:color w:val="000000" w:themeColor="text1"/>
          <w:szCs w:val="24"/>
        </w:rPr>
        <w:t>L Annexin-V and PI staining solution (</w:t>
      </w:r>
      <w:proofErr w:type="spellStart"/>
      <w:r w:rsidRPr="00587450">
        <w:rPr>
          <w:rFonts w:cs="Times New Roman"/>
          <w:color w:val="000000" w:themeColor="text1"/>
          <w:szCs w:val="24"/>
        </w:rPr>
        <w:t>Solarbio</w:t>
      </w:r>
      <w:proofErr w:type="spellEnd"/>
      <w:r w:rsidRPr="00587450">
        <w:rPr>
          <w:rFonts w:cs="Times New Roman"/>
          <w:color w:val="000000" w:themeColor="text1"/>
          <w:szCs w:val="24"/>
        </w:rPr>
        <w:t>, Beijing, China) were added to 500 µL of cell suspension for 15 min incubation at room temperature without light, stained cells were assayed and quantified using a FACS Flow Cytometer (FCM, BD, USA); For cell cycle, after preparing the cells by the same method, 500μL ice-cold 70% ethanol was added to fix cells at 4°C for the night. Washed cells by ice-cold PBS, added 100μL RNase A solution to resuspend the cells, and incubated at 37℃ for 30min. Followed by the addition of 400µl PI for 20 min at 4℃ and cell cycle was analyzed by FCM.</w:t>
      </w:r>
    </w:p>
    <w:p w14:paraId="4CE150E9" w14:textId="2C60C51D" w:rsidR="000230C0" w:rsidRPr="00A605DB" w:rsidRDefault="000230C0" w:rsidP="000230C0">
      <w:pPr>
        <w:pStyle w:val="Heading2"/>
        <w:rPr>
          <w:color w:val="000000" w:themeColor="text1"/>
        </w:rPr>
      </w:pPr>
      <w:bookmarkStart w:id="6" w:name="_Hlk38788542"/>
      <w:r w:rsidRPr="0044094C">
        <w:t>γ-H2AX Immunofluorescence Staining</w:t>
      </w:r>
    </w:p>
    <w:p w14:paraId="7AE9D501" w14:textId="77777777" w:rsidR="000230C0" w:rsidRPr="00A605DB" w:rsidRDefault="000230C0" w:rsidP="000230C0">
      <w:pPr>
        <w:rPr>
          <w:rFonts w:cs="Times New Roman"/>
          <w:color w:val="000000" w:themeColor="text1"/>
          <w:szCs w:val="24"/>
        </w:rPr>
      </w:pPr>
      <w:r w:rsidRPr="00A605DB">
        <w:rPr>
          <w:rFonts w:cs="Times New Roman"/>
          <w:color w:val="000000" w:themeColor="text1"/>
          <w:szCs w:val="24"/>
        </w:rPr>
        <w:t xml:space="preserve">γ-H2AX foci immunofluorescence staining </w:t>
      </w:r>
      <w:r>
        <w:rPr>
          <w:rFonts w:cs="Times New Roman" w:hint="eastAsia"/>
          <w:color w:val="000000" w:themeColor="text1"/>
          <w:szCs w:val="24"/>
        </w:rPr>
        <w:t>was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 w:hint="eastAsia"/>
          <w:color w:val="000000" w:themeColor="text1"/>
          <w:szCs w:val="24"/>
        </w:rPr>
        <w:t>used</w:t>
      </w:r>
      <w:r>
        <w:rPr>
          <w:rFonts w:cs="Times New Roman"/>
          <w:color w:val="000000" w:themeColor="text1"/>
          <w:szCs w:val="24"/>
        </w:rPr>
        <w:t xml:space="preserve"> to analyze the </w:t>
      </w:r>
      <w:r w:rsidRPr="004630F4">
        <w:rPr>
          <w:rFonts w:cs="Times New Roman"/>
          <w:szCs w:val="24"/>
        </w:rPr>
        <w:t>DNA double-strand breaks (DSBs) kinetics</w:t>
      </w:r>
      <w:r w:rsidRPr="00A605DB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 xml:space="preserve">Cells were </w:t>
      </w:r>
      <w:r w:rsidRPr="00A605DB">
        <w:rPr>
          <w:rFonts w:cs="Times New Roman"/>
          <w:color w:val="000000" w:themeColor="text1"/>
          <w:szCs w:val="24"/>
        </w:rPr>
        <w:t xml:space="preserve">treated with 5 </w:t>
      </w:r>
      <w:proofErr w:type="spellStart"/>
      <w:r w:rsidRPr="00A605DB">
        <w:rPr>
          <w:rFonts w:cs="Times New Roman"/>
          <w:color w:val="000000" w:themeColor="text1"/>
          <w:szCs w:val="24"/>
        </w:rPr>
        <w:t>Gy</w:t>
      </w:r>
      <w:proofErr w:type="spellEnd"/>
      <w:r w:rsidRPr="00A605DB">
        <w:rPr>
          <w:rFonts w:cs="Times New Roman"/>
          <w:color w:val="000000" w:themeColor="text1"/>
          <w:szCs w:val="24"/>
        </w:rPr>
        <w:t xml:space="preserve"> IR</w:t>
      </w:r>
      <w:r>
        <w:rPr>
          <w:rFonts w:cs="Times New Roman" w:hint="eastAsia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at </w:t>
      </w:r>
      <w:r w:rsidRPr="00A605DB">
        <w:rPr>
          <w:rFonts w:cs="Times New Roman"/>
          <w:color w:val="000000" w:themeColor="text1"/>
          <w:szCs w:val="24"/>
        </w:rPr>
        <w:t xml:space="preserve">logarithmic growth phase. </w:t>
      </w:r>
      <w:r>
        <w:rPr>
          <w:rFonts w:cs="Times New Roman"/>
          <w:color w:val="000000" w:themeColor="text1"/>
          <w:szCs w:val="24"/>
        </w:rPr>
        <w:t xml:space="preserve">Then, </w:t>
      </w:r>
      <w:r w:rsidRPr="00A605DB">
        <w:rPr>
          <w:rFonts w:cs="Times New Roman"/>
          <w:color w:val="000000" w:themeColor="text1"/>
          <w:szCs w:val="24"/>
        </w:rPr>
        <w:t>cells were fixed with 4% paraformaldehyde for 30 minutes at 0.5h, 2h, 6h</w:t>
      </w:r>
      <w:r>
        <w:rPr>
          <w:rFonts w:cs="Times New Roman"/>
          <w:color w:val="000000" w:themeColor="text1"/>
          <w:szCs w:val="24"/>
        </w:rPr>
        <w:t xml:space="preserve"> a</w:t>
      </w:r>
      <w:r w:rsidRPr="00A605DB">
        <w:rPr>
          <w:rFonts w:cs="Times New Roman"/>
          <w:color w:val="000000" w:themeColor="text1"/>
          <w:szCs w:val="24"/>
        </w:rPr>
        <w:t xml:space="preserve">fter washing with PBS. </w:t>
      </w:r>
      <w:r>
        <w:rPr>
          <w:rFonts w:cs="Times New Roman"/>
          <w:color w:val="000000" w:themeColor="text1"/>
          <w:szCs w:val="24"/>
        </w:rPr>
        <w:t xml:space="preserve">After </w:t>
      </w:r>
      <w:r w:rsidRPr="00A605DB">
        <w:rPr>
          <w:rFonts w:cs="Times New Roman"/>
          <w:color w:val="000000" w:themeColor="text1"/>
          <w:szCs w:val="24"/>
        </w:rPr>
        <w:t>permeabilized with 0.2% Triton X-100 for 20 minutes</w:t>
      </w:r>
      <w:r>
        <w:rPr>
          <w:rFonts w:cs="Times New Roman"/>
          <w:color w:val="000000" w:themeColor="text1"/>
          <w:szCs w:val="24"/>
        </w:rPr>
        <w:t xml:space="preserve">, cells were </w:t>
      </w:r>
      <w:r w:rsidRPr="00A605DB">
        <w:rPr>
          <w:rFonts w:cs="Times New Roman"/>
          <w:color w:val="000000" w:themeColor="text1"/>
          <w:szCs w:val="24"/>
        </w:rPr>
        <w:t>stained fo</w:t>
      </w:r>
      <w:r w:rsidRPr="00077941">
        <w:rPr>
          <w:rFonts w:cs="Times New Roman"/>
          <w:color w:val="000000" w:themeColor="text1"/>
          <w:szCs w:val="24"/>
        </w:rPr>
        <w:t>r γ-H2AX</w:t>
      </w:r>
      <w:r w:rsidRPr="00A605DB">
        <w:rPr>
          <w:rFonts w:cs="Times New Roman"/>
          <w:color w:val="000000" w:themeColor="text1"/>
          <w:szCs w:val="24"/>
        </w:rPr>
        <w:t xml:space="preserve"> foc</w:t>
      </w:r>
      <w:r>
        <w:rPr>
          <w:rFonts w:cs="Times New Roman"/>
          <w:color w:val="000000" w:themeColor="text1"/>
          <w:szCs w:val="24"/>
        </w:rPr>
        <w:t>i</w:t>
      </w:r>
      <w:r w:rsidRPr="00A605DB">
        <w:rPr>
          <w:rFonts w:cs="Times New Roman"/>
          <w:color w:val="000000" w:themeColor="text1"/>
          <w:szCs w:val="24"/>
        </w:rPr>
        <w:t xml:space="preserve"> (</w:t>
      </w:r>
      <w:r w:rsidRPr="00077941">
        <w:rPr>
          <w:rFonts w:cs="Times New Roman"/>
          <w:color w:val="000000" w:themeColor="text1"/>
          <w:szCs w:val="24"/>
        </w:rPr>
        <w:t>1:100, 2577S, CST, USA)</w:t>
      </w:r>
      <w:r w:rsidRPr="00A605DB">
        <w:rPr>
          <w:rFonts w:cs="Times New Roman"/>
          <w:color w:val="000000" w:themeColor="text1"/>
          <w:szCs w:val="24"/>
        </w:rPr>
        <w:t xml:space="preserve"> for 2h at room temperature. And</w:t>
      </w:r>
      <w:r>
        <w:rPr>
          <w:rFonts w:cs="Times New Roman"/>
          <w:color w:val="000000" w:themeColor="text1"/>
          <w:szCs w:val="24"/>
        </w:rPr>
        <w:t xml:space="preserve"> </w:t>
      </w:r>
      <w:r w:rsidRPr="00A605DB">
        <w:rPr>
          <w:rFonts w:cs="Times New Roman"/>
          <w:color w:val="000000" w:themeColor="text1"/>
          <w:szCs w:val="24"/>
        </w:rPr>
        <w:t>secondary antibody (1:100</w:t>
      </w:r>
      <w:r>
        <w:rPr>
          <w:rFonts w:cs="Times New Roman"/>
          <w:color w:val="000000" w:themeColor="text1"/>
          <w:szCs w:val="24"/>
        </w:rPr>
        <w:t xml:space="preserve">, </w:t>
      </w:r>
      <w:r w:rsidRPr="00A605DB">
        <w:rPr>
          <w:rFonts w:cs="Times New Roman"/>
          <w:color w:val="000000" w:themeColor="text1"/>
          <w:szCs w:val="24"/>
        </w:rPr>
        <w:t xml:space="preserve">Abcam, USA) for 1 h at room temperature in the dark. </w:t>
      </w:r>
      <w:r>
        <w:rPr>
          <w:rFonts w:cs="Times New Roman"/>
          <w:color w:val="000000" w:themeColor="text1"/>
          <w:szCs w:val="24"/>
        </w:rPr>
        <w:t xml:space="preserve"> </w:t>
      </w:r>
      <w:r w:rsidRPr="00A605DB">
        <w:rPr>
          <w:rFonts w:cs="Times New Roman"/>
          <w:color w:val="000000" w:themeColor="text1"/>
          <w:szCs w:val="24"/>
        </w:rPr>
        <w:t>DAPI (</w:t>
      </w:r>
      <w:proofErr w:type="spellStart"/>
      <w:r w:rsidRPr="00077941">
        <w:rPr>
          <w:rFonts w:cs="Times New Roman"/>
          <w:color w:val="000000" w:themeColor="text1"/>
          <w:szCs w:val="24"/>
        </w:rPr>
        <w:t>Solarbio</w:t>
      </w:r>
      <w:proofErr w:type="spellEnd"/>
      <w:r w:rsidRPr="00077941">
        <w:rPr>
          <w:rFonts w:cs="Times New Roman"/>
          <w:color w:val="000000" w:themeColor="text1"/>
          <w:szCs w:val="24"/>
        </w:rPr>
        <w:t>, Beijing, China</w:t>
      </w:r>
      <w:r w:rsidRPr="00A605DB">
        <w:rPr>
          <w:rFonts w:cs="Times New Roman"/>
          <w:color w:val="000000" w:themeColor="text1"/>
          <w:szCs w:val="24"/>
        </w:rPr>
        <w:t>)</w:t>
      </w:r>
      <w:r>
        <w:rPr>
          <w:rFonts w:cs="Times New Roman"/>
          <w:color w:val="000000" w:themeColor="text1"/>
          <w:szCs w:val="24"/>
        </w:rPr>
        <w:t xml:space="preserve"> was to stained the nuclei</w:t>
      </w:r>
      <w:r w:rsidRPr="00A605DB">
        <w:rPr>
          <w:rFonts w:cs="Times New Roman"/>
          <w:color w:val="000000" w:themeColor="text1"/>
          <w:szCs w:val="24"/>
        </w:rPr>
        <w:t xml:space="preserve"> for </w:t>
      </w:r>
      <w:r>
        <w:rPr>
          <w:rFonts w:cs="Times New Roman"/>
          <w:color w:val="000000" w:themeColor="text1"/>
          <w:szCs w:val="24"/>
        </w:rPr>
        <w:t>2</w:t>
      </w:r>
      <w:r w:rsidRPr="00A605DB">
        <w:rPr>
          <w:rFonts w:cs="Times New Roman"/>
          <w:color w:val="000000" w:themeColor="text1"/>
          <w:szCs w:val="24"/>
        </w:rPr>
        <w:t xml:space="preserve">0 min at room temperature. </w:t>
      </w:r>
      <w:r>
        <w:rPr>
          <w:rFonts w:cs="Times New Roman"/>
          <w:color w:val="000000" w:themeColor="text1"/>
          <w:szCs w:val="24"/>
        </w:rPr>
        <w:t>F</w:t>
      </w:r>
      <w:r w:rsidRPr="00A605DB">
        <w:rPr>
          <w:rFonts w:cs="Times New Roman"/>
          <w:color w:val="000000" w:themeColor="text1"/>
          <w:szCs w:val="24"/>
        </w:rPr>
        <w:t>luorescence microscope (Leica Microsystems)</w:t>
      </w:r>
      <w:r>
        <w:rPr>
          <w:rFonts w:cs="Times New Roman"/>
          <w:color w:val="000000" w:themeColor="text1"/>
          <w:szCs w:val="24"/>
        </w:rPr>
        <w:t xml:space="preserve"> </w:t>
      </w:r>
      <w:r w:rsidRPr="00A605DB">
        <w:rPr>
          <w:rFonts w:cs="Times New Roman"/>
          <w:color w:val="000000" w:themeColor="text1"/>
          <w:szCs w:val="24"/>
        </w:rPr>
        <w:t>acquire images. Finally, Image J software was used to count the γ-H2AX fluorescent spots in</w:t>
      </w:r>
      <w:r>
        <w:rPr>
          <w:rFonts w:cs="Times New Roman"/>
          <w:color w:val="000000" w:themeColor="text1"/>
          <w:szCs w:val="24"/>
        </w:rPr>
        <w:t xml:space="preserve"> </w:t>
      </w:r>
      <w:r w:rsidRPr="00A605DB">
        <w:rPr>
          <w:rFonts w:cs="Times New Roman"/>
          <w:color w:val="000000" w:themeColor="text1"/>
          <w:szCs w:val="24"/>
        </w:rPr>
        <w:t>nucleus.</w:t>
      </w:r>
    </w:p>
    <w:p w14:paraId="779D89CF" w14:textId="7C64F207" w:rsidR="000230C0" w:rsidRPr="00587450" w:rsidRDefault="000230C0" w:rsidP="000230C0">
      <w:pPr>
        <w:pStyle w:val="Heading2"/>
      </w:pPr>
      <w:r w:rsidRPr="00587450">
        <w:t>Histology and immunohistochemistry</w:t>
      </w:r>
    </w:p>
    <w:bookmarkEnd w:id="6"/>
    <w:p w14:paraId="71BCD38A" w14:textId="77777777" w:rsidR="000230C0" w:rsidRPr="00587450" w:rsidRDefault="000230C0" w:rsidP="000230C0">
      <w:pPr>
        <w:rPr>
          <w:rFonts w:cs="Times New Roman"/>
          <w:color w:val="000000" w:themeColor="text1"/>
          <w:szCs w:val="24"/>
        </w:rPr>
      </w:pPr>
      <w:r w:rsidRPr="00587450">
        <w:rPr>
          <w:rFonts w:cs="Times New Roman"/>
          <w:color w:val="000000" w:themeColor="text1"/>
          <w:szCs w:val="24"/>
        </w:rPr>
        <w:t xml:space="preserve">ESCC specimens from tissues derived from patients or 3D printed scaffolds of E and E/N cells were fixed in 4% paraformaldehyde for 24h. These tissues and scaffolds were embedded in paraffin. And then, part of the scaffolds was cut into 2μm thick sections, and stained with </w:t>
      </w:r>
      <w:proofErr w:type="spellStart"/>
      <w:r w:rsidRPr="00587450">
        <w:rPr>
          <w:rFonts w:cs="Times New Roman"/>
          <w:color w:val="000000" w:themeColor="text1"/>
          <w:szCs w:val="24"/>
        </w:rPr>
        <w:t>haematoxylin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and eosin (HE) following the protocol. In addition, these tissues and scaffolds were cut into 5-μm thick sections. According to the protocol</w:t>
      </w:r>
      <w:r>
        <w:rPr>
          <w:rFonts w:cs="Times New Roman"/>
          <w:color w:val="000000" w:themeColor="text1"/>
          <w:szCs w:val="24"/>
        </w:rPr>
        <w:t>,</w:t>
      </w:r>
      <w:r w:rsidRPr="00587450">
        <w:rPr>
          <w:rFonts w:cs="Times New Roman"/>
          <w:color w:val="000000" w:themeColor="text1"/>
          <w:szCs w:val="24"/>
        </w:rPr>
        <w:t xml:space="preserve"> the universal streptavidin-peroxidase kit (ZSGB-bio, Beijing, China) was used to detect the protein expression of NRAGE, β-catenin and Ki-67(NRAGE, 1:100, </w:t>
      </w:r>
      <w:proofErr w:type="spellStart"/>
      <w:r w:rsidRPr="00587450">
        <w:rPr>
          <w:rFonts w:cs="Times New Roman"/>
          <w:color w:val="000000" w:themeColor="text1"/>
          <w:szCs w:val="24"/>
        </w:rPr>
        <w:t>Proteintech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, China; β-catenin, 1:150, </w:t>
      </w:r>
      <w:proofErr w:type="spellStart"/>
      <w:r w:rsidRPr="00587450">
        <w:rPr>
          <w:rFonts w:cs="Times New Roman"/>
          <w:color w:val="000000" w:themeColor="text1"/>
          <w:szCs w:val="24"/>
        </w:rPr>
        <w:t>Proteintech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, China; Ki-67, ZSGB-BIO, China). Brown granules in the cytoplasm, cell membrane, or nucleus were considered as positive staining. According to the </w:t>
      </w:r>
      <w:proofErr w:type="spellStart"/>
      <w:r w:rsidRPr="00587450">
        <w:rPr>
          <w:rFonts w:cs="Times New Roman"/>
          <w:color w:val="000000" w:themeColor="text1"/>
          <w:szCs w:val="24"/>
        </w:rPr>
        <w:t>Axiotis</w:t>
      </w:r>
      <w:proofErr w:type="spellEnd"/>
      <w:r w:rsidRPr="00587450">
        <w:rPr>
          <w:rFonts w:cs="Times New Roman"/>
          <w:color w:val="000000" w:themeColor="text1"/>
          <w:szCs w:val="24"/>
        </w:rPr>
        <w:t xml:space="preserve"> pathological scoring standard, the percentage of positive cells and the staining intensity of cells were comprehensively evaluated.</w:t>
      </w:r>
      <w:r w:rsidRPr="00587450">
        <w:rPr>
          <w:rFonts w:cs="Times New Roman"/>
          <w:color w:val="000000" w:themeColor="text1"/>
          <w:szCs w:val="24"/>
          <w:shd w:val="clear" w:color="auto" w:fill="F7F8FA"/>
        </w:rPr>
        <w:t xml:space="preserve"> </w:t>
      </w:r>
      <w:r w:rsidRPr="00587450">
        <w:rPr>
          <w:rFonts w:cs="Times New Roman"/>
          <w:color w:val="000000" w:themeColor="text1"/>
          <w:szCs w:val="24"/>
        </w:rPr>
        <w:t>Two pathologists observed independently 5 representative high-magnification fields of each section, and scored them according to the staining intensity and percentage of staining cells in the tumor cytoplasm or nucleus: 0 for negative, 1 for light staining, 2 for moderate staining, and 3 for deep staining. The percentage of staining cells in counting cells &lt;5% was 0 points, 6%-25% was 1 point, 26%-50% was 2 points, 51%-75% was 3 points, and 76%-100% was 4 points. The final score of each slice was obtained by multiplying the two score. 0 was negative (-), 1~4 was weak positive (+), 5~8 was positive (++), and 9~12 was strongly positive (+++).</w:t>
      </w:r>
    </w:p>
    <w:p w14:paraId="740C5362" w14:textId="39564EC7" w:rsidR="000230C0" w:rsidRDefault="000230C0" w:rsidP="000230C0">
      <w:pPr>
        <w:rPr>
          <w:rFonts w:cs="Times New Roman"/>
          <w:color w:val="000000" w:themeColor="text1"/>
          <w:szCs w:val="24"/>
        </w:rPr>
      </w:pPr>
    </w:p>
    <w:p w14:paraId="3F1902CF" w14:textId="3D8D82DC" w:rsidR="003037BB" w:rsidRDefault="003037BB" w:rsidP="000230C0">
      <w:pPr>
        <w:rPr>
          <w:rFonts w:cs="Times New Roman"/>
          <w:color w:val="000000" w:themeColor="text1"/>
          <w:szCs w:val="24"/>
        </w:rPr>
      </w:pPr>
    </w:p>
    <w:p w14:paraId="78E20C95" w14:textId="1309A818" w:rsidR="003037BB" w:rsidRDefault="003037BB" w:rsidP="000230C0">
      <w:pPr>
        <w:rPr>
          <w:rFonts w:cs="Times New Roman"/>
          <w:color w:val="000000" w:themeColor="text1"/>
          <w:szCs w:val="24"/>
        </w:rPr>
      </w:pPr>
    </w:p>
    <w:p w14:paraId="74824CD9" w14:textId="45CB2083" w:rsidR="003037BB" w:rsidRDefault="003037BB" w:rsidP="000230C0">
      <w:pPr>
        <w:rPr>
          <w:rFonts w:cs="Times New Roman"/>
          <w:color w:val="000000" w:themeColor="text1"/>
          <w:szCs w:val="24"/>
        </w:rPr>
      </w:pPr>
    </w:p>
    <w:p w14:paraId="1CAB08D9" w14:textId="687F3CB4" w:rsidR="003037BB" w:rsidRDefault="003037BB" w:rsidP="000230C0">
      <w:pPr>
        <w:rPr>
          <w:rFonts w:cs="Times New Roman"/>
          <w:color w:val="000000" w:themeColor="text1"/>
          <w:szCs w:val="24"/>
        </w:rPr>
      </w:pPr>
    </w:p>
    <w:p w14:paraId="7448B75B" w14:textId="77777777" w:rsidR="003037BB" w:rsidRPr="00242229" w:rsidRDefault="003037BB" w:rsidP="000230C0">
      <w:pPr>
        <w:rPr>
          <w:rFonts w:cs="Times New Roman"/>
          <w:color w:val="000000" w:themeColor="text1"/>
          <w:szCs w:val="24"/>
        </w:rPr>
      </w:pPr>
    </w:p>
    <w:p w14:paraId="4D059444" w14:textId="75019637" w:rsidR="00994A3D" w:rsidRPr="00AB5E84" w:rsidRDefault="00654E8F" w:rsidP="0001436A">
      <w:pPr>
        <w:pStyle w:val="Heading1"/>
      </w:pPr>
      <w:r w:rsidRPr="00AB5E84">
        <w:lastRenderedPageBreak/>
        <w:t>Supplementary Tables</w:t>
      </w:r>
    </w:p>
    <w:p w14:paraId="63D7C2B0" w14:textId="0E03B6EF" w:rsidR="00994A3D" w:rsidRPr="00AB5E84" w:rsidRDefault="00994A3D" w:rsidP="0001436A">
      <w:pPr>
        <w:pStyle w:val="Heading2"/>
      </w:pPr>
      <w:r w:rsidRPr="00AB5E84">
        <w:t xml:space="preserve">Supplementary </w:t>
      </w:r>
      <w:r w:rsidR="000230C0" w:rsidRPr="00AB5E84">
        <w:t>Table</w:t>
      </w:r>
      <w:r w:rsidRPr="00AB5E84">
        <w:t>s</w:t>
      </w:r>
      <w:r w:rsidR="000230C0" w:rsidRPr="00AB5E84">
        <w:t>1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2057"/>
        <w:gridCol w:w="1821"/>
        <w:gridCol w:w="1821"/>
        <w:gridCol w:w="1821"/>
      </w:tblGrid>
      <w:tr w:rsidR="00AB5E84" w:rsidRPr="00AB5E84" w14:paraId="204F5FF6" w14:textId="77777777" w:rsidTr="00ED2AAF">
        <w:trPr>
          <w:trHeight w:val="310"/>
        </w:trPr>
        <w:tc>
          <w:tcPr>
            <w:tcW w:w="75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3079" w14:textId="77777777" w:rsidR="000230C0" w:rsidRPr="00AB5E84" w:rsidRDefault="000230C0" w:rsidP="00ED2AAF">
            <w:r w:rsidRPr="00AB5E84">
              <w:t xml:space="preserve">Table </w:t>
            </w:r>
            <w:r w:rsidRPr="00AB5E84">
              <w:rPr>
                <w:rFonts w:hint="eastAsia"/>
              </w:rPr>
              <w:t>S</w:t>
            </w:r>
            <w:r w:rsidRPr="00AB5E84">
              <w:t>1 Correlation parameters in the multi-target, single-hit model</w:t>
            </w:r>
          </w:p>
        </w:tc>
      </w:tr>
      <w:tr w:rsidR="00AB5E84" w:rsidRPr="00AB5E84" w14:paraId="7B9745A5" w14:textId="77777777" w:rsidTr="00ED2AAF">
        <w:trPr>
          <w:trHeight w:val="310"/>
        </w:trPr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1738" w14:textId="77777777" w:rsidR="000230C0" w:rsidRPr="00AB5E84" w:rsidRDefault="000230C0" w:rsidP="00ED2AAF">
            <w:pPr>
              <w:jc w:val="center"/>
            </w:pPr>
            <w:r w:rsidRPr="00AB5E84"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7152" w14:textId="77777777" w:rsidR="000230C0" w:rsidRPr="00AB5E84" w:rsidRDefault="000230C0" w:rsidP="00ED2AAF">
            <w:pPr>
              <w:jc w:val="center"/>
            </w:pPr>
            <w:r w:rsidRPr="00AB5E84">
              <w:t>SF2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368C" w14:textId="77777777" w:rsidR="000230C0" w:rsidRPr="00AB5E84" w:rsidRDefault="000230C0" w:rsidP="00ED2AAF">
            <w:pPr>
              <w:jc w:val="center"/>
            </w:pPr>
            <w:r w:rsidRPr="00AB5E84">
              <w:t>D0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77F1" w14:textId="77777777" w:rsidR="000230C0" w:rsidRPr="00AB5E84" w:rsidRDefault="000230C0" w:rsidP="00ED2AAF">
            <w:pPr>
              <w:jc w:val="center"/>
            </w:pPr>
            <w:proofErr w:type="spellStart"/>
            <w:r w:rsidRPr="00AB5E84">
              <w:t>Dq</w:t>
            </w:r>
            <w:proofErr w:type="spellEnd"/>
          </w:p>
        </w:tc>
      </w:tr>
      <w:tr w:rsidR="00AB5E84" w:rsidRPr="00AB5E84" w14:paraId="158AF0A2" w14:textId="77777777" w:rsidTr="00ED2AAF">
        <w:trPr>
          <w:trHeight w:val="31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B6C3" w14:textId="77777777" w:rsidR="000230C0" w:rsidRPr="00AB5E84" w:rsidRDefault="000230C0" w:rsidP="00ED2AAF">
            <w:pPr>
              <w:jc w:val="center"/>
            </w:pPr>
            <w:r w:rsidRPr="00AB5E84">
              <w:t>E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3F5D" w14:textId="77777777" w:rsidR="000230C0" w:rsidRPr="00AB5E84" w:rsidRDefault="000230C0" w:rsidP="00ED2AAF">
            <w:pPr>
              <w:jc w:val="center"/>
            </w:pPr>
            <w:r w:rsidRPr="00AB5E84">
              <w:t>0.518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BB9C" w14:textId="77777777" w:rsidR="000230C0" w:rsidRPr="00AB5E84" w:rsidRDefault="000230C0" w:rsidP="00ED2AAF">
            <w:pPr>
              <w:jc w:val="center"/>
            </w:pPr>
            <w:bookmarkStart w:id="7" w:name="_Hlk62824709"/>
            <w:r w:rsidRPr="00AB5E84">
              <w:t>1.201</w:t>
            </w:r>
            <w:bookmarkEnd w:id="7"/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2DEE" w14:textId="77777777" w:rsidR="000230C0" w:rsidRPr="00AB5E84" w:rsidRDefault="000230C0" w:rsidP="00ED2AAF">
            <w:pPr>
              <w:jc w:val="center"/>
            </w:pPr>
            <w:bookmarkStart w:id="8" w:name="_Hlk62824758"/>
            <w:r w:rsidRPr="00AB5E84">
              <w:t>1.492</w:t>
            </w:r>
            <w:bookmarkEnd w:id="8"/>
          </w:p>
        </w:tc>
      </w:tr>
      <w:tr w:rsidR="00AB5E84" w:rsidRPr="00AB5E84" w14:paraId="37D4CF27" w14:textId="77777777" w:rsidTr="00ED2AAF">
        <w:trPr>
          <w:trHeight w:val="310"/>
        </w:trPr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4348" w14:textId="77777777" w:rsidR="000230C0" w:rsidRPr="00AB5E84" w:rsidRDefault="000230C0" w:rsidP="00ED2AAF">
            <w:pPr>
              <w:jc w:val="center"/>
            </w:pPr>
            <w:r w:rsidRPr="00AB5E84">
              <w:t>E/N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7DF20" w14:textId="77777777" w:rsidR="000230C0" w:rsidRPr="00AB5E84" w:rsidRDefault="000230C0" w:rsidP="00ED2AAF">
            <w:pPr>
              <w:jc w:val="center"/>
            </w:pPr>
            <w:r w:rsidRPr="00AB5E84">
              <w:t>0.636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78A6C" w14:textId="77777777" w:rsidR="000230C0" w:rsidRPr="00AB5E84" w:rsidRDefault="000230C0" w:rsidP="00ED2AAF">
            <w:pPr>
              <w:jc w:val="center"/>
            </w:pPr>
            <w:bookmarkStart w:id="9" w:name="_Hlk62824749"/>
            <w:r w:rsidRPr="00AB5E84">
              <w:t>2.020</w:t>
            </w:r>
            <w:bookmarkEnd w:id="9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602C3" w14:textId="77777777" w:rsidR="000230C0" w:rsidRPr="00AB5E84" w:rsidRDefault="000230C0" w:rsidP="00ED2AAF">
            <w:pPr>
              <w:jc w:val="center"/>
            </w:pPr>
            <w:bookmarkStart w:id="10" w:name="_Hlk62824766"/>
            <w:r w:rsidRPr="00AB5E84">
              <w:t>1.530</w:t>
            </w:r>
            <w:bookmarkEnd w:id="10"/>
          </w:p>
        </w:tc>
      </w:tr>
    </w:tbl>
    <w:p w14:paraId="7A1BDC9D" w14:textId="77777777" w:rsidR="000230C0" w:rsidRPr="00AB5E84" w:rsidRDefault="000230C0" w:rsidP="000230C0">
      <w:pPr>
        <w:rPr>
          <w:szCs w:val="24"/>
        </w:rPr>
      </w:pPr>
      <w:r w:rsidRPr="00AB5E84">
        <w:rPr>
          <w:szCs w:val="24"/>
        </w:rPr>
        <w:t xml:space="preserve">D0 is the single radiation dose of radiation producing a 63% lethality rate; SF2 is the survival fraction with 2 </w:t>
      </w:r>
      <w:proofErr w:type="spellStart"/>
      <w:r w:rsidRPr="00AB5E84">
        <w:rPr>
          <w:szCs w:val="24"/>
        </w:rPr>
        <w:t>Gy</w:t>
      </w:r>
      <w:proofErr w:type="spellEnd"/>
      <w:r w:rsidRPr="00AB5E84">
        <w:rPr>
          <w:szCs w:val="24"/>
        </w:rPr>
        <w:t xml:space="preserve"> radiation;</w:t>
      </w:r>
    </w:p>
    <w:p w14:paraId="19EB5DE3" w14:textId="057B1436" w:rsidR="000230C0" w:rsidRPr="00AB5E84" w:rsidRDefault="000230C0" w:rsidP="000230C0">
      <w:pPr>
        <w:rPr>
          <w:szCs w:val="24"/>
        </w:rPr>
      </w:pPr>
      <w:proofErr w:type="spellStart"/>
      <w:r w:rsidRPr="00AB5E84">
        <w:rPr>
          <w:szCs w:val="24"/>
        </w:rPr>
        <w:t>Dq</w:t>
      </w:r>
      <w:proofErr w:type="spellEnd"/>
      <w:r w:rsidRPr="00AB5E84">
        <w:rPr>
          <w:szCs w:val="24"/>
        </w:rPr>
        <w:t xml:space="preserve"> is the quasi threshold dose required for sublethal damage.</w:t>
      </w:r>
    </w:p>
    <w:p w14:paraId="121B3DA0" w14:textId="1C1EA36B" w:rsidR="000230C0" w:rsidRPr="00AB5E84" w:rsidRDefault="000230C0" w:rsidP="000230C0">
      <w:pPr>
        <w:pStyle w:val="Heading2"/>
      </w:pPr>
      <w:r w:rsidRPr="00AB5E84">
        <w:t>Supplementary Tables2</w:t>
      </w:r>
    </w:p>
    <w:p w14:paraId="02533AAC" w14:textId="7448F9C3" w:rsidR="000230C0" w:rsidRPr="00AB5E84" w:rsidRDefault="000230C0" w:rsidP="000230C0">
      <w:pPr>
        <w:rPr>
          <w:rFonts w:cs="Times New Roman"/>
          <w:szCs w:val="24"/>
        </w:rPr>
      </w:pPr>
      <w:r w:rsidRPr="00AB5E84">
        <w:rPr>
          <w:rFonts w:cs="Times New Roman"/>
          <w:szCs w:val="24"/>
        </w:rPr>
        <w:t xml:space="preserve">Table </w:t>
      </w:r>
      <w:r w:rsidRPr="00AB5E84">
        <w:rPr>
          <w:rFonts w:cs="Times New Roman" w:hint="eastAsia"/>
          <w:szCs w:val="24"/>
        </w:rPr>
        <w:t>S</w:t>
      </w:r>
      <w:r w:rsidRPr="00AB5E84">
        <w:rPr>
          <w:rFonts w:cs="Times New Roman"/>
          <w:szCs w:val="24"/>
        </w:rPr>
        <w:t xml:space="preserve">2 clinicopathological characteristics of patient samples with </w:t>
      </w:r>
      <w:bookmarkStart w:id="11" w:name="_Hlk91686341"/>
      <w:r w:rsidR="00BC4B7B" w:rsidRPr="00AB5E84">
        <w:rPr>
          <w:rFonts w:cs="Times New Roman"/>
          <w:szCs w:val="24"/>
        </w:rPr>
        <w:t>ESCC</w:t>
      </w:r>
      <w:r w:rsidRPr="00AB5E84">
        <w:rPr>
          <w:rFonts w:cs="Times New Roman"/>
          <w:szCs w:val="24"/>
        </w:rPr>
        <w:t xml:space="preserve"> </w:t>
      </w:r>
      <w:bookmarkEnd w:id="11"/>
      <w:r w:rsidRPr="00AB5E84">
        <w:rPr>
          <w:rFonts w:cs="Times New Roman"/>
          <w:szCs w:val="24"/>
        </w:rPr>
        <w:t>following Radical radiotherapy</w:t>
      </w:r>
    </w:p>
    <w:tbl>
      <w:tblPr>
        <w:tblStyle w:val="ListTable2-Accent3"/>
        <w:tblW w:w="588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640"/>
      </w:tblGrid>
      <w:tr w:rsidR="00AB5E84" w:rsidRPr="00AB5E84" w14:paraId="515D84E8" w14:textId="77777777" w:rsidTr="00ED2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DE3947" w14:textId="416D2865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 xml:space="preserve">Characteristics 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4843CA" w14:textId="77777777" w:rsidR="000230C0" w:rsidRPr="00AB5E84" w:rsidRDefault="000230C0" w:rsidP="000230C0">
            <w:pPr>
              <w:spacing w:before="0" w:after="0"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Number of cases (%)</w:t>
            </w:r>
          </w:p>
        </w:tc>
      </w:tr>
      <w:tr w:rsidR="00AB5E84" w:rsidRPr="00AB5E84" w14:paraId="14C57A75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0A109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Age(y)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EE8732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 xml:space="preserve">　</w:t>
            </w:r>
          </w:p>
        </w:tc>
      </w:tr>
      <w:tr w:rsidR="00AB5E84" w:rsidRPr="00AB5E84" w14:paraId="2182023D" w14:textId="77777777" w:rsidTr="00ED2AA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noWrap/>
            <w:hideMark/>
          </w:tcPr>
          <w:p w14:paraId="76F7A68E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 xml:space="preserve">≥60 </w:t>
            </w:r>
          </w:p>
        </w:tc>
        <w:tc>
          <w:tcPr>
            <w:tcW w:w="2640" w:type="dxa"/>
            <w:hideMark/>
          </w:tcPr>
          <w:p w14:paraId="15BD7D71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29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65.9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52071418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139C9BC1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&lt;60</w:t>
            </w:r>
          </w:p>
        </w:tc>
        <w:tc>
          <w:tcPr>
            <w:tcW w:w="2640" w:type="dxa"/>
            <w:shd w:val="clear" w:color="auto" w:fill="FFFFFF"/>
            <w:hideMark/>
          </w:tcPr>
          <w:p w14:paraId="7A0FFA6D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15</w:t>
            </w:r>
            <w:r w:rsidRPr="00AB5E84">
              <w:rPr>
                <w:rFonts w:eastAsia="DengXia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34.1</w:t>
            </w:r>
            <w:r w:rsidRPr="00AB5E84">
              <w:rPr>
                <w:rFonts w:eastAsia="DengXian" w:cs="Times New Roman"/>
                <w:szCs w:val="24"/>
              </w:rPr>
              <w:t>）</w:t>
            </w:r>
          </w:p>
        </w:tc>
      </w:tr>
      <w:tr w:rsidR="00AB5E84" w:rsidRPr="00AB5E84" w14:paraId="6E715C95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749AB728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Gender</w:t>
            </w:r>
          </w:p>
        </w:tc>
      </w:tr>
      <w:tr w:rsidR="00AB5E84" w:rsidRPr="00AB5E84" w14:paraId="250D510D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0DF9C56E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Male</w:t>
            </w:r>
          </w:p>
        </w:tc>
        <w:tc>
          <w:tcPr>
            <w:tcW w:w="2640" w:type="dxa"/>
            <w:shd w:val="clear" w:color="auto" w:fill="FFFFFF"/>
            <w:hideMark/>
          </w:tcPr>
          <w:p w14:paraId="4217C5D5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29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65.9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47620CB4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0AEB1CF1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 xml:space="preserve">Female  </w:t>
            </w:r>
          </w:p>
        </w:tc>
        <w:tc>
          <w:tcPr>
            <w:tcW w:w="2640" w:type="dxa"/>
            <w:shd w:val="clear" w:color="auto" w:fill="FFFFFF"/>
            <w:hideMark/>
          </w:tcPr>
          <w:p w14:paraId="78C20C62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15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34.1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4488BE2D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/>
            <w:noWrap/>
            <w:hideMark/>
          </w:tcPr>
          <w:p w14:paraId="178E2E09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 w:hint="eastAsia"/>
                <w:szCs w:val="24"/>
              </w:rPr>
              <w:t>C</w:t>
            </w:r>
            <w:r w:rsidRPr="00AB5E84">
              <w:rPr>
                <w:rFonts w:eastAsia="DengXian" w:cs="Times New Roman"/>
                <w:szCs w:val="24"/>
              </w:rPr>
              <w:t xml:space="preserve">linical </w:t>
            </w:r>
            <w:r w:rsidRPr="00AB5E84">
              <w:rPr>
                <w:rFonts w:eastAsia="DengXian" w:cs="Times New Roman" w:hint="eastAsia"/>
                <w:szCs w:val="24"/>
              </w:rPr>
              <w:t>S</w:t>
            </w:r>
            <w:r w:rsidRPr="00AB5E84">
              <w:rPr>
                <w:rFonts w:eastAsia="DengXian" w:cs="Times New Roman"/>
                <w:szCs w:val="24"/>
              </w:rPr>
              <w:t>tage</w:t>
            </w:r>
          </w:p>
        </w:tc>
      </w:tr>
      <w:tr w:rsidR="00AB5E84" w:rsidRPr="00AB5E84" w14:paraId="333C24F7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4CF492F2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I-II</w:t>
            </w:r>
          </w:p>
        </w:tc>
        <w:tc>
          <w:tcPr>
            <w:tcW w:w="2640" w:type="dxa"/>
            <w:shd w:val="clear" w:color="auto" w:fill="FFFFFF"/>
            <w:hideMark/>
          </w:tcPr>
          <w:p w14:paraId="5DB63C82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33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75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08B2737B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2562D420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III-IV</w:t>
            </w:r>
          </w:p>
        </w:tc>
        <w:tc>
          <w:tcPr>
            <w:tcW w:w="2640" w:type="dxa"/>
            <w:shd w:val="clear" w:color="auto" w:fill="FFFFFF"/>
            <w:hideMark/>
          </w:tcPr>
          <w:p w14:paraId="5B709289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11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25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73A2A4E0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/>
            <w:noWrap/>
            <w:hideMark/>
          </w:tcPr>
          <w:p w14:paraId="4104E3C4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Tumor size</w:t>
            </w:r>
          </w:p>
        </w:tc>
      </w:tr>
      <w:tr w:rsidR="00AB5E84" w:rsidRPr="00AB5E84" w14:paraId="638C7579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419C1AF0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≥5cm</w:t>
            </w:r>
          </w:p>
        </w:tc>
        <w:tc>
          <w:tcPr>
            <w:tcW w:w="2640" w:type="dxa"/>
            <w:shd w:val="clear" w:color="auto" w:fill="FFFFFF"/>
            <w:hideMark/>
          </w:tcPr>
          <w:p w14:paraId="1CC242E1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30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68.2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430329AD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1E838497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＜</w:t>
            </w:r>
            <w:r w:rsidRPr="00AB5E84">
              <w:rPr>
                <w:rFonts w:eastAsia="DengXian" w:cs="Times New Roman"/>
                <w:szCs w:val="24"/>
              </w:rPr>
              <w:t>5cm</w:t>
            </w:r>
          </w:p>
        </w:tc>
        <w:tc>
          <w:tcPr>
            <w:tcW w:w="2640" w:type="dxa"/>
            <w:shd w:val="clear" w:color="auto" w:fill="FFFFFF"/>
            <w:hideMark/>
          </w:tcPr>
          <w:p w14:paraId="36826255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14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31.8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41BAC39F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6B62A0AB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 lymph nodes metastasis (LNM)</w:t>
            </w:r>
          </w:p>
        </w:tc>
      </w:tr>
      <w:tr w:rsidR="00AB5E84" w:rsidRPr="00AB5E84" w14:paraId="6CE10808" w14:textId="77777777" w:rsidTr="00ED2AA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noWrap/>
            <w:hideMark/>
          </w:tcPr>
          <w:p w14:paraId="34EF7C36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Yes</w:t>
            </w:r>
          </w:p>
        </w:tc>
        <w:tc>
          <w:tcPr>
            <w:tcW w:w="2640" w:type="dxa"/>
            <w:hideMark/>
          </w:tcPr>
          <w:p w14:paraId="627CE81A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26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59.1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52698A0E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0FFE0BE7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No</w:t>
            </w:r>
          </w:p>
        </w:tc>
        <w:tc>
          <w:tcPr>
            <w:tcW w:w="2640" w:type="dxa"/>
            <w:shd w:val="clear" w:color="auto" w:fill="FFFFFF"/>
            <w:hideMark/>
          </w:tcPr>
          <w:p w14:paraId="201B4D19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18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40.9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3BA5ECA7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/>
            <w:noWrap/>
            <w:hideMark/>
          </w:tcPr>
          <w:p w14:paraId="35E209FD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lastRenderedPageBreak/>
              <w:t>Synchronous chemotherapy</w:t>
            </w:r>
          </w:p>
        </w:tc>
      </w:tr>
      <w:tr w:rsidR="00AB5E84" w:rsidRPr="00AB5E84" w14:paraId="18B7EB51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67748FEB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Yes</w:t>
            </w:r>
          </w:p>
        </w:tc>
        <w:tc>
          <w:tcPr>
            <w:tcW w:w="2640" w:type="dxa"/>
            <w:shd w:val="clear" w:color="auto" w:fill="FFFFFF"/>
            <w:hideMark/>
          </w:tcPr>
          <w:p w14:paraId="7DC20E9F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29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65.9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14C6D2F8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62CB3826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No</w:t>
            </w:r>
          </w:p>
        </w:tc>
        <w:tc>
          <w:tcPr>
            <w:tcW w:w="2640" w:type="dxa"/>
            <w:shd w:val="clear" w:color="auto" w:fill="FFFFFF"/>
            <w:hideMark/>
          </w:tcPr>
          <w:p w14:paraId="2935ECB6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15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34.1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2A247E5C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2A982732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Curative efficacy</w:t>
            </w:r>
          </w:p>
        </w:tc>
      </w:tr>
      <w:tr w:rsidR="00AB5E84" w:rsidRPr="00AB5E84" w14:paraId="6894260C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hideMark/>
          </w:tcPr>
          <w:p w14:paraId="5510570D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effectivity</w:t>
            </w:r>
          </w:p>
        </w:tc>
        <w:tc>
          <w:tcPr>
            <w:tcW w:w="2640" w:type="dxa"/>
            <w:shd w:val="clear" w:color="auto" w:fill="FFFFFF"/>
            <w:hideMark/>
          </w:tcPr>
          <w:p w14:paraId="6EE8806F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36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81.8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5CDFED8C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hideMark/>
          </w:tcPr>
          <w:p w14:paraId="168480CA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inefficacy</w:t>
            </w:r>
          </w:p>
        </w:tc>
        <w:tc>
          <w:tcPr>
            <w:tcW w:w="2640" w:type="dxa"/>
            <w:shd w:val="clear" w:color="auto" w:fill="FFFFFF"/>
            <w:hideMark/>
          </w:tcPr>
          <w:p w14:paraId="744D8478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8</w:t>
            </w:r>
            <w:r w:rsidRPr="00AB5E84">
              <w:rPr>
                <w:rFonts w:eastAsia="SimSun" w:cs="Times New Roman"/>
                <w:szCs w:val="24"/>
              </w:rPr>
              <w:t>（</w:t>
            </w:r>
            <w:r w:rsidRPr="00AB5E84">
              <w:rPr>
                <w:rFonts w:eastAsia="DengXian" w:cs="Times New Roman"/>
                <w:szCs w:val="24"/>
              </w:rPr>
              <w:t>18.2</w:t>
            </w:r>
            <w:r w:rsidRPr="00AB5E84">
              <w:rPr>
                <w:rFonts w:eastAsia="SimSun" w:cs="Times New Roman"/>
                <w:szCs w:val="24"/>
              </w:rPr>
              <w:t>）</w:t>
            </w:r>
          </w:p>
        </w:tc>
      </w:tr>
      <w:tr w:rsidR="00AB5E84" w:rsidRPr="00AB5E84" w14:paraId="0EA7E733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/>
            <w:noWrap/>
            <w:hideMark/>
          </w:tcPr>
          <w:p w14:paraId="15A8FABD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Events</w:t>
            </w:r>
          </w:p>
        </w:tc>
      </w:tr>
      <w:tr w:rsidR="00AB5E84" w:rsidRPr="00AB5E84" w14:paraId="2013C50B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hideMark/>
          </w:tcPr>
          <w:p w14:paraId="5A5D4E64" w14:textId="77777777" w:rsidR="000230C0" w:rsidRPr="00AB5E84" w:rsidRDefault="00B96B51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hyperlink r:id="rId10" w:history="1">
              <w:r w:rsidR="000230C0" w:rsidRPr="00AB5E84">
                <w:rPr>
                  <w:rFonts w:eastAsia="DengXian" w:cs="Times New Roman"/>
                  <w:szCs w:val="24"/>
                </w:rPr>
                <w:t>Censored</w:t>
              </w:r>
            </w:hyperlink>
          </w:p>
        </w:tc>
        <w:tc>
          <w:tcPr>
            <w:tcW w:w="2640" w:type="dxa"/>
            <w:shd w:val="clear" w:color="auto" w:fill="FFFFFF"/>
            <w:hideMark/>
          </w:tcPr>
          <w:p w14:paraId="48953B61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18(40.9)</w:t>
            </w:r>
          </w:p>
        </w:tc>
      </w:tr>
      <w:tr w:rsidR="00AB5E84" w:rsidRPr="00AB5E84" w14:paraId="4B4D72B6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317AF171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 xml:space="preserve">Dead </w:t>
            </w:r>
          </w:p>
        </w:tc>
        <w:tc>
          <w:tcPr>
            <w:tcW w:w="2640" w:type="dxa"/>
            <w:shd w:val="clear" w:color="auto" w:fill="FFFFFF"/>
            <w:hideMark/>
          </w:tcPr>
          <w:p w14:paraId="548D499A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26(59.1)</w:t>
            </w:r>
          </w:p>
        </w:tc>
      </w:tr>
      <w:tr w:rsidR="00AB5E84" w:rsidRPr="00AB5E84" w14:paraId="4612A7CD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75367AD1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Expression of NRAGE</w:t>
            </w:r>
          </w:p>
        </w:tc>
      </w:tr>
      <w:tr w:rsidR="00AB5E84" w:rsidRPr="00AB5E84" w14:paraId="3992922E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54BC3152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Weak 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52BD0C6D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17(38.64)</w:t>
            </w:r>
          </w:p>
        </w:tc>
      </w:tr>
      <w:tr w:rsidR="00AB5E84" w:rsidRPr="00AB5E84" w14:paraId="491DA709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46FECDB8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3826F1F9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18(40.91)</w:t>
            </w:r>
          </w:p>
        </w:tc>
      </w:tr>
      <w:tr w:rsidR="00AB5E84" w:rsidRPr="00AB5E84" w14:paraId="52E93415" w14:textId="77777777" w:rsidTr="00ED2AA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noWrap/>
            <w:hideMark/>
          </w:tcPr>
          <w:p w14:paraId="119DEC59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Strongly positive</w:t>
            </w:r>
          </w:p>
        </w:tc>
        <w:tc>
          <w:tcPr>
            <w:tcW w:w="2640" w:type="dxa"/>
            <w:hideMark/>
          </w:tcPr>
          <w:p w14:paraId="7280D145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9(20.45)</w:t>
            </w:r>
          </w:p>
        </w:tc>
      </w:tr>
      <w:tr w:rsidR="00AB5E84" w:rsidRPr="00AB5E84" w14:paraId="63769F89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577FF8BF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Expression of NRAGE nuclear</w:t>
            </w:r>
          </w:p>
        </w:tc>
      </w:tr>
      <w:tr w:rsidR="00AB5E84" w:rsidRPr="00AB5E84" w14:paraId="49B13876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58D3370A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Weak 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39F36688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21(47.73)</w:t>
            </w:r>
          </w:p>
        </w:tc>
      </w:tr>
      <w:tr w:rsidR="00AB5E84" w:rsidRPr="00AB5E84" w14:paraId="3803B469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2ECFE487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787EEAD4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17(38.64)</w:t>
            </w:r>
          </w:p>
        </w:tc>
      </w:tr>
      <w:tr w:rsidR="00AB5E84" w:rsidRPr="00AB5E84" w14:paraId="79393CCC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012D017B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Strongly 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369E7D49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6(13.64)</w:t>
            </w:r>
          </w:p>
        </w:tc>
      </w:tr>
      <w:tr w:rsidR="00AB5E84" w:rsidRPr="00AB5E84" w14:paraId="24ACB69F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23DE5D44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Expression of β-catenin</w:t>
            </w:r>
          </w:p>
        </w:tc>
      </w:tr>
      <w:tr w:rsidR="00AB5E84" w:rsidRPr="00AB5E84" w14:paraId="7952070B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10E6BF17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Weak positive</w:t>
            </w:r>
          </w:p>
        </w:tc>
        <w:tc>
          <w:tcPr>
            <w:tcW w:w="2640" w:type="dxa"/>
            <w:hideMark/>
          </w:tcPr>
          <w:p w14:paraId="7F3D9A36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23(52.27)</w:t>
            </w:r>
          </w:p>
        </w:tc>
      </w:tr>
      <w:tr w:rsidR="00AB5E84" w:rsidRPr="00AB5E84" w14:paraId="1F1198DB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5AE533E5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2604BE9F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16(36.36)</w:t>
            </w:r>
          </w:p>
        </w:tc>
      </w:tr>
      <w:tr w:rsidR="00AB5E84" w:rsidRPr="00AB5E84" w14:paraId="6C583538" w14:textId="77777777" w:rsidTr="000230C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0121BACA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Strongly positive</w:t>
            </w:r>
          </w:p>
        </w:tc>
        <w:tc>
          <w:tcPr>
            <w:tcW w:w="2640" w:type="dxa"/>
            <w:hideMark/>
          </w:tcPr>
          <w:p w14:paraId="060797D3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5(11.36)</w:t>
            </w:r>
          </w:p>
        </w:tc>
      </w:tr>
      <w:tr w:rsidR="00AB5E84" w:rsidRPr="00AB5E84" w14:paraId="586E1328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gridSpan w:val="2"/>
            <w:shd w:val="clear" w:color="auto" w:fill="F2F2F2" w:themeFill="background1" w:themeFillShade="F2"/>
            <w:noWrap/>
            <w:hideMark/>
          </w:tcPr>
          <w:p w14:paraId="0EFE9A31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</w:rPr>
            </w:pPr>
            <w:r w:rsidRPr="00AB5E84">
              <w:rPr>
                <w:rFonts w:eastAsia="DengXian" w:cs="Times New Roman"/>
                <w:szCs w:val="24"/>
              </w:rPr>
              <w:t>Expression of β-catenin nuclear</w:t>
            </w:r>
          </w:p>
        </w:tc>
      </w:tr>
      <w:tr w:rsidR="00AB5E84" w:rsidRPr="00AB5E84" w14:paraId="56C32132" w14:textId="77777777" w:rsidTr="00ED2AA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noWrap/>
            <w:hideMark/>
          </w:tcPr>
          <w:p w14:paraId="11E1B8B4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  <w:shd w:val="clear" w:color="auto" w:fill="FFFFFF"/>
              </w:rPr>
            </w:pPr>
            <w:r w:rsidRPr="00AB5E84">
              <w:rPr>
                <w:rFonts w:eastAsia="DengXian" w:cs="Times New Roman"/>
                <w:szCs w:val="24"/>
                <w:shd w:val="clear" w:color="auto" w:fill="FFFFFF"/>
              </w:rPr>
              <w:t>Weak positive</w:t>
            </w:r>
          </w:p>
        </w:tc>
        <w:tc>
          <w:tcPr>
            <w:tcW w:w="2640" w:type="dxa"/>
            <w:hideMark/>
          </w:tcPr>
          <w:p w14:paraId="1B779CB2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  <w:shd w:val="clear" w:color="auto" w:fill="FFFFFF"/>
              </w:rPr>
            </w:pPr>
            <w:r w:rsidRPr="00AB5E84">
              <w:rPr>
                <w:rFonts w:eastAsia="DengXian" w:cs="Times New Roman"/>
                <w:szCs w:val="24"/>
                <w:shd w:val="clear" w:color="auto" w:fill="FFFFFF"/>
              </w:rPr>
              <w:t>33(75)</w:t>
            </w:r>
          </w:p>
        </w:tc>
      </w:tr>
      <w:tr w:rsidR="00AB5E84" w:rsidRPr="00AB5E84" w14:paraId="39E8A148" w14:textId="77777777" w:rsidTr="0002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FFFFFF"/>
            <w:noWrap/>
            <w:hideMark/>
          </w:tcPr>
          <w:p w14:paraId="16DD4E6A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  <w:shd w:val="clear" w:color="auto" w:fill="FFFFFF"/>
              </w:rPr>
            </w:pPr>
            <w:r w:rsidRPr="00AB5E84">
              <w:rPr>
                <w:rFonts w:eastAsia="DengXian" w:cs="Times New Roman"/>
                <w:szCs w:val="24"/>
                <w:shd w:val="clear" w:color="auto" w:fill="FFFFFF"/>
              </w:rPr>
              <w:t>Positive</w:t>
            </w:r>
          </w:p>
        </w:tc>
        <w:tc>
          <w:tcPr>
            <w:tcW w:w="2640" w:type="dxa"/>
            <w:shd w:val="clear" w:color="auto" w:fill="FFFFFF"/>
            <w:hideMark/>
          </w:tcPr>
          <w:p w14:paraId="4315E46A" w14:textId="77777777" w:rsidR="000230C0" w:rsidRPr="00AB5E84" w:rsidRDefault="000230C0" w:rsidP="000230C0">
            <w:pPr>
              <w:spacing w:before="0"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ngXian" w:cs="Times New Roman"/>
                <w:szCs w:val="24"/>
                <w:shd w:val="clear" w:color="auto" w:fill="FFFFFF"/>
              </w:rPr>
            </w:pPr>
            <w:r w:rsidRPr="00AB5E84">
              <w:rPr>
                <w:rFonts w:eastAsia="DengXian" w:cs="Times New Roman"/>
                <w:szCs w:val="24"/>
                <w:shd w:val="clear" w:color="auto" w:fill="FFFFFF"/>
              </w:rPr>
              <w:t>7(15.91)</w:t>
            </w:r>
          </w:p>
        </w:tc>
      </w:tr>
      <w:tr w:rsidR="00AB5E84" w:rsidRPr="00AB5E84" w14:paraId="3737632A" w14:textId="77777777" w:rsidTr="00ED2AA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sz="4" w:space="0" w:color="auto"/>
            </w:tcBorders>
            <w:noWrap/>
            <w:hideMark/>
          </w:tcPr>
          <w:p w14:paraId="2C801AC7" w14:textId="77777777" w:rsidR="000230C0" w:rsidRPr="00AB5E84" w:rsidRDefault="000230C0" w:rsidP="000230C0">
            <w:pPr>
              <w:spacing w:before="0" w:after="0" w:line="400" w:lineRule="exact"/>
              <w:rPr>
                <w:rFonts w:eastAsia="DengXian" w:cs="Times New Roman"/>
                <w:szCs w:val="24"/>
                <w:shd w:val="clear" w:color="auto" w:fill="FFFFFF"/>
              </w:rPr>
            </w:pPr>
            <w:r w:rsidRPr="00AB5E84">
              <w:rPr>
                <w:rFonts w:eastAsia="DengXian" w:cs="Times New Roman"/>
                <w:szCs w:val="24"/>
                <w:shd w:val="clear" w:color="auto" w:fill="FFFFFF"/>
              </w:rPr>
              <w:t>Strongly positive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hideMark/>
          </w:tcPr>
          <w:p w14:paraId="4990130B" w14:textId="77777777" w:rsidR="000230C0" w:rsidRPr="00AB5E84" w:rsidRDefault="000230C0" w:rsidP="000230C0">
            <w:pPr>
              <w:spacing w:before="0"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 w:cs="Times New Roman"/>
                <w:szCs w:val="24"/>
                <w:shd w:val="clear" w:color="auto" w:fill="FFFFFF"/>
              </w:rPr>
            </w:pPr>
            <w:r w:rsidRPr="00AB5E84">
              <w:rPr>
                <w:rFonts w:eastAsia="DengXian" w:cs="Times New Roman"/>
                <w:szCs w:val="24"/>
                <w:shd w:val="clear" w:color="auto" w:fill="FFFFFF"/>
              </w:rPr>
              <w:t>4(9.09)</w:t>
            </w:r>
          </w:p>
        </w:tc>
      </w:tr>
    </w:tbl>
    <w:p w14:paraId="704B6CC6" w14:textId="77777777" w:rsidR="001D1E07" w:rsidRPr="00AB5E84" w:rsidRDefault="001D1E07" w:rsidP="000230C0"/>
    <w:p w14:paraId="60767BCE" w14:textId="761C3C41" w:rsidR="00242832" w:rsidRPr="00AB5E84" w:rsidRDefault="00242832" w:rsidP="00242832">
      <w:pPr>
        <w:pStyle w:val="Heading2"/>
      </w:pPr>
      <w:r w:rsidRPr="00AB5E84">
        <w:t>Supplementary Tables3</w:t>
      </w:r>
    </w:p>
    <w:p w14:paraId="6B130F81" w14:textId="5BB5C54C" w:rsidR="00242832" w:rsidRPr="00AB5E84" w:rsidRDefault="00242832" w:rsidP="00242832">
      <w:pPr>
        <w:rPr>
          <w:rFonts w:cs="Times New Roman"/>
          <w:szCs w:val="24"/>
          <w:shd w:val="clear" w:color="auto" w:fill="FFFFFF" w:themeFill="background1"/>
        </w:rPr>
      </w:pPr>
      <w:r w:rsidRPr="00AB5E84">
        <w:rPr>
          <w:rFonts w:cs="Times New Roman" w:hint="eastAsia"/>
          <w:szCs w:val="24"/>
          <w:shd w:val="clear" w:color="auto" w:fill="FFFFFF" w:themeFill="background1"/>
        </w:rPr>
        <w:t>Table</w:t>
      </w:r>
      <w:r w:rsidRPr="00AB5E84">
        <w:rPr>
          <w:rFonts w:cs="Times New Roman"/>
          <w:szCs w:val="24"/>
          <w:shd w:val="clear" w:color="auto" w:fill="FFFFFF" w:themeFill="background1"/>
        </w:rPr>
        <w:t xml:space="preserve"> </w:t>
      </w:r>
      <w:r w:rsidRPr="00AB5E84">
        <w:rPr>
          <w:rFonts w:cs="Times New Roman" w:hint="eastAsia"/>
          <w:szCs w:val="24"/>
          <w:shd w:val="clear" w:color="auto" w:fill="FFFFFF" w:themeFill="background1"/>
        </w:rPr>
        <w:t>S</w:t>
      </w:r>
      <w:r w:rsidRPr="00AB5E84">
        <w:rPr>
          <w:rFonts w:cs="Times New Roman"/>
          <w:szCs w:val="24"/>
          <w:shd w:val="clear" w:color="auto" w:fill="FFFFFF" w:themeFill="background1"/>
        </w:rPr>
        <w:t>3 The linear correlation between NRAGE nuclear protein and β</w:t>
      </w:r>
      <w:r w:rsidRPr="00AB5E84">
        <w:rPr>
          <w:rFonts w:cs="Times New Roman" w:hint="eastAsia"/>
          <w:szCs w:val="24"/>
          <w:shd w:val="clear" w:color="auto" w:fill="FFFFFF" w:themeFill="background1"/>
        </w:rPr>
        <w:t>-cat</w:t>
      </w:r>
      <w:r w:rsidRPr="00AB5E84">
        <w:rPr>
          <w:rFonts w:cs="Times New Roman"/>
          <w:szCs w:val="24"/>
          <w:shd w:val="clear" w:color="auto" w:fill="FFFFFF" w:themeFill="background1"/>
        </w:rPr>
        <w:t>e</w:t>
      </w:r>
      <w:r w:rsidRPr="00AB5E84">
        <w:rPr>
          <w:rFonts w:cs="Times New Roman" w:hint="eastAsia"/>
          <w:szCs w:val="24"/>
          <w:shd w:val="clear" w:color="auto" w:fill="FFFFFF" w:themeFill="background1"/>
        </w:rPr>
        <w:t>nin</w:t>
      </w:r>
      <w:r w:rsidRPr="00AB5E84">
        <w:rPr>
          <w:rFonts w:cs="Times New Roman"/>
          <w:szCs w:val="24"/>
          <w:shd w:val="clear" w:color="auto" w:fill="FFFFFF" w:themeFill="background1"/>
        </w:rPr>
        <w:t xml:space="preserve"> nuclear protein</w:t>
      </w:r>
    </w:p>
    <w:tbl>
      <w:tblPr>
        <w:tblpPr w:leftFromText="180" w:rightFromText="180" w:vertAnchor="page" w:horzAnchor="margin" w:tblpY="2081"/>
        <w:tblOverlap w:val="never"/>
        <w:tblW w:w="8740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746"/>
        <w:gridCol w:w="1072"/>
        <w:gridCol w:w="1025"/>
        <w:gridCol w:w="1141"/>
        <w:gridCol w:w="1204"/>
        <w:gridCol w:w="1154"/>
      </w:tblGrid>
      <w:tr w:rsidR="00AB5E84" w:rsidRPr="00AB5E84" w14:paraId="28C06260" w14:textId="77777777" w:rsidTr="006309F9">
        <w:trPr>
          <w:trHeight w:val="290"/>
        </w:trPr>
        <w:tc>
          <w:tcPr>
            <w:tcW w:w="1415" w:type="dxa"/>
            <w:vMerge w:val="restart"/>
            <w:tcBorders>
              <w:bottom w:val="single" w:sz="4" w:space="0" w:color="auto"/>
            </w:tcBorders>
          </w:tcPr>
          <w:p w14:paraId="410DAB87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447A20A0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</w:tcPr>
          <w:p w14:paraId="1C427803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 xml:space="preserve">Expression of </w:t>
            </w:r>
            <w:r w:rsidRPr="00AB5E84">
              <w:rPr>
                <w:rFonts w:eastAsia="DengXian" w:cs="Times New Roman"/>
                <w:b/>
                <w:bCs/>
                <w:sz w:val="21"/>
                <w:szCs w:val="21"/>
                <w:lang w:eastAsia="zh-CN"/>
              </w:rPr>
              <w:t>β-catenin</w:t>
            </w: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 xml:space="preserve"> nuclear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14:paraId="5BFD62E4" w14:textId="77777777" w:rsidR="00A76B2D" w:rsidRPr="00AB5E84" w:rsidRDefault="00A76B2D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b/>
                <w:bCs/>
                <w:iCs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iCs/>
                <w:kern w:val="2"/>
                <w:sz w:val="21"/>
                <w:szCs w:val="21"/>
                <w:lang w:eastAsia="zh-CN"/>
              </w:rPr>
              <w:t>Spearman</w:t>
            </w:r>
          </w:p>
          <w:p w14:paraId="3D02D56B" w14:textId="5176EDF6" w:rsidR="006309F9" w:rsidRPr="00AB5E84" w:rsidRDefault="00495F01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b/>
                <w:bCs/>
                <w:iCs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iCs/>
                <w:kern w:val="2"/>
                <w:sz w:val="21"/>
                <w:szCs w:val="21"/>
                <w:lang w:eastAsia="zh-CN"/>
              </w:rPr>
              <w:t xml:space="preserve">correlation 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  <w:vAlign w:val="center"/>
          </w:tcPr>
          <w:p w14:paraId="30C24AE8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b/>
                <w:bCs/>
                <w:i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i/>
                <w:kern w:val="2"/>
                <w:sz w:val="21"/>
                <w:szCs w:val="21"/>
                <w:lang w:eastAsia="zh-CN"/>
              </w:rPr>
              <w:t>P</w:t>
            </w:r>
          </w:p>
        </w:tc>
      </w:tr>
      <w:tr w:rsidR="00AB5E84" w:rsidRPr="00AB5E84" w14:paraId="0584C2AB" w14:textId="77777777" w:rsidTr="006309F9">
        <w:trPr>
          <w:trHeight w:val="290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8ACA46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7ED19F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63C93B4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Weak</w:t>
            </w: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 xml:space="preserve"> </w:t>
            </w:r>
            <w:r w:rsidRPr="00AB5E84"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po</w:t>
            </w: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>s</w:t>
            </w:r>
            <w:r w:rsidRPr="00AB5E84"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itive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B6385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>Positive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23259400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>Strongly positive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73AB7DB1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14:paraId="1501EA43" w14:textId="77777777" w:rsidR="006309F9" w:rsidRPr="00AB5E84" w:rsidRDefault="006309F9" w:rsidP="006309F9">
            <w:pPr>
              <w:widowControl w:val="0"/>
              <w:spacing w:before="0" w:after="0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AB5E84" w:rsidRPr="00AB5E84" w14:paraId="068C1756" w14:textId="77777777" w:rsidTr="006309F9">
        <w:trPr>
          <w:trHeight w:val="570"/>
        </w:trPr>
        <w:tc>
          <w:tcPr>
            <w:tcW w:w="1415" w:type="dxa"/>
            <w:vMerge w:val="restart"/>
            <w:tcBorders>
              <w:top w:val="single" w:sz="4" w:space="0" w:color="auto"/>
            </w:tcBorders>
            <w:vAlign w:val="center"/>
          </w:tcPr>
          <w:p w14:paraId="512CC1AF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>Expression of NRAGE nuclear</w:t>
            </w: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14:paraId="3D0F2CD1" w14:textId="77777777" w:rsidR="006309F9" w:rsidRPr="00AB5E84" w:rsidRDefault="006309F9" w:rsidP="006309F9">
            <w:pPr>
              <w:widowControl w:val="0"/>
              <w:spacing w:before="0" w:after="0" w:line="440" w:lineRule="exact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B5E84"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Weak</w:t>
            </w: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 xml:space="preserve"> </w:t>
            </w:r>
            <w:r w:rsidRPr="00AB5E84"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po</w:t>
            </w: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>s</w:t>
            </w:r>
            <w:r w:rsidRPr="00AB5E84">
              <w:rPr>
                <w:rFonts w:eastAsia="DengXian" w:cs="Times New Roman" w:hint="eastAsia"/>
                <w:b/>
                <w:bCs/>
                <w:szCs w:val="24"/>
                <w:lang w:eastAsia="zh-CN"/>
              </w:rPr>
              <w:t>itive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</w:tcPr>
          <w:p w14:paraId="0A372A64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</w:tcPr>
          <w:p w14:paraId="0161F75A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265AF3F1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14:paraId="0A4D1988" w14:textId="6D57BD8C" w:rsidR="006309F9" w:rsidRPr="00AB5E84" w:rsidRDefault="00495F01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0.2</w:t>
            </w:r>
            <w:r w:rsidR="00A76B2D"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  <w:vAlign w:val="center"/>
          </w:tcPr>
          <w:p w14:paraId="4AD91F21" w14:textId="2B7A8D6E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0.0</w:t>
            </w:r>
            <w:r w:rsidR="00A76B2D"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55</w:t>
            </w:r>
          </w:p>
        </w:tc>
      </w:tr>
      <w:tr w:rsidR="00AB5E84" w:rsidRPr="00AB5E84" w14:paraId="425B008C" w14:textId="77777777" w:rsidTr="006309F9">
        <w:trPr>
          <w:trHeight w:val="280"/>
        </w:trPr>
        <w:tc>
          <w:tcPr>
            <w:tcW w:w="1415" w:type="dxa"/>
            <w:vMerge/>
          </w:tcPr>
          <w:p w14:paraId="4767EE0C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92417D9" w14:textId="77777777" w:rsidR="006309F9" w:rsidRPr="00AB5E84" w:rsidRDefault="006309F9" w:rsidP="006309F9">
            <w:pPr>
              <w:widowControl w:val="0"/>
              <w:spacing w:before="0" w:after="0" w:line="440" w:lineRule="exact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 xml:space="preserve">Positive 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78B3E9B2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29195A43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14:paraId="4CA874E9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7" w:type="dxa"/>
            <w:vMerge/>
          </w:tcPr>
          <w:p w14:paraId="7599EDCD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vMerge/>
          </w:tcPr>
          <w:p w14:paraId="2D44C58A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AB5E84" w:rsidRPr="00AB5E84" w14:paraId="55ABEEEE" w14:textId="77777777" w:rsidTr="006309F9">
        <w:trPr>
          <w:trHeight w:val="290"/>
        </w:trPr>
        <w:tc>
          <w:tcPr>
            <w:tcW w:w="1415" w:type="dxa"/>
            <w:vMerge/>
          </w:tcPr>
          <w:p w14:paraId="3830C44A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1E72506" w14:textId="77777777" w:rsidR="006309F9" w:rsidRPr="00AB5E84" w:rsidRDefault="006309F9" w:rsidP="006309F9">
            <w:pPr>
              <w:widowControl w:val="0"/>
              <w:spacing w:before="0" w:after="0" w:line="440" w:lineRule="exact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B5E84">
              <w:rPr>
                <w:rFonts w:eastAsia="DengXian" w:cs="Times New Roman"/>
                <w:b/>
                <w:bCs/>
                <w:szCs w:val="24"/>
                <w:lang w:eastAsia="zh-CN"/>
              </w:rPr>
              <w:t>Strongly positive</w:t>
            </w:r>
          </w:p>
        </w:tc>
        <w:tc>
          <w:tcPr>
            <w:tcW w:w="1098" w:type="dxa"/>
            <w:tcBorders>
              <w:top w:val="nil"/>
            </w:tcBorders>
          </w:tcPr>
          <w:p w14:paraId="5B841E5C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28" w:type="dxa"/>
            <w:tcBorders>
              <w:top w:val="nil"/>
            </w:tcBorders>
          </w:tcPr>
          <w:p w14:paraId="768D9EB0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58" w:type="dxa"/>
            <w:tcBorders>
              <w:top w:val="nil"/>
            </w:tcBorders>
          </w:tcPr>
          <w:p w14:paraId="320DBC07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  <w:r w:rsidRPr="00AB5E84"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7" w:type="dxa"/>
            <w:vMerge/>
          </w:tcPr>
          <w:p w14:paraId="53F31635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vMerge/>
          </w:tcPr>
          <w:p w14:paraId="2FA7DBE7" w14:textId="77777777" w:rsidR="006309F9" w:rsidRPr="00AB5E84" w:rsidRDefault="006309F9" w:rsidP="006309F9">
            <w:pPr>
              <w:widowControl w:val="0"/>
              <w:spacing w:before="0" w:after="0" w:line="440" w:lineRule="exact"/>
              <w:jc w:val="center"/>
              <w:rPr>
                <w:rFonts w:eastAsia="DengXian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1185E7E" w14:textId="77777777" w:rsidR="00242832" w:rsidRDefault="00242832" w:rsidP="00242832"/>
    <w:p w14:paraId="09385410" w14:textId="77777777" w:rsidR="00242832" w:rsidRPr="00587450" w:rsidRDefault="00242832" w:rsidP="00242832">
      <w:pPr>
        <w:rPr>
          <w:rFonts w:cs="Times New Roman"/>
          <w:szCs w:val="24"/>
          <w:shd w:val="clear" w:color="auto" w:fill="FFFFFF" w:themeFill="background1"/>
        </w:rPr>
      </w:pPr>
    </w:p>
    <w:sectPr w:rsidR="00242832" w:rsidRPr="00587450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ED8A" w14:textId="77777777" w:rsidR="00B96B51" w:rsidRDefault="00B96B51" w:rsidP="00117666">
      <w:pPr>
        <w:spacing w:after="0"/>
      </w:pPr>
      <w:r>
        <w:separator/>
      </w:r>
    </w:p>
  </w:endnote>
  <w:endnote w:type="continuationSeparator" w:id="0">
    <w:p w14:paraId="6D9E4346" w14:textId="77777777" w:rsidR="00B96B51" w:rsidRDefault="00B96B5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470E" w14:textId="77777777" w:rsidR="00B96B51" w:rsidRDefault="00B96B51" w:rsidP="00117666">
      <w:pPr>
        <w:spacing w:after="0"/>
      </w:pPr>
      <w:r>
        <w:separator/>
      </w:r>
    </w:p>
  </w:footnote>
  <w:footnote w:type="continuationSeparator" w:id="0">
    <w:p w14:paraId="13EB9D68" w14:textId="77777777" w:rsidR="00B96B51" w:rsidRDefault="00B96B5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D1180"/>
    <w:multiLevelType w:val="hybridMultilevel"/>
    <w:tmpl w:val="14487D32"/>
    <w:lvl w:ilvl="0" w:tplc="7B889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AA7C0F49-FD4C-4E4E-A8F9-13DB18D50F15}"/>
    <w:docVar w:name="KY_MEDREF_VERSION" w:val="3"/>
  </w:docVars>
  <w:rsids>
    <w:rsidRoot w:val="00ED20B5"/>
    <w:rsid w:val="0001436A"/>
    <w:rsid w:val="000230C0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1E07"/>
    <w:rsid w:val="00242832"/>
    <w:rsid w:val="00267D18"/>
    <w:rsid w:val="00274347"/>
    <w:rsid w:val="002868E2"/>
    <w:rsid w:val="002869C3"/>
    <w:rsid w:val="002936E4"/>
    <w:rsid w:val="002B4A57"/>
    <w:rsid w:val="002C74CA"/>
    <w:rsid w:val="003037BB"/>
    <w:rsid w:val="003123F4"/>
    <w:rsid w:val="003544FB"/>
    <w:rsid w:val="003D2F2D"/>
    <w:rsid w:val="00401590"/>
    <w:rsid w:val="00430DC9"/>
    <w:rsid w:val="00447801"/>
    <w:rsid w:val="00452E9C"/>
    <w:rsid w:val="004735C8"/>
    <w:rsid w:val="004947A6"/>
    <w:rsid w:val="00495F01"/>
    <w:rsid w:val="004961FF"/>
    <w:rsid w:val="00517A89"/>
    <w:rsid w:val="005250F2"/>
    <w:rsid w:val="00593EEA"/>
    <w:rsid w:val="005A5EEE"/>
    <w:rsid w:val="006309F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25F3"/>
    <w:rsid w:val="00817DD6"/>
    <w:rsid w:val="0083759F"/>
    <w:rsid w:val="00885156"/>
    <w:rsid w:val="009151AA"/>
    <w:rsid w:val="0093429D"/>
    <w:rsid w:val="00943573"/>
    <w:rsid w:val="00964134"/>
    <w:rsid w:val="00970F7D"/>
    <w:rsid w:val="00985C90"/>
    <w:rsid w:val="00994A3D"/>
    <w:rsid w:val="009C2B12"/>
    <w:rsid w:val="00A174D9"/>
    <w:rsid w:val="00A76B2D"/>
    <w:rsid w:val="00AA4D24"/>
    <w:rsid w:val="00AB5E84"/>
    <w:rsid w:val="00AB6715"/>
    <w:rsid w:val="00B1671E"/>
    <w:rsid w:val="00B25EB8"/>
    <w:rsid w:val="00B37F4D"/>
    <w:rsid w:val="00B96B51"/>
    <w:rsid w:val="00BC4B7B"/>
    <w:rsid w:val="00BE573F"/>
    <w:rsid w:val="00C05208"/>
    <w:rsid w:val="00C52A7B"/>
    <w:rsid w:val="00C56BAF"/>
    <w:rsid w:val="00C679AA"/>
    <w:rsid w:val="00C75972"/>
    <w:rsid w:val="00C9396C"/>
    <w:rsid w:val="00CD066B"/>
    <w:rsid w:val="00CE4FEE"/>
    <w:rsid w:val="00D060CF"/>
    <w:rsid w:val="00DB59C3"/>
    <w:rsid w:val="00DC259A"/>
    <w:rsid w:val="00DE23E8"/>
    <w:rsid w:val="00DF7483"/>
    <w:rsid w:val="00E52377"/>
    <w:rsid w:val="00E537AD"/>
    <w:rsid w:val="00E64E17"/>
    <w:rsid w:val="00E71271"/>
    <w:rsid w:val="00E866C9"/>
    <w:rsid w:val="00EA3D3C"/>
    <w:rsid w:val="00EC090A"/>
    <w:rsid w:val="00ED20B5"/>
    <w:rsid w:val="00F46900"/>
    <w:rsid w:val="00F61D89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tgt">
    <w:name w:val="tgt"/>
    <w:basedOn w:val="DefaultParagraphFont"/>
    <w:rsid w:val="000230C0"/>
  </w:style>
  <w:style w:type="table" w:styleId="ListTable2-Accent3">
    <w:name w:val="List Table 2 Accent 3"/>
    <w:basedOn w:val="TableNormal"/>
    <w:uiPriority w:val="47"/>
    <w:rsid w:val="000230C0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Bond</cp:lastModifiedBy>
  <cp:revision>2</cp:revision>
  <cp:lastPrinted>2013-10-03T12:51:00Z</cp:lastPrinted>
  <dcterms:created xsi:type="dcterms:W3CDTF">2022-02-28T15:58:00Z</dcterms:created>
  <dcterms:modified xsi:type="dcterms:W3CDTF">2022-02-28T15:58:00Z</dcterms:modified>
</cp:coreProperties>
</file>