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1F3A" w14:textId="77777777" w:rsidR="00A31EA3" w:rsidRDefault="00A31EA3" w:rsidP="00A31EA3">
      <w:pPr>
        <w:rPr>
          <w:rFonts w:ascii="Times New Roman" w:hAnsi="Times New Roman" w:cs="Times New Roman"/>
        </w:rPr>
      </w:pPr>
      <w:r w:rsidRPr="0033152A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</w:t>
      </w:r>
      <w:r w:rsidRPr="0033152A">
        <w:rPr>
          <w:rFonts w:ascii="Times New Roman" w:hAnsi="Times New Roman" w:cs="Times New Roman"/>
          <w:b/>
          <w:bCs/>
        </w:rPr>
        <w:t>1.</w:t>
      </w:r>
      <w:r w:rsidRPr="003315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Injection schemes for the treatment of lower limb spasticity with incobotulinumtoxinA 400 U in the MP and OLEX with and without the need to treat toe muscles</w:t>
      </w:r>
    </w:p>
    <w:p w14:paraId="02F89B7D" w14:textId="77777777" w:rsidR="00A31EA3" w:rsidRDefault="00A31EA3" w:rsidP="00A31EA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2"/>
        <w:gridCol w:w="2404"/>
        <w:gridCol w:w="2190"/>
        <w:gridCol w:w="2194"/>
      </w:tblGrid>
      <w:tr w:rsidR="00A31EA3" w14:paraId="159C3B5A" w14:textId="77777777" w:rsidTr="003218F4">
        <w:tc>
          <w:tcPr>
            <w:tcW w:w="2222" w:type="dxa"/>
          </w:tcPr>
          <w:p w14:paraId="1671AC5B" w14:textId="77777777" w:rsidR="00A31EA3" w:rsidRPr="0033152A" w:rsidRDefault="00A31EA3" w:rsidP="003218F4">
            <w:pPr>
              <w:rPr>
                <w:rFonts w:ascii="Times New Roman" w:hAnsi="Times New Roman" w:cs="Times New Roman"/>
                <w:b/>
                <w:bCs/>
              </w:rPr>
            </w:pPr>
            <w:r w:rsidRPr="0033152A">
              <w:rPr>
                <w:rFonts w:ascii="Times New Roman" w:hAnsi="Times New Roman" w:cs="Times New Roman"/>
                <w:b/>
                <w:bCs/>
              </w:rPr>
              <w:t>Target muscle</w:t>
            </w:r>
          </w:p>
        </w:tc>
        <w:tc>
          <w:tcPr>
            <w:tcW w:w="2404" w:type="dxa"/>
          </w:tcPr>
          <w:p w14:paraId="21EDEBC7" w14:textId="77777777" w:rsidR="00A31EA3" w:rsidRPr="0033152A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52A">
              <w:rPr>
                <w:rFonts w:ascii="Times New Roman" w:hAnsi="Times New Roman" w:cs="Times New Roman"/>
                <w:b/>
                <w:bCs/>
              </w:rPr>
              <w:t>Units of incobotulinumtoxinA</w:t>
            </w:r>
          </w:p>
        </w:tc>
        <w:tc>
          <w:tcPr>
            <w:tcW w:w="2190" w:type="dxa"/>
          </w:tcPr>
          <w:p w14:paraId="3F7AE4E2" w14:textId="77777777" w:rsidR="00A31EA3" w:rsidRPr="0033152A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52A">
              <w:rPr>
                <w:rFonts w:ascii="Times New Roman" w:hAnsi="Times New Roman" w:cs="Times New Roman"/>
                <w:b/>
                <w:bCs/>
              </w:rPr>
              <w:t>Volume injected (mL)</w:t>
            </w:r>
            <w:r w:rsidRPr="00235146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194" w:type="dxa"/>
          </w:tcPr>
          <w:p w14:paraId="68AB7B0B" w14:textId="77777777" w:rsidR="00A31EA3" w:rsidRPr="0033152A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52A">
              <w:rPr>
                <w:rFonts w:ascii="Times New Roman" w:hAnsi="Times New Roman" w:cs="Times New Roman"/>
                <w:b/>
                <w:bCs/>
              </w:rPr>
              <w:t>Number of injection sites</w:t>
            </w:r>
            <w:r w:rsidRPr="00235146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A31EA3" w14:paraId="2BA264A4" w14:textId="77777777" w:rsidTr="003218F4">
        <w:tc>
          <w:tcPr>
            <w:tcW w:w="9010" w:type="dxa"/>
            <w:gridSpan w:val="4"/>
          </w:tcPr>
          <w:p w14:paraId="259DA3D2" w14:textId="77777777" w:rsidR="00A31EA3" w:rsidRPr="00555CC3" w:rsidRDefault="00A31EA3" w:rsidP="003218F4">
            <w:pPr>
              <w:rPr>
                <w:rFonts w:ascii="Times New Roman" w:hAnsi="Times New Roman" w:cs="Times New Roman"/>
                <w:b/>
                <w:bCs/>
              </w:rPr>
            </w:pPr>
            <w:r w:rsidRPr="00555CC3">
              <w:rPr>
                <w:rFonts w:ascii="Times New Roman" w:hAnsi="Times New Roman" w:cs="Times New Roman"/>
                <w:b/>
                <w:bCs/>
              </w:rPr>
              <w:t>MP with need to treat toe muscles</w:t>
            </w:r>
          </w:p>
        </w:tc>
      </w:tr>
      <w:tr w:rsidR="00A31EA3" w14:paraId="7A6DDD1E" w14:textId="77777777" w:rsidTr="003218F4">
        <w:tc>
          <w:tcPr>
            <w:tcW w:w="2222" w:type="dxa"/>
          </w:tcPr>
          <w:p w14:paraId="0FFBA7A5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Gastrocnemius (medial and lateral head)</w:t>
            </w:r>
            <w:r w:rsidRPr="00555CC3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404" w:type="dxa"/>
          </w:tcPr>
          <w:p w14:paraId="445B2408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+ 75</w:t>
            </w:r>
          </w:p>
        </w:tc>
        <w:tc>
          <w:tcPr>
            <w:tcW w:w="2190" w:type="dxa"/>
          </w:tcPr>
          <w:p w14:paraId="77821E7F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+ 1.5</w:t>
            </w:r>
          </w:p>
        </w:tc>
        <w:tc>
          <w:tcPr>
            <w:tcW w:w="2194" w:type="dxa"/>
          </w:tcPr>
          <w:p w14:paraId="55D8D4F0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4–6</w:t>
            </w:r>
          </w:p>
        </w:tc>
      </w:tr>
      <w:tr w:rsidR="00A31EA3" w14:paraId="00FA2ACA" w14:textId="77777777" w:rsidTr="003218F4">
        <w:tc>
          <w:tcPr>
            <w:tcW w:w="2222" w:type="dxa"/>
          </w:tcPr>
          <w:p w14:paraId="63C8B13F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Soleus</w:t>
            </w:r>
            <w:r w:rsidRPr="00B86742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404" w:type="dxa"/>
          </w:tcPr>
          <w:p w14:paraId="2544A6B7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90" w:type="dxa"/>
          </w:tcPr>
          <w:p w14:paraId="55BC7260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94" w:type="dxa"/>
          </w:tcPr>
          <w:p w14:paraId="397CBA0C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2–4</w:t>
            </w:r>
          </w:p>
        </w:tc>
      </w:tr>
      <w:tr w:rsidR="00A31EA3" w14:paraId="2BA92626" w14:textId="77777777" w:rsidTr="003218F4">
        <w:tc>
          <w:tcPr>
            <w:tcW w:w="2222" w:type="dxa"/>
          </w:tcPr>
          <w:p w14:paraId="1848455A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Tibialis posterior</w:t>
            </w:r>
            <w:r w:rsidRPr="00B86742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404" w:type="dxa"/>
          </w:tcPr>
          <w:p w14:paraId="2799497E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90" w:type="dxa"/>
          </w:tcPr>
          <w:p w14:paraId="3EA523CE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94" w:type="dxa"/>
          </w:tcPr>
          <w:p w14:paraId="605B5A6E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2–3</w:t>
            </w:r>
          </w:p>
        </w:tc>
      </w:tr>
      <w:tr w:rsidR="00A31EA3" w14:paraId="4EB092E6" w14:textId="77777777" w:rsidTr="003218F4">
        <w:tc>
          <w:tcPr>
            <w:tcW w:w="2222" w:type="dxa"/>
          </w:tcPr>
          <w:p w14:paraId="132940C5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Flexor digitorum longus</w:t>
            </w:r>
            <w:r w:rsidRPr="00B86742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404" w:type="dxa"/>
          </w:tcPr>
          <w:p w14:paraId="30A68B8D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0" w:type="dxa"/>
          </w:tcPr>
          <w:p w14:paraId="00446CBB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194" w:type="dxa"/>
          </w:tcPr>
          <w:p w14:paraId="5C0BE081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1–3</w:t>
            </w:r>
          </w:p>
        </w:tc>
      </w:tr>
      <w:tr w:rsidR="00A31EA3" w14:paraId="60F46B40" w14:textId="77777777" w:rsidTr="003218F4">
        <w:tc>
          <w:tcPr>
            <w:tcW w:w="2222" w:type="dxa"/>
          </w:tcPr>
          <w:p w14:paraId="67006834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Flexor hallucis longus</w:t>
            </w:r>
            <w:r w:rsidRPr="00B86742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404" w:type="dxa"/>
          </w:tcPr>
          <w:p w14:paraId="15AA8D40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90" w:type="dxa"/>
          </w:tcPr>
          <w:p w14:paraId="4AF99B7A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194" w:type="dxa"/>
          </w:tcPr>
          <w:p w14:paraId="64CE7F3E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1–2</w:t>
            </w:r>
          </w:p>
        </w:tc>
      </w:tr>
      <w:tr w:rsidR="00A31EA3" w14:paraId="33735F86" w14:textId="77777777" w:rsidTr="003218F4">
        <w:tc>
          <w:tcPr>
            <w:tcW w:w="9010" w:type="dxa"/>
            <w:gridSpan w:val="4"/>
          </w:tcPr>
          <w:p w14:paraId="1BC36E83" w14:textId="77777777" w:rsidR="00A31EA3" w:rsidRPr="00BC3A97" w:rsidRDefault="00A31EA3" w:rsidP="003218F4">
            <w:pPr>
              <w:rPr>
                <w:rFonts w:ascii="Times New Roman" w:hAnsi="Times New Roman" w:cs="Times New Roman"/>
                <w:b/>
                <w:bCs/>
              </w:rPr>
            </w:pPr>
            <w:r w:rsidRPr="00BC3A97">
              <w:rPr>
                <w:rFonts w:ascii="Times New Roman" w:hAnsi="Times New Roman" w:cs="Times New Roman"/>
                <w:b/>
                <w:bCs/>
              </w:rPr>
              <w:t>MP without need to treat toe muscles</w:t>
            </w:r>
          </w:p>
        </w:tc>
      </w:tr>
      <w:tr w:rsidR="00A31EA3" w14:paraId="12611CFC" w14:textId="77777777" w:rsidTr="003218F4">
        <w:tc>
          <w:tcPr>
            <w:tcW w:w="2222" w:type="dxa"/>
          </w:tcPr>
          <w:p w14:paraId="6C24598A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Gastrocnemius (medial and lateral head)</w:t>
            </w:r>
            <w:r w:rsidRPr="00555CC3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404" w:type="dxa"/>
          </w:tcPr>
          <w:p w14:paraId="498BF65F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+ 100</w:t>
            </w:r>
          </w:p>
        </w:tc>
        <w:tc>
          <w:tcPr>
            <w:tcW w:w="2190" w:type="dxa"/>
          </w:tcPr>
          <w:p w14:paraId="19778271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 + 2.0</w:t>
            </w:r>
          </w:p>
        </w:tc>
        <w:tc>
          <w:tcPr>
            <w:tcW w:w="2194" w:type="dxa"/>
          </w:tcPr>
          <w:p w14:paraId="18D3DA0E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4–6</w:t>
            </w:r>
          </w:p>
        </w:tc>
      </w:tr>
      <w:tr w:rsidR="00A31EA3" w14:paraId="042787CD" w14:textId="77777777" w:rsidTr="003218F4">
        <w:tc>
          <w:tcPr>
            <w:tcW w:w="2222" w:type="dxa"/>
          </w:tcPr>
          <w:p w14:paraId="32A1B77B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Soleus</w:t>
            </w:r>
            <w:r w:rsidRPr="00B86742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404" w:type="dxa"/>
          </w:tcPr>
          <w:p w14:paraId="0108AB8D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0" w:type="dxa"/>
          </w:tcPr>
          <w:p w14:paraId="44A9E6BC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194" w:type="dxa"/>
          </w:tcPr>
          <w:p w14:paraId="4505A213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2–4</w:t>
            </w:r>
          </w:p>
        </w:tc>
      </w:tr>
      <w:tr w:rsidR="00A31EA3" w14:paraId="6C61F2F7" w14:textId="77777777" w:rsidTr="003218F4">
        <w:tc>
          <w:tcPr>
            <w:tcW w:w="2222" w:type="dxa"/>
          </w:tcPr>
          <w:p w14:paraId="7B916F3A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Tibialis posterior</w:t>
            </w:r>
            <w:r w:rsidRPr="00B86742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404" w:type="dxa"/>
          </w:tcPr>
          <w:p w14:paraId="15650746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0" w:type="dxa"/>
          </w:tcPr>
          <w:p w14:paraId="5FD4BE00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194" w:type="dxa"/>
          </w:tcPr>
          <w:p w14:paraId="7F8A0154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2–3</w:t>
            </w:r>
          </w:p>
        </w:tc>
      </w:tr>
      <w:tr w:rsidR="00A31EA3" w14:paraId="5F367D61" w14:textId="77777777" w:rsidTr="003218F4">
        <w:tc>
          <w:tcPr>
            <w:tcW w:w="9010" w:type="dxa"/>
            <w:gridSpan w:val="4"/>
          </w:tcPr>
          <w:p w14:paraId="04B2ECE3" w14:textId="77777777" w:rsidR="00A31EA3" w:rsidRPr="004306C2" w:rsidRDefault="00A31EA3" w:rsidP="003218F4">
            <w:pPr>
              <w:rPr>
                <w:rFonts w:ascii="Times New Roman" w:hAnsi="Times New Roman" w:cs="Times New Roman"/>
                <w:b/>
                <w:bCs/>
              </w:rPr>
            </w:pPr>
            <w:r w:rsidRPr="004306C2">
              <w:rPr>
                <w:rFonts w:ascii="Times New Roman" w:hAnsi="Times New Roman" w:cs="Times New Roman"/>
                <w:b/>
                <w:bCs/>
              </w:rPr>
              <w:t>OLEX with need to treat toe muscles</w:t>
            </w:r>
          </w:p>
        </w:tc>
      </w:tr>
      <w:tr w:rsidR="00A31EA3" w14:paraId="210D3555" w14:textId="77777777" w:rsidTr="003218F4">
        <w:tc>
          <w:tcPr>
            <w:tcW w:w="2222" w:type="dxa"/>
          </w:tcPr>
          <w:p w14:paraId="4874E5ED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Gastrocnemius (medial and lateral head)</w:t>
            </w:r>
            <w:r w:rsidRPr="00555CC3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404" w:type="dxa"/>
          </w:tcPr>
          <w:p w14:paraId="47A5A052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50–200</w:t>
            </w:r>
          </w:p>
        </w:tc>
        <w:tc>
          <w:tcPr>
            <w:tcW w:w="2190" w:type="dxa"/>
          </w:tcPr>
          <w:p w14:paraId="380440DB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1.0–4.0</w:t>
            </w:r>
          </w:p>
        </w:tc>
        <w:tc>
          <w:tcPr>
            <w:tcW w:w="2194" w:type="dxa"/>
          </w:tcPr>
          <w:p w14:paraId="1638EDF3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2–6</w:t>
            </w:r>
          </w:p>
        </w:tc>
      </w:tr>
      <w:tr w:rsidR="00A31EA3" w14:paraId="03674A55" w14:textId="77777777" w:rsidTr="003218F4">
        <w:tc>
          <w:tcPr>
            <w:tcW w:w="2222" w:type="dxa"/>
          </w:tcPr>
          <w:p w14:paraId="12C3BE3F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Soleus</w:t>
            </w:r>
            <w:r w:rsidRPr="004306C2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2404" w:type="dxa"/>
          </w:tcPr>
          <w:p w14:paraId="7A662B7C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50–200</w:t>
            </w:r>
            <w:r w:rsidRPr="00F86810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2190" w:type="dxa"/>
          </w:tcPr>
          <w:p w14:paraId="3C9F2185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1.0–4.0</w:t>
            </w:r>
            <w:r w:rsidRPr="00F86810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2194" w:type="dxa"/>
          </w:tcPr>
          <w:p w14:paraId="3FD5AD54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2–4</w:t>
            </w:r>
          </w:p>
        </w:tc>
      </w:tr>
      <w:tr w:rsidR="00A31EA3" w14:paraId="01E5180A" w14:textId="77777777" w:rsidTr="003218F4">
        <w:tc>
          <w:tcPr>
            <w:tcW w:w="2222" w:type="dxa"/>
          </w:tcPr>
          <w:p w14:paraId="2C9B580D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Tibialis posterior</w:t>
            </w:r>
          </w:p>
        </w:tc>
        <w:tc>
          <w:tcPr>
            <w:tcW w:w="2404" w:type="dxa"/>
          </w:tcPr>
          <w:p w14:paraId="5E8DB4E6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50–150</w:t>
            </w:r>
            <w:r w:rsidRPr="00F86810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2190" w:type="dxa"/>
          </w:tcPr>
          <w:p w14:paraId="7D61D503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1.0–3.0</w:t>
            </w:r>
            <w:r w:rsidRPr="00F86810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2194" w:type="dxa"/>
          </w:tcPr>
          <w:p w14:paraId="2D35BECA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2–3</w:t>
            </w:r>
          </w:p>
        </w:tc>
      </w:tr>
      <w:tr w:rsidR="00A31EA3" w14:paraId="23B643D3" w14:textId="77777777" w:rsidTr="003218F4">
        <w:tc>
          <w:tcPr>
            <w:tcW w:w="2222" w:type="dxa"/>
          </w:tcPr>
          <w:p w14:paraId="4CD7E424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Flexor digitorum longus</w:t>
            </w:r>
          </w:p>
        </w:tc>
        <w:tc>
          <w:tcPr>
            <w:tcW w:w="2404" w:type="dxa"/>
          </w:tcPr>
          <w:p w14:paraId="11580EE0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50–100</w:t>
            </w:r>
            <w:r w:rsidRPr="00F86810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2190" w:type="dxa"/>
          </w:tcPr>
          <w:p w14:paraId="7A3F7107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1.0–2.0</w:t>
            </w:r>
            <w:r w:rsidRPr="00F86810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2194" w:type="dxa"/>
          </w:tcPr>
          <w:p w14:paraId="6EE00896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1–3</w:t>
            </w:r>
          </w:p>
        </w:tc>
      </w:tr>
      <w:tr w:rsidR="00A31EA3" w14:paraId="26B935B6" w14:textId="77777777" w:rsidTr="003218F4">
        <w:tc>
          <w:tcPr>
            <w:tcW w:w="2222" w:type="dxa"/>
          </w:tcPr>
          <w:p w14:paraId="2254CDB2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Flexor hallucis longus</w:t>
            </w:r>
          </w:p>
        </w:tc>
        <w:tc>
          <w:tcPr>
            <w:tcW w:w="2404" w:type="dxa"/>
          </w:tcPr>
          <w:p w14:paraId="2A63E98D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25–75</w:t>
            </w:r>
            <w:r w:rsidRPr="00F86810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2190" w:type="dxa"/>
          </w:tcPr>
          <w:p w14:paraId="56038F6D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0.5–1.5</w:t>
            </w:r>
            <w:r w:rsidRPr="00F86810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2194" w:type="dxa"/>
          </w:tcPr>
          <w:p w14:paraId="61A23431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1–2</w:t>
            </w:r>
          </w:p>
        </w:tc>
      </w:tr>
      <w:tr w:rsidR="00A31EA3" w14:paraId="1935A7D9" w14:textId="77777777" w:rsidTr="003218F4">
        <w:tc>
          <w:tcPr>
            <w:tcW w:w="9010" w:type="dxa"/>
            <w:gridSpan w:val="4"/>
          </w:tcPr>
          <w:p w14:paraId="2A4E4EE6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 w:rsidRPr="004306C2">
              <w:rPr>
                <w:rFonts w:ascii="Times New Roman" w:hAnsi="Times New Roman" w:cs="Times New Roman"/>
                <w:b/>
                <w:bCs/>
              </w:rPr>
              <w:t>OLEX with</w:t>
            </w:r>
            <w:r>
              <w:rPr>
                <w:rFonts w:ascii="Times New Roman" w:hAnsi="Times New Roman" w:cs="Times New Roman"/>
                <w:b/>
                <w:bCs/>
              </w:rPr>
              <w:t>out</w:t>
            </w:r>
            <w:r w:rsidRPr="004306C2">
              <w:rPr>
                <w:rFonts w:ascii="Times New Roman" w:hAnsi="Times New Roman" w:cs="Times New Roman"/>
                <w:b/>
                <w:bCs/>
              </w:rPr>
              <w:t xml:space="preserve"> need to treat toe muscles</w:t>
            </w:r>
          </w:p>
        </w:tc>
      </w:tr>
      <w:tr w:rsidR="00A31EA3" w14:paraId="3901AAF3" w14:textId="77777777" w:rsidTr="003218F4">
        <w:tc>
          <w:tcPr>
            <w:tcW w:w="2222" w:type="dxa"/>
          </w:tcPr>
          <w:p w14:paraId="3A74DE97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Gastrocnemius (medial and lateral head)</w:t>
            </w:r>
            <w:r w:rsidRPr="00555CC3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404" w:type="dxa"/>
          </w:tcPr>
          <w:p w14:paraId="308C0785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50–200</w:t>
            </w:r>
          </w:p>
        </w:tc>
        <w:tc>
          <w:tcPr>
            <w:tcW w:w="2190" w:type="dxa"/>
          </w:tcPr>
          <w:p w14:paraId="070949CB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1.0–4.0</w:t>
            </w:r>
          </w:p>
        </w:tc>
        <w:tc>
          <w:tcPr>
            <w:tcW w:w="2194" w:type="dxa"/>
          </w:tcPr>
          <w:p w14:paraId="0A60A75F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2–6</w:t>
            </w:r>
          </w:p>
        </w:tc>
      </w:tr>
      <w:tr w:rsidR="00A31EA3" w14:paraId="23B5E84D" w14:textId="77777777" w:rsidTr="003218F4">
        <w:tc>
          <w:tcPr>
            <w:tcW w:w="2222" w:type="dxa"/>
          </w:tcPr>
          <w:p w14:paraId="1007F20A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Soleus</w:t>
            </w:r>
            <w:r w:rsidRPr="004306C2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2404" w:type="dxa"/>
          </w:tcPr>
          <w:p w14:paraId="1BDD213B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50–200</w:t>
            </w:r>
            <w:r w:rsidRPr="00F86810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2190" w:type="dxa"/>
          </w:tcPr>
          <w:p w14:paraId="0D50A5BC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1.0–4.0</w:t>
            </w:r>
            <w:r w:rsidRPr="00F86810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2194" w:type="dxa"/>
          </w:tcPr>
          <w:p w14:paraId="69F2D3D8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2–4</w:t>
            </w:r>
          </w:p>
        </w:tc>
      </w:tr>
      <w:tr w:rsidR="00A31EA3" w14:paraId="435B11FD" w14:textId="77777777" w:rsidTr="003218F4">
        <w:tc>
          <w:tcPr>
            <w:tcW w:w="2222" w:type="dxa"/>
          </w:tcPr>
          <w:p w14:paraId="149D9BDB" w14:textId="77777777" w:rsidR="00A31EA3" w:rsidRDefault="00A31EA3" w:rsidP="0032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Tibialis posterior</w:t>
            </w:r>
          </w:p>
        </w:tc>
        <w:tc>
          <w:tcPr>
            <w:tcW w:w="2404" w:type="dxa"/>
          </w:tcPr>
          <w:p w14:paraId="7D70D7C7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50–150</w:t>
            </w:r>
            <w:r w:rsidRPr="00F86810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2190" w:type="dxa"/>
          </w:tcPr>
          <w:p w14:paraId="6D12E879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1.0–3.0</w:t>
            </w:r>
            <w:r w:rsidRPr="00F86810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2194" w:type="dxa"/>
          </w:tcPr>
          <w:p w14:paraId="096D5B7A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2–3</w:t>
            </w:r>
          </w:p>
        </w:tc>
      </w:tr>
    </w:tbl>
    <w:p w14:paraId="17CDF95E" w14:textId="77777777" w:rsidR="00A31EA3" w:rsidRDefault="00A31EA3" w:rsidP="00A31EA3">
      <w:pPr>
        <w:rPr>
          <w:rFonts w:ascii="Times New Roman" w:hAnsi="Times New Roman" w:cs="Times New Roman"/>
        </w:rPr>
      </w:pPr>
      <w:r w:rsidRPr="005E6BAE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Maximum 1.0 mL per injection site.</w:t>
      </w:r>
    </w:p>
    <w:p w14:paraId="53E4588C" w14:textId="77777777" w:rsidR="00A31EA3" w:rsidRDefault="00A31EA3" w:rsidP="00A31EA3">
      <w:pPr>
        <w:rPr>
          <w:rFonts w:ascii="Times New Roman" w:hAnsi="Times New Roman" w:cs="Times New Roman"/>
        </w:rPr>
      </w:pPr>
      <w:r w:rsidRPr="005E6BAE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Injection of these muscles was mandatory.</w:t>
      </w:r>
    </w:p>
    <w:p w14:paraId="7A25E50C" w14:textId="77777777" w:rsidR="00A31EA3" w:rsidRDefault="00A31EA3" w:rsidP="00A31EA3">
      <w:pPr>
        <w:rPr>
          <w:rFonts w:ascii="Times New Roman" w:hAnsi="Times New Roman" w:cs="Times New Roman"/>
        </w:rPr>
      </w:pPr>
      <w:r w:rsidRPr="004306C2">
        <w:rPr>
          <w:rFonts w:ascii="Times New Roman" w:hAnsi="Times New Roman" w:cs="Times New Roman"/>
          <w:vertAlign w:val="superscript"/>
        </w:rPr>
        <w:t>c</w:t>
      </w:r>
      <w:r>
        <w:rPr>
          <w:rFonts w:ascii="Times New Roman" w:hAnsi="Times New Roman" w:cs="Times New Roman"/>
        </w:rPr>
        <w:t>Injection into this muscle was advised.</w:t>
      </w:r>
    </w:p>
    <w:p w14:paraId="1AD0F6AC" w14:textId="77777777" w:rsidR="00A31EA3" w:rsidRDefault="00A31EA3" w:rsidP="00A31EA3">
      <w:pPr>
        <w:rPr>
          <w:rFonts w:ascii="Times New Roman" w:hAnsi="Times New Roman" w:cs="Times New Roman"/>
        </w:rPr>
      </w:pPr>
      <w:r w:rsidRPr="004A6652">
        <w:rPr>
          <w:rFonts w:ascii="Times New Roman" w:hAnsi="Times New Roman" w:cs="Times New Roman"/>
          <w:vertAlign w:val="superscript"/>
        </w:rPr>
        <w:t>d</w:t>
      </w:r>
      <w:r>
        <w:rPr>
          <w:rFonts w:ascii="Times New Roman" w:hAnsi="Times New Roman" w:cs="Times New Roman"/>
        </w:rPr>
        <w:t>If the muscle was chosen for injection.</w:t>
      </w:r>
    </w:p>
    <w:p w14:paraId="5D93DAF5" w14:textId="77777777" w:rsidR="00A31EA3" w:rsidRDefault="00A31EA3" w:rsidP="00A31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MP, main period; OLEX, open-label extension period.</w:t>
      </w:r>
    </w:p>
    <w:p w14:paraId="7EF8F8BD" w14:textId="306B641F" w:rsidR="00D938C1" w:rsidRDefault="00D938C1">
      <w:pPr>
        <w:rPr>
          <w:rFonts w:ascii="Times New Roman" w:hAnsi="Times New Roman" w:cs="Times New Roman"/>
        </w:rPr>
      </w:pPr>
    </w:p>
    <w:p w14:paraId="10E61132" w14:textId="77777777" w:rsidR="00D938C1" w:rsidRDefault="00D938C1">
      <w:pPr>
        <w:rPr>
          <w:rFonts w:ascii="Times New Roman" w:hAnsi="Times New Roman" w:cs="Times New Roman"/>
        </w:rPr>
        <w:sectPr w:rsidR="00D938C1" w:rsidSect="00F37636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3BFA96DB" w14:textId="77777777" w:rsidR="00A31EA3" w:rsidRDefault="00A31EA3" w:rsidP="00A31EA3">
      <w:pPr>
        <w:rPr>
          <w:rFonts w:ascii="Times New Roman" w:hAnsi="Times New Roman" w:cs="Times New Roman"/>
        </w:rPr>
      </w:pPr>
      <w:r w:rsidRPr="00EA056F">
        <w:rPr>
          <w:rFonts w:ascii="Times New Roman" w:hAnsi="Times New Roman" w:cs="Times New Roman"/>
          <w:b/>
          <w:bCs/>
        </w:rPr>
        <w:lastRenderedPageBreak/>
        <w:t>Table S2.</w:t>
      </w:r>
      <w:r>
        <w:rPr>
          <w:rFonts w:ascii="Times New Roman" w:hAnsi="Times New Roman" w:cs="Times New Roman"/>
        </w:rPr>
        <w:t xml:space="preserve"> Mean change from baseline in other efficacy endpoints in adults with lower limb spasticity treated with incobotulinumtoxinA 400 U in the MP (least squares mean change with SE; FAS) and OLEX (mean change with SD; FAS).</w:t>
      </w:r>
    </w:p>
    <w:p w14:paraId="177A18EB" w14:textId="77777777" w:rsidR="00A31EA3" w:rsidRDefault="00A31EA3" w:rsidP="00A31EA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1199"/>
        <w:gridCol w:w="1199"/>
        <w:gridCol w:w="32"/>
        <w:gridCol w:w="1167"/>
        <w:gridCol w:w="1199"/>
        <w:gridCol w:w="43"/>
        <w:gridCol w:w="1156"/>
        <w:gridCol w:w="1199"/>
        <w:gridCol w:w="55"/>
        <w:gridCol w:w="1144"/>
        <w:gridCol w:w="1124"/>
        <w:gridCol w:w="75"/>
        <w:gridCol w:w="1199"/>
        <w:gridCol w:w="1199"/>
      </w:tblGrid>
      <w:tr w:rsidR="00A31EA3" w14:paraId="3C8CD13A" w14:textId="77777777" w:rsidTr="003218F4">
        <w:tc>
          <w:tcPr>
            <w:tcW w:w="1960" w:type="dxa"/>
            <w:vMerge w:val="restart"/>
          </w:tcPr>
          <w:p w14:paraId="421A9C2E" w14:textId="77777777" w:rsidR="00A31EA3" w:rsidRPr="008C3ADE" w:rsidRDefault="00A31EA3" w:rsidP="00321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Timepoint</w:t>
            </w:r>
          </w:p>
        </w:tc>
        <w:tc>
          <w:tcPr>
            <w:tcW w:w="2430" w:type="dxa"/>
            <w:gridSpan w:val="3"/>
            <w:vMerge w:val="restart"/>
          </w:tcPr>
          <w:p w14:paraId="11E65C04" w14:textId="77777777" w:rsidR="00A31EA3" w:rsidRPr="008C3ADE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Investigator’s CGI</w:t>
            </w:r>
          </w:p>
        </w:tc>
        <w:tc>
          <w:tcPr>
            <w:tcW w:w="4819" w:type="dxa"/>
            <w:gridSpan w:val="6"/>
          </w:tcPr>
          <w:p w14:paraId="4D64CDFC" w14:textId="77777777" w:rsidR="00A31EA3" w:rsidRPr="008C3ADE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10-meter walking time (seconds)</w:t>
            </w:r>
          </w:p>
        </w:tc>
        <w:tc>
          <w:tcPr>
            <w:tcW w:w="2268" w:type="dxa"/>
            <w:gridSpan w:val="2"/>
            <w:vMerge w:val="restart"/>
          </w:tcPr>
          <w:p w14:paraId="2F3F0FCB" w14:textId="77777777" w:rsidR="00A31EA3" w:rsidRPr="008C3ADE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gait PRS score</w:t>
            </w:r>
          </w:p>
        </w:tc>
        <w:tc>
          <w:tcPr>
            <w:tcW w:w="2473" w:type="dxa"/>
            <w:gridSpan w:val="3"/>
            <w:vMerge w:val="restart"/>
          </w:tcPr>
          <w:p w14:paraId="214DB105" w14:textId="77777777" w:rsidR="00A31EA3" w:rsidRPr="008C3ADE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Ankle pain score</w:t>
            </w:r>
            <w:r w:rsidRPr="00C317D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A31EA3" w14:paraId="1E8F0D54" w14:textId="77777777" w:rsidTr="003218F4">
        <w:tc>
          <w:tcPr>
            <w:tcW w:w="1960" w:type="dxa"/>
            <w:vMerge/>
          </w:tcPr>
          <w:p w14:paraId="014371B2" w14:textId="77777777" w:rsidR="00A31EA3" w:rsidRPr="00BF01CD" w:rsidRDefault="00A31EA3" w:rsidP="00321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vMerge/>
          </w:tcPr>
          <w:p w14:paraId="136D620E" w14:textId="77777777" w:rsidR="00A31EA3" w:rsidRPr="00BF01CD" w:rsidRDefault="00A31EA3" w:rsidP="00321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14:paraId="665762E4" w14:textId="77777777" w:rsidR="00A31EA3" w:rsidRPr="008C3ADE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 preferred speed</w:t>
            </w:r>
          </w:p>
        </w:tc>
        <w:tc>
          <w:tcPr>
            <w:tcW w:w="2410" w:type="dxa"/>
            <w:gridSpan w:val="3"/>
          </w:tcPr>
          <w:p w14:paraId="4179A5D3" w14:textId="77777777" w:rsidR="00A31EA3" w:rsidRPr="008C3ADE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 maximum speed</w:t>
            </w:r>
          </w:p>
        </w:tc>
        <w:tc>
          <w:tcPr>
            <w:tcW w:w="2268" w:type="dxa"/>
            <w:gridSpan w:val="2"/>
            <w:vMerge/>
          </w:tcPr>
          <w:p w14:paraId="72DB5B7A" w14:textId="77777777" w:rsidR="00A31EA3" w:rsidRPr="00BF01CD" w:rsidRDefault="00A31EA3" w:rsidP="00321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vMerge/>
          </w:tcPr>
          <w:p w14:paraId="645150A1" w14:textId="77777777" w:rsidR="00A31EA3" w:rsidRPr="00BF01CD" w:rsidRDefault="00A31EA3" w:rsidP="00321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EA3" w14:paraId="13DF62D8" w14:textId="77777777" w:rsidTr="003218F4">
        <w:tc>
          <w:tcPr>
            <w:tcW w:w="1960" w:type="dxa"/>
          </w:tcPr>
          <w:p w14:paraId="70FF0503" w14:textId="77777777" w:rsidR="00A31EA3" w:rsidRPr="00BF01CD" w:rsidRDefault="00A31EA3" w:rsidP="00321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02703875" w14:textId="77777777" w:rsidR="00A31EA3" w:rsidRPr="001C4A6A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n/</w:t>
            </w:r>
            <w:r w:rsidRPr="001C4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14:paraId="2632976E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Change</w:t>
            </w:r>
          </w:p>
        </w:tc>
        <w:tc>
          <w:tcPr>
            <w:tcW w:w="1199" w:type="dxa"/>
            <w:gridSpan w:val="2"/>
          </w:tcPr>
          <w:p w14:paraId="7DE80FE8" w14:textId="77777777" w:rsidR="00A31EA3" w:rsidRPr="008C3ADE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n/N</w:t>
            </w:r>
          </w:p>
        </w:tc>
        <w:tc>
          <w:tcPr>
            <w:tcW w:w="1199" w:type="dxa"/>
          </w:tcPr>
          <w:p w14:paraId="4AB729EC" w14:textId="77777777" w:rsidR="00A31EA3" w:rsidRPr="008C3ADE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Change</w:t>
            </w:r>
          </w:p>
        </w:tc>
        <w:tc>
          <w:tcPr>
            <w:tcW w:w="1199" w:type="dxa"/>
            <w:gridSpan w:val="2"/>
          </w:tcPr>
          <w:p w14:paraId="6FD01946" w14:textId="77777777" w:rsidR="00A31EA3" w:rsidRPr="008C3ADE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n/N</w:t>
            </w:r>
          </w:p>
        </w:tc>
        <w:tc>
          <w:tcPr>
            <w:tcW w:w="1199" w:type="dxa"/>
          </w:tcPr>
          <w:p w14:paraId="1D668AC4" w14:textId="77777777" w:rsidR="00A31EA3" w:rsidRPr="008C3ADE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Change</w:t>
            </w:r>
          </w:p>
        </w:tc>
        <w:tc>
          <w:tcPr>
            <w:tcW w:w="1199" w:type="dxa"/>
            <w:gridSpan w:val="2"/>
          </w:tcPr>
          <w:p w14:paraId="01E65042" w14:textId="77777777" w:rsidR="00A31EA3" w:rsidRPr="0041029E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n/N</w:t>
            </w:r>
          </w:p>
        </w:tc>
        <w:tc>
          <w:tcPr>
            <w:tcW w:w="1199" w:type="dxa"/>
            <w:gridSpan w:val="2"/>
          </w:tcPr>
          <w:p w14:paraId="7BA1994A" w14:textId="77777777" w:rsidR="00A31EA3" w:rsidRPr="0041029E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Change</w:t>
            </w:r>
          </w:p>
        </w:tc>
        <w:tc>
          <w:tcPr>
            <w:tcW w:w="1199" w:type="dxa"/>
          </w:tcPr>
          <w:p w14:paraId="01829743" w14:textId="77777777" w:rsidR="00A31EA3" w:rsidRPr="001C4A6A" w:rsidRDefault="00A31EA3" w:rsidP="00321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n/</w:t>
            </w:r>
            <w:r w:rsidRPr="001C4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14:paraId="09F194A0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Change</w:t>
            </w:r>
          </w:p>
        </w:tc>
      </w:tr>
      <w:tr w:rsidR="00A31EA3" w14:paraId="5093307A" w14:textId="77777777" w:rsidTr="003218F4">
        <w:tc>
          <w:tcPr>
            <w:tcW w:w="13950" w:type="dxa"/>
            <w:gridSpan w:val="15"/>
          </w:tcPr>
          <w:p w14:paraId="7BDFB798" w14:textId="77777777" w:rsidR="00A31EA3" w:rsidRPr="00561687" w:rsidRDefault="00A31EA3" w:rsidP="00321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(LS mean change from baseline with SE; ANCOVA, BOCF)</w:t>
            </w:r>
          </w:p>
        </w:tc>
      </w:tr>
      <w:tr w:rsidR="00A31EA3" w14:paraId="0D06FD75" w14:textId="77777777" w:rsidTr="003218F4">
        <w:tc>
          <w:tcPr>
            <w:tcW w:w="1960" w:type="dxa"/>
          </w:tcPr>
          <w:p w14:paraId="39B789EB" w14:textId="77777777" w:rsidR="00A31EA3" w:rsidRPr="008C3ADE" w:rsidRDefault="00A31EA3" w:rsidP="00321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1199" w:type="dxa"/>
          </w:tcPr>
          <w:p w14:paraId="5132CECB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25341418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59F3A818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73849694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4091A141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2DE40D43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20DD843B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6D268A72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7A9A2E66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07F2E9FB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EA3" w14:paraId="6AC0C37B" w14:textId="77777777" w:rsidTr="003218F4">
        <w:tc>
          <w:tcPr>
            <w:tcW w:w="1960" w:type="dxa"/>
          </w:tcPr>
          <w:p w14:paraId="6036189D" w14:textId="77777777" w:rsidR="00A31EA3" w:rsidRPr="00BF01CD" w:rsidRDefault="00A31EA3" w:rsidP="0032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IncobotulinumtoxinA</w:t>
            </w:r>
          </w:p>
        </w:tc>
        <w:tc>
          <w:tcPr>
            <w:tcW w:w="1199" w:type="dxa"/>
          </w:tcPr>
          <w:p w14:paraId="165B3832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104/104</w:t>
            </w:r>
          </w:p>
        </w:tc>
        <w:tc>
          <w:tcPr>
            <w:tcW w:w="1199" w:type="dxa"/>
          </w:tcPr>
          <w:p w14:paraId="4487A4FD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 (0.2)</w:t>
            </w:r>
          </w:p>
        </w:tc>
        <w:tc>
          <w:tcPr>
            <w:tcW w:w="1199" w:type="dxa"/>
            <w:gridSpan w:val="2"/>
          </w:tcPr>
          <w:p w14:paraId="22D15B0C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</w:tcPr>
          <w:p w14:paraId="549EACBB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  <w:gridSpan w:val="2"/>
          </w:tcPr>
          <w:p w14:paraId="665565D0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</w:tcPr>
          <w:p w14:paraId="752FBB45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  <w:gridSpan w:val="2"/>
          </w:tcPr>
          <w:p w14:paraId="433036AF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58/104</w:t>
            </w:r>
          </w:p>
        </w:tc>
        <w:tc>
          <w:tcPr>
            <w:tcW w:w="1199" w:type="dxa"/>
            <w:gridSpan w:val="2"/>
          </w:tcPr>
          <w:p w14:paraId="2BAEB1B7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 (0.2)</w:t>
            </w:r>
          </w:p>
        </w:tc>
        <w:tc>
          <w:tcPr>
            <w:tcW w:w="1199" w:type="dxa"/>
          </w:tcPr>
          <w:p w14:paraId="67E480A9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104/104</w:t>
            </w:r>
          </w:p>
        </w:tc>
        <w:tc>
          <w:tcPr>
            <w:tcW w:w="1199" w:type="dxa"/>
          </w:tcPr>
          <w:p w14:paraId="4428C2AA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 (0.2)</w:t>
            </w:r>
          </w:p>
        </w:tc>
      </w:tr>
      <w:tr w:rsidR="00A31EA3" w14:paraId="5F05973B" w14:textId="77777777" w:rsidTr="003218F4">
        <w:tc>
          <w:tcPr>
            <w:tcW w:w="1960" w:type="dxa"/>
          </w:tcPr>
          <w:p w14:paraId="001829B8" w14:textId="77777777" w:rsidR="00A31EA3" w:rsidRPr="00BF01CD" w:rsidRDefault="00A31EA3" w:rsidP="0032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Placebo</w:t>
            </w:r>
          </w:p>
        </w:tc>
        <w:tc>
          <w:tcPr>
            <w:tcW w:w="1199" w:type="dxa"/>
          </w:tcPr>
          <w:p w14:paraId="3A0517C4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104/104</w:t>
            </w:r>
          </w:p>
        </w:tc>
        <w:tc>
          <w:tcPr>
            <w:tcW w:w="1199" w:type="dxa"/>
          </w:tcPr>
          <w:p w14:paraId="706D7C37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 (0.2)</w:t>
            </w:r>
          </w:p>
        </w:tc>
        <w:tc>
          <w:tcPr>
            <w:tcW w:w="1199" w:type="dxa"/>
            <w:gridSpan w:val="2"/>
          </w:tcPr>
          <w:p w14:paraId="3343326E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</w:tcPr>
          <w:p w14:paraId="33F287E5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  <w:gridSpan w:val="2"/>
          </w:tcPr>
          <w:p w14:paraId="7A541F2D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</w:tcPr>
          <w:p w14:paraId="083CEA07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  <w:gridSpan w:val="2"/>
          </w:tcPr>
          <w:p w14:paraId="23EAB894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64/104</w:t>
            </w:r>
          </w:p>
        </w:tc>
        <w:tc>
          <w:tcPr>
            <w:tcW w:w="1199" w:type="dxa"/>
            <w:gridSpan w:val="2"/>
          </w:tcPr>
          <w:p w14:paraId="7EB7DBC8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 (0.2)</w:t>
            </w:r>
          </w:p>
        </w:tc>
        <w:tc>
          <w:tcPr>
            <w:tcW w:w="1199" w:type="dxa"/>
          </w:tcPr>
          <w:p w14:paraId="6E777593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104/104</w:t>
            </w:r>
          </w:p>
        </w:tc>
        <w:tc>
          <w:tcPr>
            <w:tcW w:w="1199" w:type="dxa"/>
          </w:tcPr>
          <w:p w14:paraId="77E67439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-0.7 (0.2)</w:t>
            </w:r>
          </w:p>
        </w:tc>
      </w:tr>
      <w:tr w:rsidR="00A31EA3" w14:paraId="2A48CC08" w14:textId="77777777" w:rsidTr="003218F4">
        <w:tc>
          <w:tcPr>
            <w:tcW w:w="1960" w:type="dxa"/>
          </w:tcPr>
          <w:p w14:paraId="74879B41" w14:textId="77777777" w:rsidR="00A31EA3" w:rsidRPr="00D40F4E" w:rsidRDefault="00A31EA3" w:rsidP="00321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 12</w:t>
            </w:r>
          </w:p>
        </w:tc>
        <w:tc>
          <w:tcPr>
            <w:tcW w:w="1199" w:type="dxa"/>
          </w:tcPr>
          <w:p w14:paraId="115C113D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140E181F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7BC01142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1263136E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7DED1F93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0CE14896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39AA5179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56046486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01915328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3F2FDD47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EA3" w14:paraId="2B0E85FB" w14:textId="77777777" w:rsidTr="003218F4">
        <w:tc>
          <w:tcPr>
            <w:tcW w:w="1960" w:type="dxa"/>
          </w:tcPr>
          <w:p w14:paraId="45C808AD" w14:textId="77777777" w:rsidR="00A31EA3" w:rsidRPr="00BF01CD" w:rsidRDefault="00A31EA3" w:rsidP="0032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IncobotulinumtoxinA</w:t>
            </w:r>
          </w:p>
        </w:tc>
        <w:tc>
          <w:tcPr>
            <w:tcW w:w="1199" w:type="dxa"/>
          </w:tcPr>
          <w:p w14:paraId="2601B069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104/104</w:t>
            </w:r>
          </w:p>
        </w:tc>
        <w:tc>
          <w:tcPr>
            <w:tcW w:w="1199" w:type="dxa"/>
          </w:tcPr>
          <w:p w14:paraId="29D984A3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 (0.2)</w:t>
            </w:r>
          </w:p>
        </w:tc>
        <w:tc>
          <w:tcPr>
            <w:tcW w:w="1199" w:type="dxa"/>
            <w:gridSpan w:val="2"/>
          </w:tcPr>
          <w:p w14:paraId="18C2288D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56/104</w:t>
            </w:r>
          </w:p>
        </w:tc>
        <w:tc>
          <w:tcPr>
            <w:tcW w:w="1199" w:type="dxa"/>
          </w:tcPr>
          <w:p w14:paraId="6B9A59B3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 (1.0)</w:t>
            </w:r>
          </w:p>
        </w:tc>
        <w:tc>
          <w:tcPr>
            <w:tcW w:w="1199" w:type="dxa"/>
            <w:gridSpan w:val="2"/>
          </w:tcPr>
          <w:p w14:paraId="1B7015E0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56/104</w:t>
            </w:r>
          </w:p>
        </w:tc>
        <w:tc>
          <w:tcPr>
            <w:tcW w:w="1199" w:type="dxa"/>
          </w:tcPr>
          <w:p w14:paraId="3603F0F1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-1.2 (1.4)</w:t>
            </w:r>
          </w:p>
        </w:tc>
        <w:tc>
          <w:tcPr>
            <w:tcW w:w="1199" w:type="dxa"/>
            <w:gridSpan w:val="2"/>
          </w:tcPr>
          <w:p w14:paraId="503F1ABA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58/104</w:t>
            </w:r>
          </w:p>
        </w:tc>
        <w:tc>
          <w:tcPr>
            <w:tcW w:w="1199" w:type="dxa"/>
            <w:gridSpan w:val="2"/>
          </w:tcPr>
          <w:p w14:paraId="1FF12EDC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 (0.2)*</w:t>
            </w:r>
          </w:p>
        </w:tc>
        <w:tc>
          <w:tcPr>
            <w:tcW w:w="1199" w:type="dxa"/>
          </w:tcPr>
          <w:p w14:paraId="029F66DF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104/104</w:t>
            </w:r>
          </w:p>
        </w:tc>
        <w:tc>
          <w:tcPr>
            <w:tcW w:w="1199" w:type="dxa"/>
          </w:tcPr>
          <w:p w14:paraId="383A2E49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 (0.2)</w:t>
            </w:r>
          </w:p>
        </w:tc>
      </w:tr>
      <w:tr w:rsidR="00A31EA3" w14:paraId="573DA4CE" w14:textId="77777777" w:rsidTr="003218F4">
        <w:tc>
          <w:tcPr>
            <w:tcW w:w="1960" w:type="dxa"/>
          </w:tcPr>
          <w:p w14:paraId="6736C865" w14:textId="77777777" w:rsidR="00A31EA3" w:rsidRPr="00BF01CD" w:rsidRDefault="00A31EA3" w:rsidP="0032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Placebo</w:t>
            </w:r>
          </w:p>
        </w:tc>
        <w:tc>
          <w:tcPr>
            <w:tcW w:w="1199" w:type="dxa"/>
          </w:tcPr>
          <w:p w14:paraId="3BB2BF35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104/104</w:t>
            </w:r>
          </w:p>
        </w:tc>
        <w:tc>
          <w:tcPr>
            <w:tcW w:w="1199" w:type="dxa"/>
          </w:tcPr>
          <w:p w14:paraId="535E190A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 (0.2)</w:t>
            </w:r>
          </w:p>
        </w:tc>
        <w:tc>
          <w:tcPr>
            <w:tcW w:w="1199" w:type="dxa"/>
            <w:gridSpan w:val="2"/>
          </w:tcPr>
          <w:p w14:paraId="5BF364BB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60/104</w:t>
            </w:r>
          </w:p>
        </w:tc>
        <w:tc>
          <w:tcPr>
            <w:tcW w:w="1199" w:type="dxa"/>
          </w:tcPr>
          <w:p w14:paraId="236C3A71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 (1.0)</w:t>
            </w:r>
          </w:p>
        </w:tc>
        <w:tc>
          <w:tcPr>
            <w:tcW w:w="1199" w:type="dxa"/>
            <w:gridSpan w:val="2"/>
          </w:tcPr>
          <w:p w14:paraId="0A0AD918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60/104</w:t>
            </w:r>
          </w:p>
        </w:tc>
        <w:tc>
          <w:tcPr>
            <w:tcW w:w="1199" w:type="dxa"/>
          </w:tcPr>
          <w:p w14:paraId="5D37319A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 (1.4)</w:t>
            </w:r>
          </w:p>
        </w:tc>
        <w:tc>
          <w:tcPr>
            <w:tcW w:w="1199" w:type="dxa"/>
            <w:gridSpan w:val="2"/>
          </w:tcPr>
          <w:p w14:paraId="2976D084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64/104</w:t>
            </w:r>
          </w:p>
        </w:tc>
        <w:tc>
          <w:tcPr>
            <w:tcW w:w="1199" w:type="dxa"/>
            <w:gridSpan w:val="2"/>
          </w:tcPr>
          <w:p w14:paraId="4E2A1D30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 (0.2)</w:t>
            </w:r>
          </w:p>
        </w:tc>
        <w:tc>
          <w:tcPr>
            <w:tcW w:w="1199" w:type="dxa"/>
          </w:tcPr>
          <w:p w14:paraId="40AE8DFC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104/104</w:t>
            </w:r>
          </w:p>
        </w:tc>
        <w:tc>
          <w:tcPr>
            <w:tcW w:w="1199" w:type="dxa"/>
          </w:tcPr>
          <w:p w14:paraId="0389C455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 (0.2)</w:t>
            </w:r>
          </w:p>
        </w:tc>
      </w:tr>
      <w:tr w:rsidR="00A31EA3" w14:paraId="541D42AB" w14:textId="77777777" w:rsidTr="003218F4">
        <w:tc>
          <w:tcPr>
            <w:tcW w:w="13950" w:type="dxa"/>
            <w:gridSpan w:val="15"/>
          </w:tcPr>
          <w:p w14:paraId="72E847F4" w14:textId="77777777" w:rsidR="00A31EA3" w:rsidRPr="00561687" w:rsidRDefault="00A31EA3" w:rsidP="00321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OLEX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(mean change from baseline with SD)</w:t>
            </w:r>
          </w:p>
        </w:tc>
      </w:tr>
      <w:tr w:rsidR="00A31EA3" w14:paraId="540C0811" w14:textId="77777777" w:rsidTr="003218F4">
        <w:tc>
          <w:tcPr>
            <w:tcW w:w="1960" w:type="dxa"/>
          </w:tcPr>
          <w:p w14:paraId="01936AAC" w14:textId="77777777" w:rsidR="00A31EA3" w:rsidRPr="00BF01CD" w:rsidRDefault="00A31EA3" w:rsidP="0032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Cycle 2 (Week 4)</w:t>
            </w:r>
          </w:p>
        </w:tc>
        <w:tc>
          <w:tcPr>
            <w:tcW w:w="1199" w:type="dxa"/>
          </w:tcPr>
          <w:p w14:paraId="0F700614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194/201</w:t>
            </w:r>
          </w:p>
        </w:tc>
        <w:tc>
          <w:tcPr>
            <w:tcW w:w="1199" w:type="dxa"/>
          </w:tcPr>
          <w:p w14:paraId="57A5EC95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(2.1)</w:t>
            </w:r>
          </w:p>
        </w:tc>
        <w:tc>
          <w:tcPr>
            <w:tcW w:w="1199" w:type="dxa"/>
            <w:gridSpan w:val="2"/>
          </w:tcPr>
          <w:p w14:paraId="1371E1C4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106/202</w:t>
            </w:r>
          </w:p>
        </w:tc>
        <w:tc>
          <w:tcPr>
            <w:tcW w:w="1199" w:type="dxa"/>
          </w:tcPr>
          <w:p w14:paraId="12EEDEE4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 (4.3)</w:t>
            </w:r>
            <w:r w:rsidRPr="00C317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99" w:type="dxa"/>
            <w:gridSpan w:val="2"/>
          </w:tcPr>
          <w:p w14:paraId="70E99DA1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106/202</w:t>
            </w:r>
          </w:p>
        </w:tc>
        <w:tc>
          <w:tcPr>
            <w:tcW w:w="1199" w:type="dxa"/>
          </w:tcPr>
          <w:p w14:paraId="4D510A4C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 (4.1)</w:t>
            </w:r>
            <w:r w:rsidRPr="00C317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99" w:type="dxa"/>
            <w:gridSpan w:val="2"/>
          </w:tcPr>
          <w:p w14:paraId="3904D329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111/201</w:t>
            </w:r>
          </w:p>
        </w:tc>
        <w:tc>
          <w:tcPr>
            <w:tcW w:w="1199" w:type="dxa"/>
            <w:gridSpan w:val="2"/>
          </w:tcPr>
          <w:p w14:paraId="0925A5AA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(1.6)</w:t>
            </w:r>
          </w:p>
        </w:tc>
        <w:tc>
          <w:tcPr>
            <w:tcW w:w="1199" w:type="dxa"/>
          </w:tcPr>
          <w:p w14:paraId="04510F1A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194/201</w:t>
            </w:r>
          </w:p>
        </w:tc>
        <w:tc>
          <w:tcPr>
            <w:tcW w:w="1199" w:type="dxa"/>
          </w:tcPr>
          <w:p w14:paraId="34BD0F98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 (2.7)</w:t>
            </w:r>
            <w:r w:rsidRPr="005A66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A31EA3" w14:paraId="1D038B1D" w14:textId="77777777" w:rsidTr="003218F4">
        <w:tc>
          <w:tcPr>
            <w:tcW w:w="1960" w:type="dxa"/>
          </w:tcPr>
          <w:p w14:paraId="6C9E69D0" w14:textId="77777777" w:rsidR="00A31EA3" w:rsidRPr="00BF01CD" w:rsidRDefault="00A31EA3" w:rsidP="0032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Cycle 3 (Week 4)</w:t>
            </w:r>
          </w:p>
        </w:tc>
        <w:tc>
          <w:tcPr>
            <w:tcW w:w="1199" w:type="dxa"/>
          </w:tcPr>
          <w:p w14:paraId="144E3126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182/188</w:t>
            </w:r>
          </w:p>
        </w:tc>
        <w:tc>
          <w:tcPr>
            <w:tcW w:w="1199" w:type="dxa"/>
          </w:tcPr>
          <w:p w14:paraId="16C03787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(2.2)</w:t>
            </w:r>
          </w:p>
        </w:tc>
        <w:tc>
          <w:tcPr>
            <w:tcW w:w="1199" w:type="dxa"/>
            <w:gridSpan w:val="2"/>
          </w:tcPr>
          <w:p w14:paraId="671EFCC6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</w:tcPr>
          <w:p w14:paraId="2AD423C1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  <w:gridSpan w:val="2"/>
          </w:tcPr>
          <w:p w14:paraId="276C6534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</w:tcPr>
          <w:p w14:paraId="04733750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  <w:gridSpan w:val="2"/>
          </w:tcPr>
          <w:p w14:paraId="531DAD1C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103/188</w:t>
            </w:r>
          </w:p>
        </w:tc>
        <w:tc>
          <w:tcPr>
            <w:tcW w:w="1199" w:type="dxa"/>
            <w:gridSpan w:val="2"/>
          </w:tcPr>
          <w:p w14:paraId="3486FC17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(1.6)</w:t>
            </w:r>
          </w:p>
        </w:tc>
        <w:tc>
          <w:tcPr>
            <w:tcW w:w="1199" w:type="dxa"/>
          </w:tcPr>
          <w:p w14:paraId="3981CDEE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182/188</w:t>
            </w:r>
          </w:p>
        </w:tc>
        <w:tc>
          <w:tcPr>
            <w:tcW w:w="1199" w:type="dxa"/>
          </w:tcPr>
          <w:p w14:paraId="43C5F98E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-1.1 (2.7)</w:t>
            </w:r>
          </w:p>
        </w:tc>
      </w:tr>
      <w:tr w:rsidR="00A31EA3" w14:paraId="69F26629" w14:textId="77777777" w:rsidTr="003218F4">
        <w:tc>
          <w:tcPr>
            <w:tcW w:w="1960" w:type="dxa"/>
          </w:tcPr>
          <w:p w14:paraId="2BFC98CD" w14:textId="77777777" w:rsidR="00A31EA3" w:rsidRPr="00BF01CD" w:rsidRDefault="00A31EA3" w:rsidP="0032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Cycle 4 (Week 4)</w:t>
            </w:r>
          </w:p>
        </w:tc>
        <w:tc>
          <w:tcPr>
            <w:tcW w:w="1199" w:type="dxa"/>
          </w:tcPr>
          <w:p w14:paraId="147EABF8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176/182</w:t>
            </w:r>
          </w:p>
        </w:tc>
        <w:tc>
          <w:tcPr>
            <w:tcW w:w="1199" w:type="dxa"/>
          </w:tcPr>
          <w:p w14:paraId="5A98051C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C61">
              <w:rPr>
                <w:rFonts w:ascii="Times New Roman" w:hAnsi="Times New Roman" w:cs="Times New Roman"/>
                <w:sz w:val="20"/>
                <w:szCs w:val="20"/>
              </w:rPr>
              <w:t>2.4 (2.2)</w:t>
            </w:r>
          </w:p>
        </w:tc>
        <w:tc>
          <w:tcPr>
            <w:tcW w:w="1199" w:type="dxa"/>
            <w:gridSpan w:val="2"/>
          </w:tcPr>
          <w:p w14:paraId="1508EFF8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</w:tcPr>
          <w:p w14:paraId="12EACD0C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  <w:gridSpan w:val="2"/>
          </w:tcPr>
          <w:p w14:paraId="54C8F191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</w:tcPr>
          <w:p w14:paraId="3BE827F6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99" w:type="dxa"/>
            <w:gridSpan w:val="2"/>
          </w:tcPr>
          <w:p w14:paraId="5451CB81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98/182</w:t>
            </w:r>
          </w:p>
        </w:tc>
        <w:tc>
          <w:tcPr>
            <w:tcW w:w="1199" w:type="dxa"/>
            <w:gridSpan w:val="2"/>
          </w:tcPr>
          <w:p w14:paraId="60F8E41C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(1.7)</w:t>
            </w:r>
          </w:p>
        </w:tc>
        <w:tc>
          <w:tcPr>
            <w:tcW w:w="1199" w:type="dxa"/>
          </w:tcPr>
          <w:p w14:paraId="4753F49E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176/182</w:t>
            </w:r>
          </w:p>
        </w:tc>
        <w:tc>
          <w:tcPr>
            <w:tcW w:w="1199" w:type="dxa"/>
          </w:tcPr>
          <w:p w14:paraId="7ADC2132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-1.1 (2.7)</w:t>
            </w:r>
          </w:p>
        </w:tc>
      </w:tr>
      <w:tr w:rsidR="00A31EA3" w14:paraId="7DBD0672" w14:textId="77777777" w:rsidTr="003218F4">
        <w:tc>
          <w:tcPr>
            <w:tcW w:w="1960" w:type="dxa"/>
          </w:tcPr>
          <w:p w14:paraId="13461B6C" w14:textId="77777777" w:rsidR="00A31EA3" w:rsidRDefault="00A31EA3" w:rsidP="0032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 of study (Cycle 4, Week 12)</w:t>
            </w:r>
          </w:p>
        </w:tc>
        <w:tc>
          <w:tcPr>
            <w:tcW w:w="1199" w:type="dxa"/>
          </w:tcPr>
          <w:p w14:paraId="0396C0A0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176/182</w:t>
            </w:r>
          </w:p>
        </w:tc>
        <w:tc>
          <w:tcPr>
            <w:tcW w:w="1199" w:type="dxa"/>
          </w:tcPr>
          <w:p w14:paraId="49686B0E" w14:textId="77777777" w:rsidR="00A31EA3" w:rsidRPr="005D2C61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 (2.2)</w:t>
            </w:r>
          </w:p>
        </w:tc>
        <w:tc>
          <w:tcPr>
            <w:tcW w:w="1199" w:type="dxa"/>
            <w:gridSpan w:val="2"/>
          </w:tcPr>
          <w:p w14:paraId="45DFC304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93/182</w:t>
            </w:r>
          </w:p>
        </w:tc>
        <w:tc>
          <w:tcPr>
            <w:tcW w:w="1199" w:type="dxa"/>
          </w:tcPr>
          <w:p w14:paraId="34493C82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 (10.7)</w:t>
            </w:r>
          </w:p>
        </w:tc>
        <w:tc>
          <w:tcPr>
            <w:tcW w:w="1199" w:type="dxa"/>
            <w:gridSpan w:val="2"/>
          </w:tcPr>
          <w:p w14:paraId="78A308B6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93/182</w:t>
            </w:r>
          </w:p>
        </w:tc>
        <w:tc>
          <w:tcPr>
            <w:tcW w:w="1199" w:type="dxa"/>
          </w:tcPr>
          <w:p w14:paraId="219224E1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 (10.2)</w:t>
            </w:r>
          </w:p>
        </w:tc>
        <w:tc>
          <w:tcPr>
            <w:tcW w:w="1199" w:type="dxa"/>
            <w:gridSpan w:val="2"/>
          </w:tcPr>
          <w:p w14:paraId="7E9DA1D4" w14:textId="77777777" w:rsidR="00A31EA3" w:rsidRPr="00BF01CD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98/182</w:t>
            </w:r>
          </w:p>
        </w:tc>
        <w:tc>
          <w:tcPr>
            <w:tcW w:w="1199" w:type="dxa"/>
            <w:gridSpan w:val="2"/>
          </w:tcPr>
          <w:p w14:paraId="005636E8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 (1.7)</w:t>
            </w:r>
          </w:p>
        </w:tc>
        <w:tc>
          <w:tcPr>
            <w:tcW w:w="1199" w:type="dxa"/>
          </w:tcPr>
          <w:p w14:paraId="0685238C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176/182</w:t>
            </w:r>
          </w:p>
        </w:tc>
        <w:tc>
          <w:tcPr>
            <w:tcW w:w="1199" w:type="dxa"/>
          </w:tcPr>
          <w:p w14:paraId="3CB16D5B" w14:textId="77777777" w:rsidR="00A31EA3" w:rsidRDefault="00A31EA3" w:rsidP="00321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 (2.7)</w:t>
            </w:r>
          </w:p>
        </w:tc>
      </w:tr>
    </w:tbl>
    <w:p w14:paraId="57AD3AEC" w14:textId="77777777" w:rsidR="00A31EA3" w:rsidRDefault="00A31EA3" w:rsidP="00A31EA3">
      <w:pPr>
        <w:rPr>
          <w:rFonts w:ascii="Times New Roman" w:hAnsi="Times New Roman" w:cs="Times New Roman"/>
          <w:sz w:val="20"/>
          <w:szCs w:val="20"/>
        </w:rPr>
      </w:pPr>
      <w:r w:rsidRPr="00C317DC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>Item 2 of the Patient’s Assessment of Spasticity, Pain and Spasms scale.</w:t>
      </w:r>
    </w:p>
    <w:p w14:paraId="2BBA6526" w14:textId="77777777" w:rsidR="00A31EA3" w:rsidRDefault="00A31EA3" w:rsidP="00A31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912DAA">
        <w:rPr>
          <w:rFonts w:ascii="Times New Roman" w:hAnsi="Times New Roman" w:cs="Times New Roman"/>
          <w:sz w:val="20"/>
          <w:szCs w:val="20"/>
        </w:rPr>
        <w:t>Day 1 of cycle 2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12D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C72E7C" w14:textId="77777777" w:rsidR="00A31EA3" w:rsidRDefault="00A31EA3" w:rsidP="00A31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*p&lt;0.05 vs. placebo.</w:t>
      </w:r>
    </w:p>
    <w:p w14:paraId="7C4F100D" w14:textId="77777777" w:rsidR="00A31EA3" w:rsidRPr="00733FD8" w:rsidRDefault="00A31EA3" w:rsidP="00A31EA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33FD8">
        <w:rPr>
          <w:rFonts w:ascii="Times New Roman" w:hAnsi="Times New Roman" w:cs="Times New Roman"/>
          <w:sz w:val="20"/>
          <w:szCs w:val="20"/>
          <w:lang w:val="en-US"/>
        </w:rPr>
        <w:t xml:space="preserve">ANCOVA, analysis of covariance; BOCF, baseline observation carried forward;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CGI, clinical global impression; </w:t>
      </w:r>
      <w:r w:rsidRPr="00733FD8">
        <w:rPr>
          <w:rFonts w:ascii="Times New Roman" w:hAnsi="Times New Roman" w:cs="Times New Roman"/>
          <w:sz w:val="20"/>
          <w:szCs w:val="20"/>
          <w:lang w:val="en-US"/>
        </w:rPr>
        <w:t xml:space="preserve">FAS, full analysis set; LS, least squares; MP, main period;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n, number of non-missing observations; N, total number of subjects; OLEX, open-label extension period; PRS, physician’s rating scale; </w:t>
      </w:r>
      <w:r w:rsidRPr="00733FD8">
        <w:rPr>
          <w:rFonts w:ascii="Times New Roman" w:hAnsi="Times New Roman" w:cs="Times New Roman"/>
          <w:sz w:val="20"/>
          <w:szCs w:val="20"/>
          <w:lang w:val="en-US"/>
        </w:rPr>
        <w:t>SD, standard deviation; SE, standard error.</w:t>
      </w:r>
    </w:p>
    <w:p w14:paraId="695C318E" w14:textId="7BF45075" w:rsidR="00D938C1" w:rsidRDefault="00D938C1">
      <w:pPr>
        <w:rPr>
          <w:rFonts w:ascii="Times New Roman" w:hAnsi="Times New Roman" w:cs="Times New Roman"/>
          <w:sz w:val="20"/>
          <w:szCs w:val="20"/>
        </w:rPr>
      </w:pPr>
    </w:p>
    <w:p w14:paraId="66BF901F" w14:textId="2D31FC0B" w:rsidR="000E79AC" w:rsidRDefault="000E79AC">
      <w:pPr>
        <w:rPr>
          <w:rFonts w:ascii="Times New Roman" w:hAnsi="Times New Roman" w:cs="Times New Roman"/>
          <w:sz w:val="20"/>
          <w:szCs w:val="20"/>
        </w:rPr>
      </w:pPr>
    </w:p>
    <w:p w14:paraId="74F09DD8" w14:textId="77777777" w:rsidR="00A7349C" w:rsidRDefault="00A7349C">
      <w:pPr>
        <w:rPr>
          <w:rFonts w:ascii="Times New Roman" w:hAnsi="Times New Roman" w:cs="Times New Roman"/>
          <w:sz w:val="20"/>
          <w:szCs w:val="20"/>
        </w:rPr>
        <w:sectPr w:rsidR="00A7349C" w:rsidSect="00D938C1">
          <w:pgSz w:w="16840" w:h="1190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DE45730" w14:textId="2233C1C4" w:rsidR="00A7349C" w:rsidRPr="008023A4" w:rsidRDefault="00A7349C" w:rsidP="00A7349C">
      <w:pPr>
        <w:pStyle w:val="2ndlevelbullet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8023A4">
        <w:rPr>
          <w:rFonts w:ascii="Times New Roman" w:hAnsi="Times New Roman"/>
          <w:b/>
          <w:sz w:val="24"/>
          <w:szCs w:val="24"/>
          <w:lang w:val="en-US"/>
        </w:rPr>
        <w:lastRenderedPageBreak/>
        <w:t>Table S</w:t>
      </w:r>
      <w:r w:rsidR="003744D1">
        <w:rPr>
          <w:rFonts w:ascii="Times New Roman" w:hAnsi="Times New Roman"/>
          <w:b/>
          <w:sz w:val="24"/>
          <w:szCs w:val="24"/>
          <w:lang w:val="en-US"/>
        </w:rPr>
        <w:t>3</w:t>
      </w:r>
      <w:r w:rsidRPr="008023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023A4">
        <w:rPr>
          <w:rFonts w:ascii="Times New Roman" w:hAnsi="Times New Roman"/>
          <w:bCs/>
          <w:sz w:val="24"/>
          <w:szCs w:val="24"/>
          <w:lang w:val="en-US"/>
        </w:rPr>
        <w:t>AEs reported in the OLEX according to the length of injection cycles 2 and 3 (SES)</w:t>
      </w:r>
      <w:r w:rsidRPr="008023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pPr w:leftFromText="180" w:rightFromText="180" w:vertAnchor="text" w:horzAnchor="margin" w:tblpY="106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A7349C" w:rsidRPr="008023A4" w14:paraId="68171F3D" w14:textId="77777777" w:rsidTr="008329F2">
        <w:trPr>
          <w:trHeight w:val="19"/>
        </w:trPr>
        <w:tc>
          <w:tcPr>
            <w:tcW w:w="248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F19FAF" w14:textId="77777777" w:rsidR="00A7349C" w:rsidRPr="008023A4" w:rsidRDefault="00A7349C" w:rsidP="008329F2">
            <w:pPr>
              <w:spacing w:after="12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F87CED9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23A4">
              <w:rPr>
                <w:rFonts w:ascii="Times New Roman" w:hAnsi="Times New Roman" w:cs="Times New Roman"/>
                <w:b/>
                <w:lang w:val="en-US"/>
              </w:rPr>
              <w:t>Length of injection Cycles 2 and 3</w:t>
            </w:r>
          </w:p>
        </w:tc>
      </w:tr>
      <w:tr w:rsidR="00A7349C" w:rsidRPr="008023A4" w14:paraId="65174A6A" w14:textId="77777777" w:rsidTr="008329F2">
        <w:trPr>
          <w:trHeight w:val="19"/>
        </w:trPr>
        <w:tc>
          <w:tcPr>
            <w:tcW w:w="24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66124" w14:textId="77777777" w:rsidR="00A7349C" w:rsidRPr="008023A4" w:rsidRDefault="00A7349C" w:rsidP="008329F2">
            <w:pPr>
              <w:spacing w:after="12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right w:val="nil"/>
            </w:tcBorders>
          </w:tcPr>
          <w:p w14:paraId="27999731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23A4">
              <w:rPr>
                <w:rFonts w:ascii="Times New Roman" w:hAnsi="Times New Roman" w:cs="Times New Roman"/>
                <w:b/>
                <w:lang w:val="en-US"/>
              </w:rPr>
              <w:t>10 weeks</w:t>
            </w:r>
          </w:p>
          <w:p w14:paraId="4A4A08F8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23A4">
              <w:rPr>
                <w:rFonts w:ascii="Times New Roman" w:hAnsi="Times New Roman" w:cs="Times New Roman"/>
                <w:b/>
                <w:lang w:val="en-US"/>
              </w:rPr>
              <w:t>(N = 117)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right w:val="nil"/>
            </w:tcBorders>
          </w:tcPr>
          <w:p w14:paraId="1546E797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23A4">
              <w:rPr>
                <w:rFonts w:ascii="Times New Roman" w:hAnsi="Times New Roman" w:cs="Times New Roman"/>
                <w:b/>
                <w:lang w:val="en-US"/>
              </w:rPr>
              <w:t>&gt;10–12 weeks</w:t>
            </w:r>
          </w:p>
          <w:p w14:paraId="5C2F48FF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023A4">
              <w:rPr>
                <w:rFonts w:ascii="Times New Roman" w:hAnsi="Times New Roman" w:cs="Times New Roman"/>
                <w:b/>
                <w:lang w:val="en-US"/>
              </w:rPr>
              <w:t>(N = 14)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right w:val="nil"/>
            </w:tcBorders>
          </w:tcPr>
          <w:p w14:paraId="1D1040DF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23A4">
              <w:rPr>
                <w:rFonts w:ascii="Times New Roman" w:hAnsi="Times New Roman" w:cs="Times New Roman"/>
                <w:b/>
                <w:lang w:val="en-US"/>
              </w:rPr>
              <w:t>&gt;12–14 weeks</w:t>
            </w:r>
          </w:p>
          <w:p w14:paraId="13956383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23A4">
              <w:rPr>
                <w:rFonts w:ascii="Times New Roman" w:hAnsi="Times New Roman" w:cs="Times New Roman"/>
                <w:b/>
                <w:lang w:val="en-US"/>
              </w:rPr>
              <w:t>(N = 6)</w:t>
            </w:r>
          </w:p>
        </w:tc>
      </w:tr>
      <w:tr w:rsidR="00A7349C" w:rsidRPr="008023A4" w14:paraId="5B8E1CCD" w14:textId="77777777" w:rsidTr="008329F2">
        <w:trPr>
          <w:trHeight w:val="19"/>
        </w:trPr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8EBCB1" w14:textId="77777777" w:rsidR="00A7349C" w:rsidRPr="008023A4" w:rsidRDefault="00A7349C" w:rsidP="008329F2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Subjects with at least one AE, n (%)</w:t>
            </w:r>
          </w:p>
        </w:tc>
        <w:tc>
          <w:tcPr>
            <w:tcW w:w="2481" w:type="dxa"/>
            <w:tcBorders>
              <w:left w:val="nil"/>
              <w:right w:val="nil"/>
            </w:tcBorders>
          </w:tcPr>
          <w:p w14:paraId="03E9B9A2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hAnsi="Times New Roman" w:cs="Times New Roman"/>
                <w:color w:val="000000"/>
              </w:rPr>
              <w:t>74 (63.2)</w:t>
            </w:r>
          </w:p>
        </w:tc>
        <w:tc>
          <w:tcPr>
            <w:tcW w:w="2481" w:type="dxa"/>
            <w:tcBorders>
              <w:left w:val="nil"/>
              <w:right w:val="nil"/>
            </w:tcBorders>
          </w:tcPr>
          <w:p w14:paraId="38831B79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12 (85.7)</w:t>
            </w:r>
          </w:p>
        </w:tc>
        <w:tc>
          <w:tcPr>
            <w:tcW w:w="2481" w:type="dxa"/>
            <w:tcBorders>
              <w:left w:val="nil"/>
              <w:right w:val="nil"/>
            </w:tcBorders>
          </w:tcPr>
          <w:p w14:paraId="18C1BD76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6 (100.0)</w:t>
            </w:r>
          </w:p>
        </w:tc>
      </w:tr>
      <w:tr w:rsidR="00A7349C" w:rsidRPr="008023A4" w14:paraId="3FA0CE75" w14:textId="77777777" w:rsidTr="008329F2">
        <w:trPr>
          <w:trHeight w:val="19"/>
        </w:trPr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3C281" w14:textId="77777777" w:rsidR="00A7349C" w:rsidRPr="008023A4" w:rsidRDefault="00A7349C" w:rsidP="008329F2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Serious AEs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79CD7F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5 (4.3)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CD33B7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(7.1)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45BE42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(16.7)</w:t>
            </w:r>
          </w:p>
        </w:tc>
      </w:tr>
      <w:tr w:rsidR="00A7349C" w:rsidRPr="008023A4" w14:paraId="549D5572" w14:textId="77777777" w:rsidTr="008329F2">
        <w:trPr>
          <w:trHeight w:val="19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1D283C" w14:textId="77777777" w:rsidR="00A7349C" w:rsidRPr="008023A4" w:rsidRDefault="00A7349C" w:rsidP="008329F2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Treatment-related AEs</w:t>
            </w:r>
          </w:p>
        </w:tc>
      </w:tr>
      <w:tr w:rsidR="00A7349C" w:rsidRPr="008023A4" w14:paraId="32BFA7A2" w14:textId="77777777" w:rsidTr="008329F2">
        <w:trPr>
          <w:trHeight w:val="19"/>
        </w:trPr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E3D37A" w14:textId="77777777" w:rsidR="00A7349C" w:rsidRPr="008023A4" w:rsidRDefault="00A7349C" w:rsidP="008329F2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Subjects with at least one treatment-related AE, n (%)</w:t>
            </w:r>
          </w:p>
        </w:tc>
        <w:tc>
          <w:tcPr>
            <w:tcW w:w="2481" w:type="dxa"/>
            <w:tcBorders>
              <w:left w:val="nil"/>
              <w:bottom w:val="nil"/>
              <w:right w:val="nil"/>
            </w:tcBorders>
          </w:tcPr>
          <w:p w14:paraId="6934B9B9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5 (4.3)</w:t>
            </w:r>
          </w:p>
        </w:tc>
        <w:tc>
          <w:tcPr>
            <w:tcW w:w="2481" w:type="dxa"/>
            <w:tcBorders>
              <w:left w:val="nil"/>
              <w:bottom w:val="nil"/>
              <w:right w:val="nil"/>
            </w:tcBorders>
          </w:tcPr>
          <w:p w14:paraId="26C5D636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3 (21.4)</w:t>
            </w:r>
          </w:p>
        </w:tc>
        <w:tc>
          <w:tcPr>
            <w:tcW w:w="2481" w:type="dxa"/>
            <w:tcBorders>
              <w:left w:val="nil"/>
              <w:bottom w:val="nil"/>
              <w:right w:val="nil"/>
            </w:tcBorders>
          </w:tcPr>
          <w:p w14:paraId="0EB78D98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(16.7)</w:t>
            </w:r>
          </w:p>
        </w:tc>
      </w:tr>
      <w:tr w:rsidR="00A7349C" w:rsidRPr="008023A4" w14:paraId="6D77F501" w14:textId="77777777" w:rsidTr="008329F2">
        <w:trPr>
          <w:trHeight w:val="19"/>
        </w:trPr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8EBA27" w14:textId="77777777" w:rsidR="00A7349C" w:rsidRPr="008023A4" w:rsidRDefault="00A7349C" w:rsidP="008329F2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Serious treatment-related AEs</w:t>
            </w:r>
          </w:p>
        </w:tc>
        <w:tc>
          <w:tcPr>
            <w:tcW w:w="2481" w:type="dxa"/>
            <w:tcBorders>
              <w:left w:val="nil"/>
              <w:bottom w:val="nil"/>
              <w:right w:val="nil"/>
            </w:tcBorders>
          </w:tcPr>
          <w:p w14:paraId="6788753C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left w:val="nil"/>
              <w:bottom w:val="nil"/>
              <w:right w:val="nil"/>
            </w:tcBorders>
          </w:tcPr>
          <w:p w14:paraId="79065D6E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left w:val="nil"/>
              <w:bottom w:val="nil"/>
              <w:right w:val="nil"/>
            </w:tcBorders>
          </w:tcPr>
          <w:p w14:paraId="043B2E9D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A7349C" w:rsidRPr="008023A4" w14:paraId="04A02114" w14:textId="77777777" w:rsidTr="008329F2">
        <w:trPr>
          <w:trHeight w:val="19"/>
        </w:trPr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FF1B81" w14:textId="77777777" w:rsidR="00A7349C" w:rsidRPr="008023A4" w:rsidRDefault="00A7349C" w:rsidP="008329F2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Pollakiuria</w:t>
            </w:r>
          </w:p>
        </w:tc>
        <w:tc>
          <w:tcPr>
            <w:tcW w:w="2481" w:type="dxa"/>
            <w:tcBorders>
              <w:left w:val="nil"/>
              <w:bottom w:val="nil"/>
              <w:right w:val="nil"/>
            </w:tcBorders>
          </w:tcPr>
          <w:p w14:paraId="2ECEEC52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(0.9)</w:t>
            </w:r>
          </w:p>
        </w:tc>
        <w:tc>
          <w:tcPr>
            <w:tcW w:w="2481" w:type="dxa"/>
            <w:tcBorders>
              <w:left w:val="nil"/>
              <w:bottom w:val="nil"/>
              <w:right w:val="nil"/>
            </w:tcBorders>
          </w:tcPr>
          <w:p w14:paraId="534CD211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left w:val="nil"/>
              <w:bottom w:val="nil"/>
              <w:right w:val="nil"/>
            </w:tcBorders>
          </w:tcPr>
          <w:p w14:paraId="4523AC91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A7349C" w:rsidRPr="008023A4" w14:paraId="6FABF187" w14:textId="77777777" w:rsidTr="008329F2">
        <w:trPr>
          <w:trHeight w:val="1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1AD0C" w14:textId="77777777" w:rsidR="00A7349C" w:rsidRPr="008023A4" w:rsidRDefault="00A7349C" w:rsidP="008329F2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Urinary retention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3CF8625A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(0.9)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1FE1EAFE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3900D303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A7349C" w:rsidRPr="008023A4" w14:paraId="3A43D3BE" w14:textId="77777777" w:rsidTr="008329F2">
        <w:trPr>
          <w:trHeight w:val="1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C746" w14:textId="77777777" w:rsidR="00A7349C" w:rsidRPr="008023A4" w:rsidRDefault="00A7349C" w:rsidP="008329F2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8023A4">
              <w:rPr>
                <w:rFonts w:ascii="Times New Roman" w:hAnsi="Times New Roman" w:cs="Times New Roman"/>
                <w:lang w:val="en-US"/>
              </w:rPr>
              <w:t>Blood creatine phosphokinase increased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52B28C64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(0.9)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26C0A881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480D1DFA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A7349C" w:rsidRPr="008023A4" w14:paraId="2453ECDB" w14:textId="77777777" w:rsidTr="008329F2">
        <w:trPr>
          <w:trHeight w:val="1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EE448" w14:textId="77777777" w:rsidR="00A7349C" w:rsidRPr="008023A4" w:rsidRDefault="00A7349C" w:rsidP="008329F2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8023A4">
              <w:rPr>
                <w:rFonts w:ascii="Times New Roman" w:hAnsi="Times New Roman" w:cs="Times New Roman"/>
                <w:lang w:val="en-US"/>
              </w:rPr>
              <w:t>Arthralgia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57288A34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(0.9)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494AC3E2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54498A85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A7349C" w:rsidRPr="008023A4" w14:paraId="1C9284BF" w14:textId="77777777" w:rsidTr="008329F2">
        <w:trPr>
          <w:trHeight w:val="1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24D8C" w14:textId="77777777" w:rsidR="00A7349C" w:rsidRPr="008023A4" w:rsidRDefault="00A7349C" w:rsidP="008329F2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8023A4">
              <w:rPr>
                <w:rFonts w:ascii="Times New Roman" w:hAnsi="Times New Roman" w:cs="Times New Roman"/>
                <w:lang w:val="en-US"/>
              </w:rPr>
              <w:t>Muscular weakness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4D55D258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(0.9)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707355AE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(7.1)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13AADAA4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A7349C" w:rsidRPr="008023A4" w14:paraId="55B1145F" w14:textId="77777777" w:rsidTr="008329F2">
        <w:trPr>
          <w:trHeight w:val="1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4B95" w14:textId="77777777" w:rsidR="00A7349C" w:rsidRPr="008023A4" w:rsidRDefault="00A7349C" w:rsidP="008329F2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8023A4">
              <w:rPr>
                <w:rFonts w:ascii="Times New Roman" w:hAnsi="Times New Roman" w:cs="Times New Roman"/>
                <w:lang w:val="en-US"/>
              </w:rPr>
              <w:t>Limb discomfort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328F75D0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44A76881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2 (14.3)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656102B0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A7349C" w:rsidRPr="008023A4" w14:paraId="63397889" w14:textId="77777777" w:rsidTr="008329F2">
        <w:trPr>
          <w:trHeight w:val="1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752B6" w14:textId="77777777" w:rsidR="00A7349C" w:rsidRPr="008023A4" w:rsidRDefault="00A7349C" w:rsidP="008329F2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8023A4">
              <w:rPr>
                <w:rFonts w:ascii="Times New Roman" w:hAnsi="Times New Roman" w:cs="Times New Roman"/>
                <w:lang w:val="en-US"/>
              </w:rPr>
              <w:t>Hemorrhage subcutaneous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67DCCD8E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(0.9)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1CC6BEB1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0F8E5AAE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A7349C" w:rsidRPr="008023A4" w14:paraId="15056A22" w14:textId="77777777" w:rsidTr="008329F2">
        <w:trPr>
          <w:trHeight w:val="19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D209DF" w14:textId="77777777" w:rsidR="00A7349C" w:rsidRPr="008023A4" w:rsidRDefault="00A7349C" w:rsidP="008329F2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8023A4">
              <w:rPr>
                <w:rFonts w:ascii="Times New Roman" w:hAnsi="Times New Roman" w:cs="Times New Roman"/>
                <w:lang w:val="en-US"/>
              </w:rPr>
              <w:t>Pain in extremity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16B48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D76A1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CF7A6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(16.7)</w:t>
            </w:r>
          </w:p>
        </w:tc>
      </w:tr>
      <w:tr w:rsidR="00A7349C" w:rsidRPr="008023A4" w14:paraId="2BC60A00" w14:textId="77777777" w:rsidTr="008329F2">
        <w:trPr>
          <w:trHeight w:val="95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55121" w14:textId="77777777" w:rsidR="00A7349C" w:rsidRPr="008023A4" w:rsidRDefault="00A7349C" w:rsidP="008329F2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AESIs</w:t>
            </w:r>
          </w:p>
        </w:tc>
      </w:tr>
      <w:tr w:rsidR="00A7349C" w:rsidRPr="008023A4" w14:paraId="2808E8BF" w14:textId="77777777" w:rsidTr="008329F2">
        <w:trPr>
          <w:trHeight w:val="95"/>
        </w:trPr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7A5F84" w14:textId="77777777" w:rsidR="00A7349C" w:rsidRPr="008023A4" w:rsidRDefault="00A7349C" w:rsidP="008329F2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Subjects with at least one AESI, n (%)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F29A9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4 (3.4)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E2903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(7.1)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83227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(16.7)</w:t>
            </w:r>
          </w:p>
        </w:tc>
      </w:tr>
      <w:tr w:rsidR="00A7349C" w:rsidRPr="008023A4" w14:paraId="7CABF2D7" w14:textId="77777777" w:rsidTr="008329F2">
        <w:trPr>
          <w:trHeight w:val="9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5B469" w14:textId="77777777" w:rsidR="00A7349C" w:rsidRPr="008023A4" w:rsidRDefault="00A7349C" w:rsidP="008329F2">
            <w:pPr>
              <w:spacing w:after="120"/>
              <w:rPr>
                <w:rFonts w:ascii="Times New Roman" w:hAnsi="Times New Roman" w:cs="Times New Roman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Muscular weakness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397715DC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(0.9)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288E5A30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(7.1)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78269EED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A7349C" w:rsidRPr="008023A4" w14:paraId="0BA7C717" w14:textId="77777777" w:rsidTr="008329F2">
        <w:trPr>
          <w:trHeight w:val="9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0EF9" w14:textId="77777777" w:rsidR="00A7349C" w:rsidRPr="008023A4" w:rsidRDefault="00A7349C" w:rsidP="008329F2">
            <w:pPr>
              <w:spacing w:after="120"/>
              <w:rPr>
                <w:rFonts w:ascii="Times New Roman" w:hAnsi="Times New Roman" w:cs="Times New Roman"/>
              </w:rPr>
            </w:pPr>
            <w:r w:rsidRPr="008023A4">
              <w:rPr>
                <w:rFonts w:ascii="Times New Roman" w:hAnsi="Times New Roman" w:cs="Times New Roman"/>
              </w:rPr>
              <w:t>Constipation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109B63D1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(0.9)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3450F80F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 xml:space="preserve">0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21491498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A7349C" w:rsidRPr="008023A4" w14:paraId="536B7D50" w14:textId="77777777" w:rsidTr="008329F2">
        <w:trPr>
          <w:trHeight w:val="9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D75DA" w14:textId="77777777" w:rsidR="00A7349C" w:rsidRPr="008023A4" w:rsidRDefault="00A7349C" w:rsidP="008329F2">
            <w:pPr>
              <w:spacing w:after="120"/>
              <w:rPr>
                <w:rFonts w:ascii="Times New Roman" w:hAnsi="Times New Roman" w:cs="Times New Roman"/>
              </w:rPr>
            </w:pPr>
            <w:r w:rsidRPr="008023A4">
              <w:rPr>
                <w:rFonts w:ascii="Times New Roman" w:hAnsi="Times New Roman" w:cs="Times New Roman"/>
              </w:rPr>
              <w:t>Dysphagia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53EF0463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(0.9)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13881BCA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679ED558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A7349C" w:rsidRPr="008023A4" w14:paraId="7C9A6887" w14:textId="77777777" w:rsidTr="008329F2">
        <w:trPr>
          <w:trHeight w:val="9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358ED" w14:textId="77777777" w:rsidR="00A7349C" w:rsidRPr="008023A4" w:rsidRDefault="00A7349C" w:rsidP="008329F2">
            <w:pPr>
              <w:spacing w:after="120"/>
              <w:rPr>
                <w:rFonts w:ascii="Times New Roman" w:hAnsi="Times New Roman" w:cs="Times New Roman"/>
              </w:rPr>
            </w:pPr>
            <w:r w:rsidRPr="008023A4">
              <w:rPr>
                <w:rFonts w:ascii="Times New Roman" w:hAnsi="Times New Roman" w:cs="Times New Roman"/>
              </w:rPr>
              <w:t>Urinary retention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44676765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(0.9)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4DF66BBA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018F96D7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A7349C" w:rsidRPr="008023A4" w14:paraId="3C6FB67C" w14:textId="77777777" w:rsidTr="008329F2">
        <w:trPr>
          <w:trHeight w:val="9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90C9D" w14:textId="77777777" w:rsidR="00A7349C" w:rsidRPr="008023A4" w:rsidRDefault="00A7349C" w:rsidP="008329F2">
            <w:pPr>
              <w:spacing w:after="120"/>
              <w:rPr>
                <w:rFonts w:ascii="Times New Roman" w:hAnsi="Times New Roman" w:cs="Times New Roman"/>
              </w:rPr>
            </w:pPr>
            <w:r w:rsidRPr="008023A4">
              <w:rPr>
                <w:rFonts w:ascii="Times New Roman" w:hAnsi="Times New Roman" w:cs="Times New Roman"/>
              </w:rPr>
              <w:t>Dyspnea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5255B4EE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(0.9)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3D0AFCC2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698F6056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A7349C" w:rsidRPr="008023A4" w14:paraId="40BC66BB" w14:textId="77777777" w:rsidTr="008329F2">
        <w:trPr>
          <w:trHeight w:val="9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87476" w14:textId="77777777" w:rsidR="00A7349C" w:rsidRPr="008023A4" w:rsidRDefault="00A7349C" w:rsidP="008329F2">
            <w:pPr>
              <w:spacing w:after="120"/>
              <w:rPr>
                <w:rFonts w:ascii="Times New Roman" w:hAnsi="Times New Roman" w:cs="Times New Roman"/>
              </w:rPr>
            </w:pPr>
            <w:r w:rsidRPr="008023A4">
              <w:rPr>
                <w:rFonts w:ascii="Times New Roman" w:hAnsi="Times New Roman" w:cs="Times New Roman"/>
              </w:rPr>
              <w:t>Cranial nerve paralysis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53589C4C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0970E9C0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4BC431EE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(16.7)</w:t>
            </w:r>
          </w:p>
        </w:tc>
      </w:tr>
      <w:tr w:rsidR="00A7349C" w:rsidRPr="008023A4" w14:paraId="48FC8488" w14:textId="77777777" w:rsidTr="008329F2">
        <w:trPr>
          <w:trHeight w:val="9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DE3A9" w14:textId="77777777" w:rsidR="00A7349C" w:rsidRPr="008023A4" w:rsidRDefault="00A7349C" w:rsidP="008329F2">
            <w:pPr>
              <w:spacing w:after="120"/>
              <w:rPr>
                <w:rFonts w:ascii="Times New Roman" w:hAnsi="Times New Roman" w:cs="Times New Roman"/>
              </w:rPr>
            </w:pPr>
            <w:r w:rsidRPr="008023A4">
              <w:rPr>
                <w:rFonts w:ascii="Times New Roman" w:hAnsi="Times New Roman" w:cs="Times New Roman"/>
              </w:rPr>
              <w:t>Hemiparesis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38810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79419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94518" w14:textId="77777777" w:rsidR="00A7349C" w:rsidRPr="008023A4" w:rsidRDefault="00A7349C" w:rsidP="008329F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23A4">
              <w:rPr>
                <w:rFonts w:ascii="Times New Roman" w:eastAsia="Times New Roman" w:hAnsi="Times New Roman" w:cs="Times New Roman"/>
                <w:lang w:val="en-US"/>
              </w:rPr>
              <w:t>1 (16.7)</w:t>
            </w:r>
          </w:p>
        </w:tc>
      </w:tr>
    </w:tbl>
    <w:p w14:paraId="1A7534F1" w14:textId="77777777" w:rsidR="00A7349C" w:rsidRPr="00C052EA" w:rsidRDefault="00A7349C" w:rsidP="00A7349C">
      <w:pPr>
        <w:pStyle w:val="2ndlevelbullet"/>
        <w:numPr>
          <w:ilvl w:val="0"/>
          <w:numId w:val="0"/>
        </w:numPr>
        <w:rPr>
          <w:rFonts w:ascii="Times New Roman" w:hAnsi="Times New Roman"/>
          <w:sz w:val="24"/>
          <w:szCs w:val="24"/>
          <w:lang w:val="en-US"/>
        </w:rPr>
      </w:pPr>
      <w:r w:rsidRPr="008023A4">
        <w:rPr>
          <w:rFonts w:ascii="Times New Roman" w:hAnsi="Times New Roman"/>
          <w:sz w:val="24"/>
          <w:szCs w:val="24"/>
          <w:lang w:val="en-US"/>
        </w:rPr>
        <w:lastRenderedPageBreak/>
        <w:t>AE, adverse event; AESI, adverse event of special interest; N, number of subjects in each group; n, number of subjects in the given category; OLEX, open-label extension period; SES, safety evaluation set.</w:t>
      </w:r>
    </w:p>
    <w:p w14:paraId="1D7CCBBB" w14:textId="77777777" w:rsidR="00A7349C" w:rsidRDefault="00A7349C" w:rsidP="00A7349C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7A09807" w14:textId="77777777" w:rsidR="00A7349C" w:rsidRDefault="00A7349C" w:rsidP="00A7349C">
      <w:pPr>
        <w:spacing w:after="160"/>
        <w:rPr>
          <w:rFonts w:ascii="Times New Roman" w:hAnsi="Times New Roman" w:cs="Times New Roman"/>
          <w:lang w:val="en-US"/>
        </w:rPr>
      </w:pPr>
      <w:r w:rsidRPr="008023A4">
        <w:rPr>
          <w:rFonts w:ascii="Times New Roman" w:hAnsi="Times New Roman" w:cs="Times New Roman"/>
          <w:b/>
          <w:bCs/>
          <w:lang w:val="en-US"/>
        </w:rPr>
        <w:lastRenderedPageBreak/>
        <w:t>Fig. S1</w:t>
      </w:r>
      <w:r w:rsidRPr="008023A4">
        <w:rPr>
          <w:rFonts w:ascii="Times New Roman" w:hAnsi="Times New Roman" w:cs="Times New Roman"/>
          <w:lang w:val="en-US"/>
        </w:rPr>
        <w:t xml:space="preserve"> Mean change in MAS-PF from baseline (Day 1) to Week 4 after each incobotulinumtoxinA injection in the OLEX (FAS)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46F52F3E" w14:textId="77777777" w:rsidR="00A7349C" w:rsidRDefault="00A7349C" w:rsidP="00A7349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1A321C8" wp14:editId="1A53D904">
            <wp:extent cx="5731510" cy="4125595"/>
            <wp:effectExtent l="0" t="0" r="2540" b="8255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163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FAS, full analysis set; </w:t>
      </w:r>
      <w:r w:rsidRPr="008B54C9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AS-PF</w:t>
      </w:r>
      <w:r w:rsidRPr="008B54C9">
        <w:rPr>
          <w:rFonts w:ascii="Times New Roman" w:hAnsi="Times New Roman" w:cs="Times New Roman"/>
          <w:lang w:val="en-US"/>
        </w:rPr>
        <w:t xml:space="preserve">, </w:t>
      </w:r>
      <w:r w:rsidRPr="006D3B97">
        <w:rPr>
          <w:rFonts w:ascii="Times New Roman" w:hAnsi="Times New Roman" w:cs="Times New Roman"/>
          <w:lang w:val="en-US"/>
        </w:rPr>
        <w:t>Modified</w:t>
      </w:r>
      <w:r w:rsidRPr="00FB0B23">
        <w:rPr>
          <w:rFonts w:ascii="Times New Roman" w:hAnsi="Times New Roman"/>
          <w:lang w:val="en-US"/>
        </w:rPr>
        <w:t xml:space="preserve"> Ashworth Scale spasticity score for the plantar flexors</w:t>
      </w:r>
      <w:r w:rsidRPr="008B54C9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  <w:lang w:val="en-US"/>
        </w:rPr>
        <w:t>OLEX, open-label extension period.</w:t>
      </w:r>
    </w:p>
    <w:p w14:paraId="47222A2D" w14:textId="77777777" w:rsidR="00A7349C" w:rsidRDefault="00A7349C" w:rsidP="00A7349C">
      <w:pPr>
        <w:spacing w:after="160" w:line="259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04B8D339" w14:textId="77777777" w:rsidR="00A7349C" w:rsidRDefault="00A7349C" w:rsidP="00A7349C">
      <w:pPr>
        <w:spacing w:after="160"/>
        <w:rPr>
          <w:rFonts w:ascii="Times New Roman" w:hAnsi="Times New Roman" w:cs="Times New Roman"/>
          <w:lang w:val="en-US"/>
        </w:rPr>
      </w:pPr>
      <w:r w:rsidRPr="008023A4">
        <w:rPr>
          <w:rFonts w:ascii="Times New Roman" w:hAnsi="Times New Roman" w:cs="Times New Roman"/>
          <w:b/>
          <w:bCs/>
          <w:lang w:val="en-US"/>
        </w:rPr>
        <w:lastRenderedPageBreak/>
        <w:t>Fig. S2</w:t>
      </w:r>
      <w:r w:rsidRPr="008023A4">
        <w:rPr>
          <w:rFonts w:ascii="Times New Roman" w:hAnsi="Times New Roman" w:cs="Times New Roman"/>
          <w:lang w:val="en-US"/>
        </w:rPr>
        <w:t xml:space="preserve"> Change in MAS-PF from baseline (Day 1) to Week 4 after each incobotulinumtoxinA injection in the OLEX according to the length of the first and second OLEX injection cycles for patients with</w:t>
      </w:r>
      <w:r w:rsidRPr="008023A4">
        <w:rPr>
          <w:rFonts w:ascii="Times New Roman" w:hAnsi="Times New Roman"/>
          <w:lang w:val="en-US"/>
        </w:rPr>
        <w:t xml:space="preserve"> the same cycle length for these two injection cycles</w:t>
      </w:r>
      <w:r w:rsidRPr="008023A4">
        <w:rPr>
          <w:rFonts w:ascii="Times New Roman" w:hAnsi="Times New Roman" w:cs="Times New Roman"/>
          <w:lang w:val="en-US"/>
        </w:rPr>
        <w:t xml:space="preserve"> (FAS)</w:t>
      </w:r>
    </w:p>
    <w:p w14:paraId="418BE123" w14:textId="77777777" w:rsidR="00A7349C" w:rsidRDefault="00A7349C" w:rsidP="00A7349C">
      <w:pPr>
        <w:jc w:val="both"/>
        <w:rPr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DB91C89" wp14:editId="61888271">
            <wp:extent cx="5731510" cy="3728085"/>
            <wp:effectExtent l="0" t="0" r="2540" b="5715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8D4BB" w14:textId="77777777" w:rsidR="00A7349C" w:rsidRDefault="00A7349C" w:rsidP="00A7349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FAS, full analysis set; </w:t>
      </w:r>
      <w:r w:rsidRPr="008B54C9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AS-PF</w:t>
      </w:r>
      <w:r w:rsidRPr="008B54C9">
        <w:rPr>
          <w:rFonts w:ascii="Times New Roman" w:hAnsi="Times New Roman" w:cs="Times New Roman"/>
          <w:lang w:val="en-US"/>
        </w:rPr>
        <w:t xml:space="preserve">, </w:t>
      </w:r>
      <w:r w:rsidRPr="006D3B97">
        <w:rPr>
          <w:rFonts w:ascii="Times New Roman" w:hAnsi="Times New Roman" w:cs="Times New Roman"/>
          <w:lang w:val="en-US"/>
        </w:rPr>
        <w:t>Modified</w:t>
      </w:r>
      <w:r w:rsidRPr="00FB0B23">
        <w:rPr>
          <w:rFonts w:ascii="Times New Roman" w:hAnsi="Times New Roman"/>
          <w:lang w:val="en-US"/>
        </w:rPr>
        <w:t xml:space="preserve"> Ashworth Scale spasticity score for the plantar flexors</w:t>
      </w:r>
      <w:r w:rsidRPr="008B54C9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  <w:lang w:val="en-US"/>
        </w:rPr>
        <w:t>OLEX, open-label extension period.</w:t>
      </w:r>
    </w:p>
    <w:p w14:paraId="3B15DBAE" w14:textId="77777777" w:rsidR="00A7349C" w:rsidRDefault="00A7349C" w:rsidP="00A7349C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0998291" w14:textId="77777777" w:rsidR="00A7349C" w:rsidRDefault="00A7349C" w:rsidP="00A7349C">
      <w:pPr>
        <w:spacing w:after="160"/>
        <w:rPr>
          <w:rFonts w:ascii="Times New Roman" w:hAnsi="Times New Roman" w:cs="Times New Roman"/>
          <w:lang w:val="en-US"/>
        </w:rPr>
      </w:pPr>
      <w:r w:rsidRPr="008023A4">
        <w:rPr>
          <w:rFonts w:ascii="Times New Roman" w:hAnsi="Times New Roman" w:cs="Times New Roman"/>
          <w:b/>
          <w:bCs/>
          <w:lang w:val="en-US"/>
        </w:rPr>
        <w:lastRenderedPageBreak/>
        <w:t>Fig. S3</w:t>
      </w:r>
      <w:r w:rsidRPr="008023A4">
        <w:rPr>
          <w:rFonts w:ascii="Times New Roman" w:hAnsi="Times New Roman" w:cs="Times New Roman"/>
          <w:lang w:val="en-US"/>
        </w:rPr>
        <w:t xml:space="preserve"> Change in investigator’s CGI score from baseline (Day 1) to Weeks 4 and 12 in the MP, and to Week 4 after each incobotulinumtoxinA injection in the OLEX (FAS, BOCF for MP)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2C32E525" w14:textId="77777777" w:rsidR="00A7349C" w:rsidRDefault="00A7349C" w:rsidP="00A7349C">
      <w:pPr>
        <w:spacing w:after="160" w:line="259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D011E9D" wp14:editId="3F0046A6">
            <wp:extent cx="5731510" cy="38163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D8892" w14:textId="77777777" w:rsidR="00A7349C" w:rsidRDefault="00A7349C" w:rsidP="00A7349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BOCF, baseline observation carried forward; CGI, clinical global impression</w:t>
      </w:r>
      <w:r w:rsidRPr="008B54C9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FAS, full analysis set; MP, main period; OLEX, open-label extension period; SD, standard deviation.</w:t>
      </w:r>
    </w:p>
    <w:p w14:paraId="4BBD117F" w14:textId="77777777" w:rsidR="00A7349C" w:rsidRDefault="00A7349C" w:rsidP="00A7349C">
      <w:pPr>
        <w:spacing w:after="160" w:line="259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2F55016A" w14:textId="77777777" w:rsidR="00A7349C" w:rsidRDefault="00A7349C" w:rsidP="00A7349C">
      <w:pPr>
        <w:spacing w:after="160"/>
        <w:rPr>
          <w:rFonts w:ascii="Times New Roman" w:hAnsi="Times New Roman" w:cs="Times New Roman"/>
          <w:lang w:val="en-US"/>
        </w:rPr>
      </w:pPr>
      <w:r w:rsidRPr="008023A4">
        <w:rPr>
          <w:rFonts w:ascii="Times New Roman" w:hAnsi="Times New Roman" w:cs="Times New Roman"/>
          <w:b/>
          <w:bCs/>
          <w:lang w:val="en-US"/>
        </w:rPr>
        <w:lastRenderedPageBreak/>
        <w:t>Fig. S4</w:t>
      </w:r>
      <w:r w:rsidRPr="008023A4">
        <w:rPr>
          <w:rFonts w:ascii="Times New Roman" w:hAnsi="Times New Roman" w:cs="Times New Roman"/>
          <w:lang w:val="en-US"/>
        </w:rPr>
        <w:t xml:space="preserve"> Change in total gait PRS score from baseline (Day 1) to Weeks 4, 8 and 12 in the MP (LS mean [SE]), and to Week 4 after each incobotulinumtoxinA injection in the OLEX (mean [SD]) (FAS, BOCF for MP)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6B2415E6" w14:textId="77777777" w:rsidR="00A7349C" w:rsidRDefault="00A7349C" w:rsidP="00A7349C">
      <w:pPr>
        <w:jc w:val="both"/>
        <w:rPr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8A33170" wp14:editId="77AC5513">
            <wp:extent cx="5731510" cy="3493135"/>
            <wp:effectExtent l="0" t="0" r="2540" b="0"/>
            <wp:docPr id="9" name="Picture 9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bar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902F3" w14:textId="77777777" w:rsidR="00A7349C" w:rsidRPr="005C2D72" w:rsidRDefault="00A7349C" w:rsidP="00A7349C">
      <w:pPr>
        <w:jc w:val="both"/>
        <w:rPr>
          <w:lang w:val="en-US"/>
        </w:rPr>
      </w:pPr>
      <w:r>
        <w:rPr>
          <w:rFonts w:ascii="Times New Roman" w:hAnsi="Times New Roman" w:cs="Times New Roman"/>
          <w:lang w:val="en-US"/>
        </w:rPr>
        <w:t>BOCF, baseline observation carried forward; FAS, full analysis set; LS, least squares; MP, main period; OLEX, open-label extension period; PRS, physician’s rating scale; SD, standard deviation; SE, standard error.</w:t>
      </w:r>
    </w:p>
    <w:p w14:paraId="719EF8F3" w14:textId="77777777" w:rsidR="000E79AC" w:rsidRPr="009C03A1" w:rsidRDefault="000E79AC">
      <w:pPr>
        <w:rPr>
          <w:rFonts w:ascii="Times New Roman" w:hAnsi="Times New Roman" w:cs="Times New Roman"/>
          <w:sz w:val="20"/>
          <w:szCs w:val="20"/>
        </w:rPr>
      </w:pPr>
    </w:p>
    <w:sectPr w:rsidR="000E79AC" w:rsidRPr="009C0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4E9F" w14:textId="77777777" w:rsidR="00064E76" w:rsidRDefault="00064E76" w:rsidP="009F5B5A">
      <w:r>
        <w:separator/>
      </w:r>
    </w:p>
  </w:endnote>
  <w:endnote w:type="continuationSeparator" w:id="0">
    <w:p w14:paraId="0E5FBD74" w14:textId="77777777" w:rsidR="00064E76" w:rsidRDefault="00064E76" w:rsidP="009F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6AB9" w14:textId="77777777" w:rsidR="00064E76" w:rsidRDefault="00064E76" w:rsidP="009F5B5A">
      <w:r>
        <w:separator/>
      </w:r>
    </w:p>
  </w:footnote>
  <w:footnote w:type="continuationSeparator" w:id="0">
    <w:p w14:paraId="40F27A2C" w14:textId="77777777" w:rsidR="00064E76" w:rsidRDefault="00064E76" w:rsidP="009F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E7E"/>
    <w:multiLevelType w:val="hybridMultilevel"/>
    <w:tmpl w:val="99969242"/>
    <w:lvl w:ilvl="0" w:tplc="D86E9C72">
      <w:start w:val="1"/>
      <w:numFmt w:val="bullet"/>
      <w:pStyle w:val="1stlevel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C53E2">
      <w:start w:val="1"/>
      <w:numFmt w:val="bullet"/>
      <w:pStyle w:val="2ndlevel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E5B4BC30">
      <w:start w:val="1"/>
      <w:numFmt w:val="bullet"/>
      <w:pStyle w:val="3rdlevel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67974">
      <w:start w:val="1"/>
      <w:numFmt w:val="bullet"/>
      <w:pStyle w:val="4thlevel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2A"/>
    <w:rsid w:val="00011BF5"/>
    <w:rsid w:val="00016347"/>
    <w:rsid w:val="00017383"/>
    <w:rsid w:val="000522F8"/>
    <w:rsid w:val="00064E76"/>
    <w:rsid w:val="000B1909"/>
    <w:rsid w:val="000D3A93"/>
    <w:rsid w:val="000E79AC"/>
    <w:rsid w:val="000F2C50"/>
    <w:rsid w:val="00101837"/>
    <w:rsid w:val="00134346"/>
    <w:rsid w:val="0015204D"/>
    <w:rsid w:val="0017406C"/>
    <w:rsid w:val="001914BA"/>
    <w:rsid w:val="001A04CB"/>
    <w:rsid w:val="001A1808"/>
    <w:rsid w:val="001B4072"/>
    <w:rsid w:val="001B4D2E"/>
    <w:rsid w:val="001C4A6A"/>
    <w:rsid w:val="001E4895"/>
    <w:rsid w:val="001E665B"/>
    <w:rsid w:val="002075D7"/>
    <w:rsid w:val="00222148"/>
    <w:rsid w:val="00223C96"/>
    <w:rsid w:val="00235146"/>
    <w:rsid w:val="0024139E"/>
    <w:rsid w:val="00285308"/>
    <w:rsid w:val="0029144E"/>
    <w:rsid w:val="002B7FFA"/>
    <w:rsid w:val="002D71A3"/>
    <w:rsid w:val="0030426E"/>
    <w:rsid w:val="0033152A"/>
    <w:rsid w:val="00367223"/>
    <w:rsid w:val="003744D1"/>
    <w:rsid w:val="003C380E"/>
    <w:rsid w:val="003C4762"/>
    <w:rsid w:val="003C76F3"/>
    <w:rsid w:val="003D1B15"/>
    <w:rsid w:val="003D37FA"/>
    <w:rsid w:val="003F6FB3"/>
    <w:rsid w:val="00400B54"/>
    <w:rsid w:val="00403DCD"/>
    <w:rsid w:val="0041029E"/>
    <w:rsid w:val="004306C2"/>
    <w:rsid w:val="00430E9C"/>
    <w:rsid w:val="004A6652"/>
    <w:rsid w:val="004A7AFA"/>
    <w:rsid w:val="004D711C"/>
    <w:rsid w:val="004E2B53"/>
    <w:rsid w:val="004E6874"/>
    <w:rsid w:val="004F69C1"/>
    <w:rsid w:val="00555CC3"/>
    <w:rsid w:val="00561687"/>
    <w:rsid w:val="005A0B40"/>
    <w:rsid w:val="005A6606"/>
    <w:rsid w:val="005D21A1"/>
    <w:rsid w:val="005D2C61"/>
    <w:rsid w:val="005E6BAE"/>
    <w:rsid w:val="005F5467"/>
    <w:rsid w:val="00611A8C"/>
    <w:rsid w:val="0065583B"/>
    <w:rsid w:val="006A39E7"/>
    <w:rsid w:val="006C2732"/>
    <w:rsid w:val="006E0317"/>
    <w:rsid w:val="00725552"/>
    <w:rsid w:val="00733FD8"/>
    <w:rsid w:val="00777C63"/>
    <w:rsid w:val="00782120"/>
    <w:rsid w:val="007D6B64"/>
    <w:rsid w:val="007E6A3C"/>
    <w:rsid w:val="007E7A99"/>
    <w:rsid w:val="008058A9"/>
    <w:rsid w:val="00814BB9"/>
    <w:rsid w:val="00840714"/>
    <w:rsid w:val="008673B7"/>
    <w:rsid w:val="00876691"/>
    <w:rsid w:val="008C3ADE"/>
    <w:rsid w:val="008F1858"/>
    <w:rsid w:val="00902C6C"/>
    <w:rsid w:val="00912DAA"/>
    <w:rsid w:val="0093517E"/>
    <w:rsid w:val="00936F8F"/>
    <w:rsid w:val="00945EEB"/>
    <w:rsid w:val="00947895"/>
    <w:rsid w:val="0095544A"/>
    <w:rsid w:val="009911E2"/>
    <w:rsid w:val="00992C61"/>
    <w:rsid w:val="00995093"/>
    <w:rsid w:val="009A14BE"/>
    <w:rsid w:val="009B09AA"/>
    <w:rsid w:val="009C03A1"/>
    <w:rsid w:val="009F5B5A"/>
    <w:rsid w:val="00A31EA3"/>
    <w:rsid w:val="00A330A9"/>
    <w:rsid w:val="00A447D6"/>
    <w:rsid w:val="00A55B22"/>
    <w:rsid w:val="00A6013A"/>
    <w:rsid w:val="00A7349C"/>
    <w:rsid w:val="00A74F36"/>
    <w:rsid w:val="00AC2004"/>
    <w:rsid w:val="00AD4B1E"/>
    <w:rsid w:val="00B06C77"/>
    <w:rsid w:val="00B166E5"/>
    <w:rsid w:val="00B34032"/>
    <w:rsid w:val="00B36332"/>
    <w:rsid w:val="00B70131"/>
    <w:rsid w:val="00B86742"/>
    <w:rsid w:val="00B878F5"/>
    <w:rsid w:val="00B91884"/>
    <w:rsid w:val="00B92C85"/>
    <w:rsid w:val="00BA5095"/>
    <w:rsid w:val="00BB099A"/>
    <w:rsid w:val="00BC3A97"/>
    <w:rsid w:val="00BD42E8"/>
    <w:rsid w:val="00BE3190"/>
    <w:rsid w:val="00BF01CD"/>
    <w:rsid w:val="00C0481A"/>
    <w:rsid w:val="00C317DC"/>
    <w:rsid w:val="00C31BCF"/>
    <w:rsid w:val="00C36FBC"/>
    <w:rsid w:val="00C639CD"/>
    <w:rsid w:val="00C85176"/>
    <w:rsid w:val="00C9057B"/>
    <w:rsid w:val="00C95177"/>
    <w:rsid w:val="00CA0C5A"/>
    <w:rsid w:val="00CB4AC9"/>
    <w:rsid w:val="00CE07F5"/>
    <w:rsid w:val="00D053F0"/>
    <w:rsid w:val="00D35232"/>
    <w:rsid w:val="00D3746A"/>
    <w:rsid w:val="00D40F4E"/>
    <w:rsid w:val="00D43B4E"/>
    <w:rsid w:val="00D46FEA"/>
    <w:rsid w:val="00D938C1"/>
    <w:rsid w:val="00D96235"/>
    <w:rsid w:val="00DA6DDD"/>
    <w:rsid w:val="00DF549E"/>
    <w:rsid w:val="00DF5D5B"/>
    <w:rsid w:val="00E0556D"/>
    <w:rsid w:val="00E25C5B"/>
    <w:rsid w:val="00E279A7"/>
    <w:rsid w:val="00E340E5"/>
    <w:rsid w:val="00E433F7"/>
    <w:rsid w:val="00E57F80"/>
    <w:rsid w:val="00E60FEC"/>
    <w:rsid w:val="00E77DF8"/>
    <w:rsid w:val="00E961E1"/>
    <w:rsid w:val="00E96642"/>
    <w:rsid w:val="00E96CE8"/>
    <w:rsid w:val="00EA056F"/>
    <w:rsid w:val="00EE2AB6"/>
    <w:rsid w:val="00EF6AA2"/>
    <w:rsid w:val="00F37636"/>
    <w:rsid w:val="00F37D7A"/>
    <w:rsid w:val="00F406FF"/>
    <w:rsid w:val="00F553DE"/>
    <w:rsid w:val="00F71CDF"/>
    <w:rsid w:val="00F86810"/>
    <w:rsid w:val="00F96AE1"/>
    <w:rsid w:val="00FB4D85"/>
    <w:rsid w:val="00FC5711"/>
    <w:rsid w:val="00FC6AC6"/>
    <w:rsid w:val="00FD0CB0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318C5"/>
  <w14:defaultImageDpi w14:val="32767"/>
  <w15:chartTrackingRefBased/>
  <w15:docId w15:val="{8DBA012F-4DFE-A542-B27D-0E120E01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0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0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79AC"/>
  </w:style>
  <w:style w:type="paragraph" w:customStyle="1" w:styleId="1stlevelbulletedtext">
    <w:name w:val="1st level bulleted text"/>
    <w:basedOn w:val="Normal"/>
    <w:qFormat/>
    <w:rsid w:val="00A7349C"/>
    <w:pPr>
      <w:numPr>
        <w:numId w:val="1"/>
      </w:numPr>
      <w:spacing w:line="480" w:lineRule="auto"/>
    </w:pPr>
    <w:rPr>
      <w:rFonts w:eastAsiaTheme="minorEastAsia" w:cs="Times New Roman"/>
      <w:sz w:val="22"/>
      <w:szCs w:val="22"/>
    </w:rPr>
  </w:style>
  <w:style w:type="paragraph" w:customStyle="1" w:styleId="2ndlevelbullet">
    <w:name w:val="2nd level bullet"/>
    <w:basedOn w:val="1stlevelbulletedtext"/>
    <w:link w:val="2ndlevelbulletChar"/>
    <w:qFormat/>
    <w:rsid w:val="00A7349C"/>
    <w:pPr>
      <w:numPr>
        <w:ilvl w:val="1"/>
      </w:numPr>
      <w:ind w:left="851"/>
    </w:pPr>
  </w:style>
  <w:style w:type="paragraph" w:customStyle="1" w:styleId="3rdlevelbullet">
    <w:name w:val="3rd level bullet"/>
    <w:basedOn w:val="1stlevelbulletedtext"/>
    <w:qFormat/>
    <w:rsid w:val="00A7349C"/>
    <w:pPr>
      <w:numPr>
        <w:ilvl w:val="2"/>
      </w:numPr>
      <w:ind w:left="1276"/>
    </w:pPr>
  </w:style>
  <w:style w:type="character" w:customStyle="1" w:styleId="2ndlevelbulletChar">
    <w:name w:val="2nd level bullet Char"/>
    <w:basedOn w:val="DefaultParagraphFont"/>
    <w:link w:val="2ndlevelbullet"/>
    <w:rsid w:val="00A7349C"/>
    <w:rPr>
      <w:rFonts w:eastAsiaTheme="minorEastAsia" w:cs="Times New Roman"/>
      <w:sz w:val="22"/>
      <w:szCs w:val="22"/>
    </w:rPr>
  </w:style>
  <w:style w:type="paragraph" w:customStyle="1" w:styleId="4thlevelbullet">
    <w:name w:val="4th level bullet"/>
    <w:basedOn w:val="1stlevelbulletedtext"/>
    <w:qFormat/>
    <w:rsid w:val="00A7349C"/>
    <w:pPr>
      <w:numPr>
        <w:ilvl w:val="3"/>
      </w:numPr>
      <w:ind w:left="170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F406F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406FF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5B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B5A"/>
  </w:style>
  <w:style w:type="paragraph" w:styleId="Footer">
    <w:name w:val="footer"/>
    <w:basedOn w:val="Normal"/>
    <w:link w:val="FooterChar"/>
    <w:uiPriority w:val="99"/>
    <w:unhideWhenUsed/>
    <w:rsid w:val="009F5B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Marjory Denisard</cp:lastModifiedBy>
  <cp:revision>4</cp:revision>
  <dcterms:created xsi:type="dcterms:W3CDTF">2022-02-11T09:04:00Z</dcterms:created>
  <dcterms:modified xsi:type="dcterms:W3CDTF">2022-02-14T16:26:00Z</dcterms:modified>
</cp:coreProperties>
</file>