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A381" w14:textId="77777777" w:rsidR="000C243C" w:rsidRPr="00C71DF1" w:rsidRDefault="00697DFB">
      <w:pPr>
        <w:pStyle w:val="SupplementaryMaterial"/>
        <w:rPr>
          <w:b w:val="0"/>
        </w:rPr>
      </w:pPr>
      <w:r w:rsidRPr="00C71DF1">
        <w:t>Supplementary Material</w:t>
      </w:r>
    </w:p>
    <w:p w14:paraId="6DFF7476" w14:textId="77777777" w:rsidR="000C243C" w:rsidRPr="00C71DF1" w:rsidRDefault="00697DFB">
      <w:pPr>
        <w:pStyle w:val="Heading1"/>
      </w:pPr>
      <w:r w:rsidRPr="00C71DF1">
        <w:t>Supplementary Data</w:t>
      </w:r>
    </w:p>
    <w:p w14:paraId="7C23C295" w14:textId="77777777" w:rsidR="000C243C" w:rsidRPr="00C71DF1" w:rsidRDefault="00697DFB">
      <w:pPr>
        <w:pStyle w:val="Heading2"/>
      </w:pPr>
      <w:r w:rsidRPr="00C71DF1">
        <w:t>Exclusion criteria</w:t>
      </w:r>
    </w:p>
    <w:p w14:paraId="02ECC7BE" w14:textId="77777777" w:rsidR="000C243C" w:rsidRPr="00C71DF1" w:rsidRDefault="00697DFB">
      <w:pPr>
        <w:rPr>
          <w:rFonts w:eastAsia="SimSun" w:cs="Times New Roman"/>
          <w:lang w:bidi="ar"/>
        </w:rPr>
      </w:pPr>
      <w:bookmarkStart w:id="0" w:name="OLE_LINK1"/>
      <w:r w:rsidRPr="00C71DF1">
        <w:rPr>
          <w:rFonts w:eastAsia="SimSun" w:cs="Times New Roman" w:hint="eastAsia"/>
          <w:lang w:eastAsia="zh-CN" w:bidi="ar"/>
        </w:rPr>
        <w:t>R</w:t>
      </w:r>
      <w:r w:rsidRPr="00C71DF1">
        <w:rPr>
          <w:rFonts w:eastAsia="SimSun" w:cs="Times New Roman" w:hint="eastAsia"/>
          <w:lang w:bidi="ar"/>
        </w:rPr>
        <w:t>eceived prior radioiodine therapy or had known metastatic disease; positive thyroid peroxidase antibodies (</w:t>
      </w:r>
      <w:proofErr w:type="spellStart"/>
      <w:r w:rsidRPr="00C71DF1">
        <w:rPr>
          <w:rFonts w:eastAsia="SimSun" w:cs="Times New Roman" w:hint="eastAsia"/>
          <w:lang w:bidi="ar"/>
        </w:rPr>
        <w:t>TPOAb</w:t>
      </w:r>
      <w:proofErr w:type="spellEnd"/>
      <w:r w:rsidRPr="00C71DF1">
        <w:rPr>
          <w:rFonts w:eastAsia="SimSun" w:cs="Times New Roman" w:hint="eastAsia"/>
          <w:lang w:bidi="ar"/>
        </w:rPr>
        <w:t>) or thyroglobulin antibodies (</w:t>
      </w:r>
      <w:proofErr w:type="spellStart"/>
      <w:r w:rsidRPr="00C71DF1">
        <w:rPr>
          <w:rFonts w:eastAsia="SimSun" w:cs="Times New Roman" w:hint="eastAsia"/>
          <w:lang w:bidi="ar"/>
        </w:rPr>
        <w:t>TGAb</w:t>
      </w:r>
      <w:proofErr w:type="spellEnd"/>
      <w:r w:rsidRPr="00C71DF1">
        <w:rPr>
          <w:rFonts w:eastAsia="SimSun" w:cs="Times New Roman" w:hint="eastAsia"/>
          <w:lang w:bidi="ar"/>
        </w:rPr>
        <w:t>); underlying thyroid dysfunction</w:t>
      </w:r>
      <w:r w:rsidRPr="00C71DF1">
        <w:rPr>
          <w:rFonts w:eastAsia="SimSun" w:cs="Times New Roman" w:hint="eastAsia"/>
          <w:lang w:eastAsia="zh-CN" w:bidi="ar"/>
        </w:rPr>
        <w:t xml:space="preserve">; </w:t>
      </w:r>
      <w:r w:rsidRPr="00C71DF1">
        <w:rPr>
          <w:rFonts w:eastAsia="SimSun" w:cs="Times New Roman" w:hint="eastAsia"/>
          <w:lang w:bidi="ar"/>
        </w:rPr>
        <w:t>ongoing therapies interfering with levothyroxine absorption and/or metabolism (i.e., sucralfate, aluminum-containing antacids, and bile acids sequestrants)</w:t>
      </w:r>
      <w:r w:rsidRPr="00C71DF1">
        <w:rPr>
          <w:rFonts w:eastAsia="SimSun" w:cs="Times New Roman" w:hint="eastAsia"/>
          <w:lang w:eastAsia="zh-CN" w:bidi="ar"/>
        </w:rPr>
        <w:t>; p</w:t>
      </w:r>
      <w:r w:rsidRPr="00C71DF1">
        <w:rPr>
          <w:rFonts w:eastAsia="SimSun" w:cs="Times New Roman"/>
          <w:lang w:bidi="ar"/>
        </w:rPr>
        <w:t xml:space="preserve">regnancy; lactation; cigarette smoking; alcohol addiction; severe periodontal disease; cardiovascular and metabolic diseases, such as hypertension, diabetes mellitus, and BMI&gt;27; recent (&lt;3 months prior) use of </w:t>
      </w:r>
      <w:r w:rsidRPr="00C71DF1">
        <w:rPr>
          <w:rFonts w:eastAsia="SimSun" w:cs="Times New Roman" w:hint="eastAsia"/>
          <w:lang w:bidi="ar"/>
        </w:rPr>
        <w:t>lipid-lowering agents</w:t>
      </w:r>
      <w:r w:rsidRPr="00C71DF1">
        <w:rPr>
          <w:rFonts w:eastAsia="SimSun" w:cs="Times New Roman" w:hint="eastAsia"/>
          <w:lang w:eastAsia="zh-CN" w:bidi="ar"/>
        </w:rPr>
        <w:t xml:space="preserve">, </w:t>
      </w:r>
      <w:r w:rsidRPr="00C71DF1">
        <w:rPr>
          <w:rFonts w:eastAsia="SimSun" w:cs="Times New Roman"/>
          <w:lang w:bidi="ar"/>
        </w:rPr>
        <w:t>antibiotics, hormonal medication, laxatives, proton pump inhibitors, insulin sensitizers or traditional Chinese medicine; known history of disease with an autoimmune component, such as multiple sclerosis, rheumatoid arthritis, irritable bowel syndrome, or IBD; and history of malignancy or any gastrointestinal tract surgery (e.g., gastrointestinal surgery, cholecystectomy or</w:t>
      </w:r>
      <w:r w:rsidRPr="00C71DF1">
        <w:rPr>
          <w:rFonts w:eastAsia="SimSun" w:cs="Times New Roman" w:hint="eastAsia"/>
          <w:lang w:eastAsia="zh-CN" w:bidi="ar"/>
        </w:rPr>
        <w:t xml:space="preserve"> </w:t>
      </w:r>
      <w:r w:rsidRPr="00C71DF1">
        <w:rPr>
          <w:rFonts w:eastAsia="SimSun" w:cs="Times New Roman"/>
          <w:lang w:bidi="ar"/>
        </w:rPr>
        <w:t>appendectomy).</w:t>
      </w:r>
    </w:p>
    <w:bookmarkEnd w:id="0"/>
    <w:p w14:paraId="50B77001" w14:textId="77777777" w:rsidR="000C243C" w:rsidRPr="00C71DF1" w:rsidRDefault="00697DFB">
      <w:pPr>
        <w:pStyle w:val="Heading2"/>
      </w:pPr>
      <w:r w:rsidRPr="00C71DF1">
        <w:t>Plasma</w:t>
      </w:r>
      <w:r w:rsidRPr="00C71DF1">
        <w:rPr>
          <w:rFonts w:hint="eastAsia"/>
        </w:rPr>
        <w:t xml:space="preserve"> and fecal s</w:t>
      </w:r>
      <w:r w:rsidRPr="00C71DF1">
        <w:t>ample collection</w:t>
      </w:r>
    </w:p>
    <w:p w14:paraId="2850C81C" w14:textId="77777777" w:rsidR="000C243C" w:rsidRPr="00C71DF1" w:rsidRDefault="00697DFB">
      <w:pPr>
        <w:rPr>
          <w:rFonts w:ascii="Calibri" w:eastAsia="SimSun" w:hAnsi="Calibri" w:cs="Calibri"/>
          <w:szCs w:val="21"/>
        </w:rPr>
      </w:pPr>
      <w:r w:rsidRPr="00C71DF1">
        <w:rPr>
          <w:rFonts w:cs="Times New Roman" w:hint="eastAsia"/>
        </w:rPr>
        <w:t>All participants were examined in the morning after an overnight fast (</w:t>
      </w:r>
      <w:r w:rsidRPr="00C71DF1">
        <w:rPr>
          <w:rFonts w:cs="Times New Roman"/>
        </w:rPr>
        <w:t>≥8 h</w:t>
      </w:r>
      <w:r w:rsidRPr="00C71DF1">
        <w:rPr>
          <w:rFonts w:cs="Times New Roman" w:hint="eastAsia"/>
        </w:rPr>
        <w:t xml:space="preserve">). </w:t>
      </w:r>
      <w:r w:rsidRPr="00C71DF1">
        <w:rPr>
          <w:rFonts w:eastAsia="SimSun" w:cs="Times New Roman" w:hint="eastAsia"/>
          <w:lang w:bidi="ar"/>
        </w:rPr>
        <w:t xml:space="preserve">Peripheral </w:t>
      </w:r>
      <w:r w:rsidRPr="00C71DF1">
        <w:rPr>
          <w:rFonts w:eastAsia="HelveticaNeueLTStd-Bd" w:cs="Times New Roman"/>
          <w:lang w:bidi="ar"/>
        </w:rPr>
        <w:t>plasma</w:t>
      </w:r>
      <w:r w:rsidRPr="00C71DF1">
        <w:rPr>
          <w:rFonts w:eastAsia="SimSun" w:cs="Times New Roman" w:hint="eastAsia"/>
          <w:lang w:bidi="ar"/>
        </w:rPr>
        <w:t xml:space="preserve"> (15 mL) was collected from all subjects an</w:t>
      </w:r>
      <w:r w:rsidRPr="00C71DF1">
        <w:rPr>
          <w:rFonts w:eastAsia="SimSun" w:cs="Times New Roman"/>
          <w:lang w:bidi="ar"/>
        </w:rPr>
        <w:t xml:space="preserve">d stored in corresponding </w:t>
      </w:r>
      <w:r w:rsidRPr="00C71DF1">
        <w:rPr>
          <w:rFonts w:eastAsia="HelveticaNeueLTStd-Bd" w:cs="Times New Roman"/>
          <w:lang w:bidi="ar"/>
        </w:rPr>
        <w:t>plasma</w:t>
      </w:r>
      <w:r w:rsidRPr="00C71DF1">
        <w:rPr>
          <w:rFonts w:eastAsia="SimSun" w:cs="Times New Roman"/>
          <w:lang w:bidi="ar"/>
        </w:rPr>
        <w:t xml:space="preserve"> collection tubes at 4 °C for the detection of thyroid function indicators (free triiodothyronine, [fT3], free thyroxine, [fT4], and thyrotropin, [TSH], thyroglobulin, [</w:t>
      </w:r>
      <w:proofErr w:type="spellStart"/>
      <w:r w:rsidRPr="00C71DF1">
        <w:rPr>
          <w:rFonts w:eastAsia="SimSun" w:cs="Times New Roman"/>
          <w:lang w:bidi="ar"/>
        </w:rPr>
        <w:t>Tg</w:t>
      </w:r>
      <w:proofErr w:type="spellEnd"/>
      <w:r w:rsidRPr="00C71DF1">
        <w:rPr>
          <w:rFonts w:eastAsia="SimSun" w:cs="Times New Roman"/>
          <w:lang w:bidi="ar"/>
        </w:rPr>
        <w:t>]) examinations, liver function (alanine aminotransferase [ALT], aspartate transaminase [AST], album [ALB], total protein [TP], globulin [GLB), total bilirubin [TBIL], direct bilirubin [DBIL], indirect bilirubin [IBIL], gamma-glutamyl transpeptidase [GGT], alkaline phosphatase [AKP], lactate dehydrogenase [LDH], blood urea nitrogen [BUN], creatinine [Cr], uric acid [UA], glucose [GLU]), plasma lipid (total cholesterol [CHOL], triacylglycerol [TG], low-density lipoprotein [LDL], apolipoprotein A [</w:t>
      </w:r>
      <w:proofErr w:type="spellStart"/>
      <w:r w:rsidRPr="00C71DF1">
        <w:rPr>
          <w:rFonts w:eastAsia="SimSun" w:cs="Times New Roman"/>
          <w:lang w:bidi="ar"/>
        </w:rPr>
        <w:t>ApoA</w:t>
      </w:r>
      <w:proofErr w:type="spellEnd"/>
      <w:r w:rsidRPr="00C71DF1">
        <w:rPr>
          <w:rFonts w:eastAsia="SimSun" w:cs="Times New Roman"/>
          <w:lang w:bidi="ar"/>
        </w:rPr>
        <w:t>], high-density lipoprotein [HDL], very low density lipoprotein [VLDL], apolipoprotein B [</w:t>
      </w:r>
      <w:proofErr w:type="spellStart"/>
      <w:r w:rsidRPr="00C71DF1">
        <w:rPr>
          <w:rFonts w:eastAsia="SimSun" w:cs="Times New Roman"/>
          <w:lang w:bidi="ar"/>
        </w:rPr>
        <w:t>ApoB</w:t>
      </w:r>
      <w:proofErr w:type="spellEnd"/>
      <w:r w:rsidRPr="00C71DF1">
        <w:rPr>
          <w:rFonts w:eastAsia="SimSun" w:cs="Times New Roman"/>
          <w:lang w:bidi="ar"/>
        </w:rPr>
        <w:t>], lipoprotein(a) [</w:t>
      </w:r>
      <w:proofErr w:type="spellStart"/>
      <w:r w:rsidRPr="00C71DF1">
        <w:rPr>
          <w:rFonts w:eastAsia="SimSun" w:cs="Times New Roman"/>
          <w:lang w:bidi="ar"/>
        </w:rPr>
        <w:t>Lpa</w:t>
      </w:r>
      <w:proofErr w:type="spellEnd"/>
      <w:r w:rsidRPr="00C71DF1">
        <w:rPr>
          <w:rFonts w:eastAsia="SimSun" w:cs="Times New Roman"/>
          <w:lang w:bidi="ar"/>
        </w:rPr>
        <w:t xml:space="preserve">]) and serum LPS analyses. Participants were prohibited from eating, drinking other liquids than water, and doing oral hygiene activities at least 1 h before sampling. From each patient, </w:t>
      </w:r>
      <w:bookmarkStart w:id="1" w:name="_Hlk85824789"/>
      <w:r w:rsidRPr="00C71DF1">
        <w:rPr>
          <w:rFonts w:eastAsia="SimSun" w:cs="Times New Roman"/>
          <w:lang w:bidi="ar"/>
        </w:rPr>
        <w:t>oral washings</w:t>
      </w:r>
      <w:bookmarkEnd w:id="1"/>
      <w:r w:rsidRPr="00C71DF1">
        <w:rPr>
          <w:rFonts w:eastAsia="SimSun" w:cs="Times New Roman"/>
          <w:lang w:bidi="ar"/>
        </w:rPr>
        <w:t xml:space="preserve"> were collected for subsequent 16S rRNA gene analysis. Concurrently, all subjects were provided Commode Specimen Collection Kits for feces collection, and samples were sent to our laboratory on an ice pack within two hours. Each fecal sample was immediately divided into aliquots, frozen on dry ice, and stored at -80 °C for subsequent 16S rRNA gene and LPS analysis.</w:t>
      </w:r>
    </w:p>
    <w:p w14:paraId="3E199A50" w14:textId="77777777" w:rsidR="000C243C" w:rsidRPr="00C71DF1" w:rsidRDefault="00697DFB">
      <w:pPr>
        <w:pStyle w:val="Heading2"/>
      </w:pPr>
      <w:r w:rsidRPr="00C71DF1">
        <w:rPr>
          <w:rFonts w:hint="eastAsia"/>
        </w:rPr>
        <w:t>Analysis of clinical parameters</w:t>
      </w:r>
    </w:p>
    <w:p w14:paraId="7741B51E" w14:textId="77777777" w:rsidR="000C243C" w:rsidRPr="00C71DF1" w:rsidRDefault="00697DFB">
      <w:pPr>
        <w:rPr>
          <w:rFonts w:cs="Times New Roman"/>
        </w:rPr>
      </w:pPr>
      <w:r w:rsidRPr="00C71DF1">
        <w:rPr>
          <w:rFonts w:cs="Times New Roman"/>
        </w:rPr>
        <w:t xml:space="preserve">Serum fT3, fT4, TSH, and </w:t>
      </w:r>
      <w:proofErr w:type="spellStart"/>
      <w:r w:rsidRPr="00C71DF1">
        <w:rPr>
          <w:rFonts w:cs="Times New Roman"/>
        </w:rPr>
        <w:t>Tg</w:t>
      </w:r>
      <w:proofErr w:type="spellEnd"/>
      <w:r w:rsidRPr="00C71DF1">
        <w:rPr>
          <w:rFonts w:cs="Times New Roman"/>
        </w:rPr>
        <w:t xml:space="preserve"> levels were measured by a chemiluminescent immunoassay (Abbott Diagnostics, Tokyo, Japan). </w:t>
      </w:r>
      <w:r w:rsidRPr="00C71DF1">
        <w:rPr>
          <w:rFonts w:eastAsia="SimSun" w:cs="Times New Roman"/>
          <w:lang w:bidi="ar"/>
        </w:rPr>
        <w:t>Liver function and plasma lipid</w:t>
      </w:r>
      <w:r w:rsidRPr="00C71DF1">
        <w:rPr>
          <w:rFonts w:cs="Times New Roman"/>
        </w:rPr>
        <w:t xml:space="preserve"> indexes were assessed using an automated biochemistry analyzer (Beckman Coulter, California, USA) and auxiliary reagents. </w:t>
      </w:r>
      <w:r w:rsidRPr="00C71DF1">
        <w:rPr>
          <w:rFonts w:cs="Times New Roman" w:hint="eastAsia"/>
        </w:rPr>
        <w:t xml:space="preserve">Serum and fecal supernatant </w:t>
      </w:r>
      <w:r w:rsidRPr="00C71DF1">
        <w:rPr>
          <w:rFonts w:cs="Times New Roman"/>
        </w:rPr>
        <w:t xml:space="preserve">LPS </w:t>
      </w:r>
      <w:r w:rsidRPr="00C71DF1">
        <w:rPr>
          <w:rFonts w:cs="Times New Roman" w:hint="eastAsia"/>
        </w:rPr>
        <w:t>indicator</w:t>
      </w:r>
      <w:r w:rsidRPr="00C71DF1">
        <w:rPr>
          <w:rFonts w:cs="Times New Roman"/>
        </w:rPr>
        <w:t>s</w:t>
      </w:r>
      <w:r w:rsidRPr="00C71DF1">
        <w:rPr>
          <w:rFonts w:cs="Times New Roman" w:hint="eastAsia"/>
        </w:rPr>
        <w:t xml:space="preserve"> were measured with corresponding </w:t>
      </w:r>
      <w:r w:rsidRPr="00C71DF1">
        <w:rPr>
          <w:rFonts w:cs="Times New Roman"/>
        </w:rPr>
        <w:t>ELISA</w:t>
      </w:r>
      <w:r w:rsidRPr="00C71DF1">
        <w:rPr>
          <w:rFonts w:hint="eastAsia"/>
        </w:rPr>
        <w:t xml:space="preserve"> </w:t>
      </w:r>
      <w:r w:rsidRPr="00C71DF1">
        <w:rPr>
          <w:rFonts w:cs="Times New Roman" w:hint="eastAsia"/>
        </w:rPr>
        <w:t>kits (Shanghai Jiang Lai Biotechnology Co., Ltd., Shanghai, China)</w:t>
      </w:r>
      <w:r w:rsidRPr="00C71DF1">
        <w:rPr>
          <w:rFonts w:cs="Times New Roman"/>
        </w:rPr>
        <w:t>,</w:t>
      </w:r>
      <w:r w:rsidRPr="00C71DF1">
        <w:rPr>
          <w:rFonts w:cs="Times New Roman" w:hint="eastAsia"/>
        </w:rPr>
        <w:t xml:space="preserve"> following the manufacturer's instructions. </w:t>
      </w:r>
    </w:p>
    <w:p w14:paraId="2ECE39BC" w14:textId="77777777" w:rsidR="000C243C" w:rsidRPr="00C71DF1" w:rsidRDefault="000C243C">
      <w:pPr>
        <w:rPr>
          <w:rFonts w:cs="Times New Roman"/>
        </w:rPr>
      </w:pPr>
    </w:p>
    <w:p w14:paraId="3889A243" w14:textId="77777777" w:rsidR="000C243C" w:rsidRPr="00C71DF1" w:rsidRDefault="000C243C">
      <w:pPr>
        <w:rPr>
          <w:rFonts w:cs="Times New Roman"/>
        </w:rPr>
      </w:pPr>
    </w:p>
    <w:p w14:paraId="1322AA53" w14:textId="77777777" w:rsidR="000C243C" w:rsidRPr="00C71DF1" w:rsidRDefault="000C243C">
      <w:pPr>
        <w:rPr>
          <w:rFonts w:cs="Times New Roman"/>
        </w:rPr>
      </w:pPr>
    </w:p>
    <w:p w14:paraId="33ECFEA8" w14:textId="77777777" w:rsidR="000C243C" w:rsidRPr="00C71DF1" w:rsidRDefault="00697DFB">
      <w:pPr>
        <w:pStyle w:val="Heading1"/>
      </w:pPr>
      <w:r w:rsidRPr="00C71DF1">
        <w:t>Supplementary Figures and Tables</w:t>
      </w:r>
    </w:p>
    <w:p w14:paraId="25F237F8" w14:textId="77777777" w:rsidR="000C243C" w:rsidRPr="00C71DF1" w:rsidRDefault="00697DFB">
      <w:pPr>
        <w:pStyle w:val="Heading2"/>
      </w:pPr>
      <w:r w:rsidRPr="00C71DF1">
        <w:t>Supplementary Figures</w:t>
      </w:r>
    </w:p>
    <w:p w14:paraId="5859DCC4" w14:textId="77777777" w:rsidR="000C243C" w:rsidRPr="00C71DF1" w:rsidRDefault="000C243C">
      <w:pPr>
        <w:rPr>
          <w:rFonts w:cs="Times New Roman"/>
        </w:rPr>
      </w:pPr>
    </w:p>
    <w:p w14:paraId="0A772379" w14:textId="77777777" w:rsidR="000C243C" w:rsidRPr="00C71DF1" w:rsidRDefault="00697DFB">
      <w:pPr>
        <w:jc w:val="center"/>
        <w:rPr>
          <w:rFonts w:ascii="Calibri" w:eastAsia="SimSun" w:hAnsi="Calibri" w:cs="Calibri"/>
          <w:szCs w:val="21"/>
          <w:lang w:eastAsia="zh-CN"/>
        </w:rPr>
      </w:pPr>
      <w:r w:rsidRPr="00C71DF1">
        <w:rPr>
          <w:rFonts w:ascii="Calibri" w:eastAsia="SimSun" w:hAnsi="Calibri" w:cs="Calibri" w:hint="eastAsia"/>
          <w:noProof/>
          <w:szCs w:val="21"/>
          <w:lang w:eastAsia="zh-CN"/>
        </w:rPr>
        <w:drawing>
          <wp:inline distT="0" distB="0" distL="114300" distR="114300" wp14:anchorId="0AD647BC" wp14:editId="598AA0E1">
            <wp:extent cx="4732020" cy="3550285"/>
            <wp:effectExtent l="0" t="0" r="5080" b="5715"/>
            <wp:docPr id="2" name="图片 2" descr="Figure 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S1"/>
                    <pic:cNvPicPr>
                      <a:picLocks noChangeAspect="1"/>
                    </pic:cNvPicPr>
                  </pic:nvPicPr>
                  <pic:blipFill>
                    <a:blip r:embed="rId9"/>
                    <a:stretch>
                      <a:fillRect/>
                    </a:stretch>
                  </pic:blipFill>
                  <pic:spPr>
                    <a:xfrm>
                      <a:off x="0" y="0"/>
                      <a:ext cx="4732020" cy="3550285"/>
                    </a:xfrm>
                    <a:prstGeom prst="rect">
                      <a:avLst/>
                    </a:prstGeom>
                  </pic:spPr>
                </pic:pic>
              </a:graphicData>
            </a:graphic>
          </wp:inline>
        </w:drawing>
      </w:r>
    </w:p>
    <w:p w14:paraId="17988B63" w14:textId="77777777" w:rsidR="000C243C" w:rsidRPr="00C71DF1" w:rsidRDefault="00697DFB">
      <w:pPr>
        <w:rPr>
          <w:rFonts w:cs="Times New Roman"/>
          <w:lang w:bidi="ar"/>
        </w:rPr>
      </w:pPr>
      <w:r w:rsidRPr="00C71DF1">
        <w:rPr>
          <w:rFonts w:eastAsia="SimSun" w:cs="Times New Roman" w:hint="eastAsia"/>
          <w:b/>
          <w:bCs/>
          <w:lang w:bidi="ar"/>
        </w:rPr>
        <w:t xml:space="preserve">Supplementary Figure 1. </w:t>
      </w:r>
      <w:r w:rsidRPr="00C71DF1">
        <w:rPr>
          <w:rFonts w:eastAsia="SimSun" w:cs="Times New Roman" w:hint="eastAsia"/>
          <w:lang w:bidi="ar"/>
        </w:rPr>
        <w:t xml:space="preserve">Transitions in MDI index of gut (A) and oral (B) microbiome of DTC patients following THW. </w:t>
      </w:r>
      <w:r w:rsidRPr="00C71DF1">
        <w:rPr>
          <w:rFonts w:cs="Times New Roman" w:hint="eastAsia"/>
          <w:lang w:bidi="ar"/>
        </w:rPr>
        <w:t xml:space="preserve">B-THW, before the treatment of THW plus a placebo; A-THW, after treatment with THW plus a placebo. </w:t>
      </w:r>
      <w:r w:rsidRPr="00C71DF1">
        <w:rPr>
          <w:rFonts w:cs="Times New Roman"/>
          <w:lang w:bidi="ar"/>
        </w:rPr>
        <w:t>* P-value &lt;0.05; ** P-value &lt;0.01; *** P-value &lt;0.001.</w:t>
      </w:r>
    </w:p>
    <w:p w14:paraId="522811CE" w14:textId="77777777" w:rsidR="000C243C" w:rsidRPr="00C71DF1" w:rsidRDefault="000C243C">
      <w:pPr>
        <w:rPr>
          <w:rFonts w:cs="Times New Roman"/>
          <w:lang w:bidi="ar"/>
        </w:rPr>
      </w:pPr>
    </w:p>
    <w:p w14:paraId="663FF88E" w14:textId="77777777" w:rsidR="000C243C" w:rsidRPr="00C71DF1" w:rsidRDefault="000C243C">
      <w:pPr>
        <w:rPr>
          <w:rFonts w:cs="Times New Roman"/>
          <w:lang w:bidi="ar"/>
        </w:rPr>
      </w:pPr>
    </w:p>
    <w:p w14:paraId="3F2F4EEE" w14:textId="77777777" w:rsidR="000C243C" w:rsidRPr="00C71DF1" w:rsidRDefault="000C243C">
      <w:pPr>
        <w:rPr>
          <w:rFonts w:cs="Times New Roman"/>
          <w:lang w:bidi="ar"/>
        </w:rPr>
      </w:pPr>
    </w:p>
    <w:p w14:paraId="14F3D728" w14:textId="77777777" w:rsidR="000C243C" w:rsidRPr="00C71DF1" w:rsidRDefault="000C243C">
      <w:pPr>
        <w:rPr>
          <w:rFonts w:cs="Times New Roman"/>
          <w:lang w:bidi="ar"/>
        </w:rPr>
      </w:pPr>
    </w:p>
    <w:p w14:paraId="6991D313" w14:textId="77777777" w:rsidR="000C243C" w:rsidRPr="00C71DF1" w:rsidRDefault="00697DFB">
      <w:pPr>
        <w:jc w:val="center"/>
        <w:rPr>
          <w:rFonts w:eastAsia="SimSun" w:cs="Times New Roman"/>
          <w:b/>
          <w:bCs/>
          <w:lang w:eastAsia="zh-CN"/>
        </w:rPr>
      </w:pPr>
      <w:r w:rsidRPr="00C71DF1">
        <w:rPr>
          <w:rFonts w:eastAsia="SimSun" w:cs="Times New Roman" w:hint="eastAsia"/>
          <w:b/>
          <w:bCs/>
          <w:noProof/>
          <w:lang w:eastAsia="zh-CN"/>
        </w:rPr>
        <w:lastRenderedPageBreak/>
        <w:drawing>
          <wp:inline distT="0" distB="0" distL="114300" distR="114300" wp14:anchorId="364AD0AC" wp14:editId="6F3436C4">
            <wp:extent cx="6190615" cy="4643755"/>
            <wp:effectExtent l="0" t="0" r="6985" b="4445"/>
            <wp:docPr id="3" name="图片 3" descr="Figure 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S2"/>
                    <pic:cNvPicPr>
                      <a:picLocks noChangeAspect="1"/>
                    </pic:cNvPicPr>
                  </pic:nvPicPr>
                  <pic:blipFill>
                    <a:blip r:embed="rId10"/>
                    <a:stretch>
                      <a:fillRect/>
                    </a:stretch>
                  </pic:blipFill>
                  <pic:spPr>
                    <a:xfrm>
                      <a:off x="0" y="0"/>
                      <a:ext cx="6190615" cy="4643755"/>
                    </a:xfrm>
                    <a:prstGeom prst="rect">
                      <a:avLst/>
                    </a:prstGeom>
                  </pic:spPr>
                </pic:pic>
              </a:graphicData>
            </a:graphic>
          </wp:inline>
        </w:drawing>
      </w:r>
    </w:p>
    <w:p w14:paraId="1A5B6CED" w14:textId="77777777" w:rsidR="000C243C" w:rsidRPr="00C71DF1" w:rsidRDefault="00697DFB">
      <w:pPr>
        <w:rPr>
          <w:rFonts w:cs="Times New Roman"/>
          <w:lang w:bidi="ar"/>
        </w:rPr>
      </w:pPr>
      <w:r w:rsidRPr="00C71DF1">
        <w:rPr>
          <w:rFonts w:eastAsia="SimSun" w:cs="Times New Roman" w:hint="eastAsia"/>
          <w:b/>
          <w:bCs/>
          <w:lang w:bidi="ar"/>
        </w:rPr>
        <w:t xml:space="preserve">Supplementary Figure 2. </w:t>
      </w:r>
      <w:r w:rsidRPr="00C71DF1">
        <w:rPr>
          <w:rFonts w:eastAsia="SimSun" w:cs="Times New Roman"/>
          <w:b/>
          <w:bCs/>
          <w:lang w:bidi="ar"/>
        </w:rPr>
        <w:t>Oral and gut microbiota composition and MDI.</w:t>
      </w:r>
      <w:r w:rsidRPr="00C71DF1">
        <w:t xml:space="preserve"> </w:t>
      </w:r>
      <w:r w:rsidRPr="00C71DF1">
        <w:rPr>
          <w:rFonts w:eastAsia="SimSun" w:cs="Times New Roman"/>
          <w:lang w:bidi="ar"/>
        </w:rPr>
        <w:t>The relative abundances of the gut bacterial famil</w:t>
      </w:r>
      <w:r w:rsidRPr="00C71DF1">
        <w:rPr>
          <w:rFonts w:eastAsia="SimSun" w:cs="Times New Roman" w:hint="eastAsia"/>
          <w:lang w:eastAsia="zh-CN" w:bidi="ar"/>
        </w:rPr>
        <w:t>y</w:t>
      </w:r>
      <w:r w:rsidRPr="00C71DF1">
        <w:rPr>
          <w:rFonts w:eastAsia="SimSun" w:cs="Times New Roman"/>
          <w:lang w:bidi="ar"/>
        </w:rPr>
        <w:t xml:space="preserve"> (A) and genera (B) and the oral bacterial genera (C) clustered into different groups were determined, revealing that the microbiota compositions differed significantly. (D) Box plot showing the MDI of the oral microbiota in the </w:t>
      </w:r>
      <w:r w:rsidRPr="00C71DF1">
        <w:rPr>
          <w:rFonts w:cs="Times New Roman" w:hint="eastAsia"/>
          <w:lang w:bidi="ar"/>
        </w:rPr>
        <w:t>A-THW</w:t>
      </w:r>
      <w:r w:rsidRPr="00C71DF1">
        <w:rPr>
          <w:rFonts w:eastAsia="SimSun" w:cs="Times New Roman"/>
          <w:lang w:bidi="ar"/>
        </w:rPr>
        <w:t xml:space="preserve"> and </w:t>
      </w:r>
      <w:r w:rsidRPr="00C71DF1">
        <w:rPr>
          <w:rFonts w:cs="Times New Roman" w:hint="eastAsia"/>
          <w:lang w:bidi="ar"/>
        </w:rPr>
        <w:t>A-THW-P</w:t>
      </w:r>
      <w:r w:rsidRPr="00C71DF1">
        <w:rPr>
          <w:rFonts w:eastAsia="SimSun" w:cs="Times New Roman"/>
          <w:lang w:bidi="ar"/>
        </w:rPr>
        <w:t xml:space="preserve"> groups.</w:t>
      </w:r>
      <w:r w:rsidRPr="00C71DF1">
        <w:rPr>
          <w:rFonts w:eastAsia="SimSun" w:cs="Times New Roman" w:hint="eastAsia"/>
          <w:lang w:bidi="ar"/>
        </w:rPr>
        <w:t xml:space="preserve"> </w:t>
      </w:r>
      <w:r w:rsidRPr="00C71DF1">
        <w:rPr>
          <w:rFonts w:cs="Times New Roman" w:hint="eastAsia"/>
          <w:lang w:bidi="ar"/>
        </w:rPr>
        <w:t xml:space="preserve">B-THW, before the treatment of THW plus a placebo; B-THW-P, before the treatment of THW plus the probiotic combination; A-THW, after treatment with THW plus a placebo; A-THW-P, after treatment with THW plus the probiotic. </w:t>
      </w:r>
      <w:r w:rsidRPr="00C71DF1">
        <w:rPr>
          <w:rFonts w:cs="Times New Roman" w:hint="eastAsia"/>
          <w:lang w:eastAsia="zh-CN" w:bidi="ar"/>
        </w:rPr>
        <w:t xml:space="preserve">MDI, microbial dysbiosis index; </w:t>
      </w:r>
      <w:r w:rsidRPr="00C71DF1">
        <w:rPr>
          <w:rFonts w:cs="Times New Roman"/>
          <w:lang w:bidi="ar"/>
        </w:rPr>
        <w:t>* P-value &lt;0.05; ** P-value &lt;0.01; *** P-value &lt;0.001.</w:t>
      </w:r>
      <w:r w:rsidRPr="00C71DF1">
        <w:rPr>
          <w:rFonts w:cs="Times New Roman" w:hint="eastAsia"/>
          <w:lang w:bidi="ar"/>
        </w:rPr>
        <w:t xml:space="preserve"> </w:t>
      </w:r>
    </w:p>
    <w:p w14:paraId="406E7E97" w14:textId="77777777" w:rsidR="000C243C" w:rsidRPr="00C71DF1" w:rsidRDefault="000C243C">
      <w:pPr>
        <w:rPr>
          <w:rFonts w:cs="Times New Roman"/>
          <w:lang w:bidi="ar"/>
        </w:rPr>
      </w:pPr>
    </w:p>
    <w:p w14:paraId="69FB2D10" w14:textId="77777777" w:rsidR="000C243C" w:rsidRPr="00C71DF1" w:rsidRDefault="000C243C">
      <w:pPr>
        <w:rPr>
          <w:rFonts w:cs="Times New Roman"/>
          <w:lang w:bidi="ar"/>
        </w:rPr>
      </w:pPr>
    </w:p>
    <w:p w14:paraId="63FCA038" w14:textId="77777777" w:rsidR="000C243C" w:rsidRPr="00C71DF1" w:rsidRDefault="000C243C">
      <w:pPr>
        <w:rPr>
          <w:rFonts w:cs="Times New Roman"/>
          <w:lang w:bidi="ar"/>
        </w:rPr>
      </w:pPr>
    </w:p>
    <w:p w14:paraId="6D9B6347" w14:textId="77777777" w:rsidR="000C243C" w:rsidRPr="00C71DF1" w:rsidRDefault="000C243C">
      <w:pPr>
        <w:rPr>
          <w:rFonts w:cs="Times New Roman"/>
          <w:lang w:bidi="ar"/>
        </w:rPr>
      </w:pPr>
    </w:p>
    <w:p w14:paraId="7D3C79F3" w14:textId="77777777" w:rsidR="000C243C" w:rsidRPr="00C71DF1" w:rsidRDefault="000C243C">
      <w:pPr>
        <w:rPr>
          <w:rFonts w:cs="Times New Roman"/>
          <w:lang w:bidi="ar"/>
        </w:rPr>
      </w:pPr>
    </w:p>
    <w:p w14:paraId="141F537E" w14:textId="77777777" w:rsidR="000C243C" w:rsidRPr="00C71DF1" w:rsidRDefault="000C243C">
      <w:pPr>
        <w:rPr>
          <w:rFonts w:cs="Times New Roman"/>
          <w:lang w:bidi="ar"/>
        </w:rPr>
      </w:pPr>
    </w:p>
    <w:p w14:paraId="10D2D820" w14:textId="77777777" w:rsidR="000C243C" w:rsidRPr="00C71DF1" w:rsidRDefault="000C243C">
      <w:pPr>
        <w:rPr>
          <w:rFonts w:cs="Times New Roman"/>
          <w:lang w:bidi="ar"/>
        </w:rPr>
      </w:pPr>
    </w:p>
    <w:p w14:paraId="03BA04D1" w14:textId="77777777" w:rsidR="000C243C" w:rsidRPr="00C71DF1" w:rsidRDefault="00697DFB">
      <w:pPr>
        <w:pStyle w:val="Heading1"/>
      </w:pPr>
      <w:r w:rsidRPr="00C71DF1">
        <w:lastRenderedPageBreak/>
        <w:t>Supplementary Table</w:t>
      </w:r>
    </w:p>
    <w:p w14:paraId="12577A74" w14:textId="77777777" w:rsidR="000C243C" w:rsidRPr="00C71DF1" w:rsidRDefault="00697DFB">
      <w:pPr>
        <w:rPr>
          <w:rFonts w:eastAsia="SimSun" w:cs="Times New Roman"/>
          <w:b/>
          <w:bCs/>
          <w:lang w:eastAsia="zh-CN"/>
        </w:rPr>
      </w:pPr>
      <w:r w:rsidRPr="00C71DF1">
        <w:rPr>
          <w:rFonts w:eastAsia="SimSun" w:cs="Times New Roman" w:hint="eastAsia"/>
          <w:b/>
          <w:bCs/>
          <w:lang w:bidi="ar"/>
        </w:rPr>
        <w:t xml:space="preserve">Supplementary </w:t>
      </w:r>
      <w:r w:rsidRPr="00C71DF1">
        <w:rPr>
          <w:rFonts w:eastAsia="SimSun" w:cs="Times New Roman" w:hint="eastAsia"/>
          <w:b/>
          <w:bCs/>
          <w:lang w:eastAsia="zh-CN" w:bidi="ar"/>
        </w:rPr>
        <w:t>Table</w:t>
      </w:r>
      <w:r w:rsidRPr="00C71DF1">
        <w:rPr>
          <w:rFonts w:eastAsia="SimSun" w:cs="Times New Roman" w:hint="eastAsia"/>
          <w:b/>
          <w:bCs/>
          <w:lang w:bidi="ar"/>
        </w:rPr>
        <w:t xml:space="preserve"> </w:t>
      </w:r>
      <w:r w:rsidRPr="00C71DF1">
        <w:rPr>
          <w:rFonts w:eastAsia="SimSun" w:cs="Times New Roman" w:hint="eastAsia"/>
          <w:b/>
          <w:bCs/>
          <w:lang w:eastAsia="zh-CN" w:bidi="ar"/>
        </w:rPr>
        <w:t>1</w:t>
      </w:r>
      <w:r w:rsidRPr="00C71DF1">
        <w:rPr>
          <w:rFonts w:cs="Times New Roman" w:hint="eastAsia"/>
          <w:b/>
          <w:bCs/>
        </w:rPr>
        <w:t>. Plasma indicators</w:t>
      </w:r>
      <w:r w:rsidRPr="00C71DF1">
        <w:rPr>
          <w:rFonts w:eastAsia="SimSun" w:cs="Times New Roman" w:hint="eastAsia"/>
          <w:b/>
          <w:bCs/>
          <w:lang w:eastAsia="zh-CN"/>
        </w:rPr>
        <w:t>.</w:t>
      </w:r>
    </w:p>
    <w:p w14:paraId="41017448" w14:textId="77777777" w:rsidR="000C243C" w:rsidRPr="00C71DF1" w:rsidRDefault="000C243C">
      <w:pPr>
        <w:rPr>
          <w:rFonts w:eastAsia="SimSun" w:cs="Times New Roman"/>
          <w:b/>
          <w:bCs/>
          <w:lang w:eastAsia="zh-CN"/>
        </w:rPr>
      </w:pPr>
    </w:p>
    <w:p w14:paraId="6FD6B436" w14:textId="77777777" w:rsidR="000C243C" w:rsidRPr="00C71DF1" w:rsidRDefault="000C243C">
      <w:pPr>
        <w:rPr>
          <w:rFonts w:eastAsia="SimSun" w:cs="Times New Roman"/>
          <w:b/>
          <w:bCs/>
          <w:lang w:eastAsia="zh-CN"/>
        </w:rPr>
      </w:pPr>
    </w:p>
    <w:p w14:paraId="1ACC7574" w14:textId="77777777" w:rsidR="000C243C" w:rsidRPr="00C71DF1" w:rsidRDefault="000C243C">
      <w:pPr>
        <w:rPr>
          <w:rFonts w:eastAsia="SimSun" w:cs="Times New Roman"/>
          <w:b/>
          <w:bCs/>
          <w:lang w:eastAsia="zh-CN"/>
        </w:rPr>
      </w:pPr>
    </w:p>
    <w:p w14:paraId="30C2A41B" w14:textId="77777777" w:rsidR="000C243C" w:rsidRPr="00C71DF1" w:rsidRDefault="000C243C">
      <w:pPr>
        <w:rPr>
          <w:rFonts w:eastAsia="SimSun" w:cs="Times New Roman"/>
          <w:b/>
          <w:bCs/>
          <w:lang w:eastAsia="zh-CN"/>
        </w:rPr>
      </w:pPr>
    </w:p>
    <w:p w14:paraId="361E65CB" w14:textId="77777777" w:rsidR="000C243C" w:rsidRPr="00C71DF1" w:rsidRDefault="000C243C">
      <w:pPr>
        <w:rPr>
          <w:rFonts w:eastAsia="SimSun" w:cs="Times New Roman"/>
          <w:b/>
          <w:bCs/>
          <w:lang w:eastAsia="zh-CN"/>
        </w:rPr>
      </w:pPr>
    </w:p>
    <w:p w14:paraId="4733E93F" w14:textId="77777777" w:rsidR="000C243C" w:rsidRPr="00C71DF1" w:rsidRDefault="000C243C">
      <w:pPr>
        <w:rPr>
          <w:rFonts w:eastAsia="SimSun" w:cs="Times New Roman"/>
          <w:b/>
          <w:bCs/>
          <w:lang w:eastAsia="zh-CN"/>
        </w:rPr>
      </w:pPr>
    </w:p>
    <w:p w14:paraId="2D88012F" w14:textId="77777777" w:rsidR="000C243C" w:rsidRPr="00C71DF1" w:rsidRDefault="000C243C">
      <w:pPr>
        <w:rPr>
          <w:rFonts w:eastAsia="SimSun" w:cs="Times New Roman"/>
          <w:b/>
          <w:bCs/>
          <w:lang w:eastAsia="zh-CN"/>
        </w:rPr>
      </w:pPr>
    </w:p>
    <w:p w14:paraId="55A2461C" w14:textId="77777777" w:rsidR="000C243C" w:rsidRPr="00C71DF1" w:rsidRDefault="000C243C">
      <w:pPr>
        <w:rPr>
          <w:rFonts w:eastAsia="SimSun" w:cs="Times New Roman"/>
          <w:b/>
          <w:bCs/>
          <w:lang w:eastAsia="zh-CN"/>
        </w:rPr>
      </w:pPr>
    </w:p>
    <w:p w14:paraId="4D687870" w14:textId="77777777" w:rsidR="000C243C" w:rsidRPr="00C71DF1" w:rsidRDefault="000C243C">
      <w:pPr>
        <w:rPr>
          <w:rFonts w:eastAsia="SimSun" w:cs="Times New Roman"/>
          <w:b/>
          <w:bCs/>
          <w:lang w:eastAsia="zh-CN"/>
        </w:rPr>
      </w:pPr>
    </w:p>
    <w:p w14:paraId="3BE1397A" w14:textId="77777777" w:rsidR="000C243C" w:rsidRPr="00C71DF1" w:rsidRDefault="000C243C">
      <w:pPr>
        <w:rPr>
          <w:rFonts w:eastAsia="SimSun" w:cs="Times New Roman"/>
          <w:b/>
          <w:bCs/>
          <w:lang w:eastAsia="zh-CN"/>
        </w:rPr>
      </w:pPr>
    </w:p>
    <w:p w14:paraId="4A66E086" w14:textId="77777777" w:rsidR="000C243C" w:rsidRPr="00C71DF1" w:rsidRDefault="000C243C">
      <w:pPr>
        <w:rPr>
          <w:rFonts w:eastAsia="SimSun" w:cs="Times New Roman"/>
          <w:b/>
          <w:bCs/>
          <w:lang w:eastAsia="zh-CN"/>
        </w:rPr>
      </w:pPr>
    </w:p>
    <w:p w14:paraId="67C06166" w14:textId="77777777" w:rsidR="000C243C" w:rsidRPr="00C71DF1" w:rsidRDefault="000C243C">
      <w:pPr>
        <w:rPr>
          <w:rFonts w:eastAsia="SimSun" w:cs="Times New Roman"/>
          <w:b/>
          <w:bCs/>
          <w:lang w:eastAsia="zh-CN"/>
        </w:rPr>
      </w:pPr>
    </w:p>
    <w:p w14:paraId="5A657566" w14:textId="77777777" w:rsidR="000C243C" w:rsidRPr="00C71DF1" w:rsidRDefault="000C243C">
      <w:pPr>
        <w:rPr>
          <w:rFonts w:eastAsia="SimSun" w:cs="Times New Roman"/>
          <w:b/>
          <w:bCs/>
          <w:lang w:eastAsia="zh-CN"/>
        </w:rPr>
      </w:pPr>
    </w:p>
    <w:p w14:paraId="0155A0C0" w14:textId="77777777" w:rsidR="000C243C" w:rsidRPr="00C71DF1" w:rsidRDefault="000C243C">
      <w:pPr>
        <w:rPr>
          <w:rFonts w:eastAsia="SimSun" w:cs="Times New Roman"/>
          <w:b/>
          <w:bCs/>
          <w:lang w:eastAsia="zh-CN"/>
        </w:rPr>
      </w:pPr>
    </w:p>
    <w:p w14:paraId="4D049F4B" w14:textId="77777777" w:rsidR="000C243C" w:rsidRPr="00C71DF1" w:rsidRDefault="000C243C">
      <w:pPr>
        <w:rPr>
          <w:rFonts w:eastAsia="SimSun" w:cs="Times New Roman"/>
          <w:b/>
          <w:bCs/>
          <w:lang w:eastAsia="zh-CN"/>
        </w:rPr>
      </w:pPr>
    </w:p>
    <w:p w14:paraId="455FED45" w14:textId="77777777" w:rsidR="000C243C" w:rsidRPr="00C71DF1" w:rsidRDefault="000C243C">
      <w:pPr>
        <w:rPr>
          <w:rFonts w:eastAsia="SimSun" w:cs="Times New Roman"/>
          <w:b/>
          <w:bCs/>
          <w:lang w:eastAsia="zh-CN"/>
        </w:rPr>
      </w:pPr>
    </w:p>
    <w:p w14:paraId="0C1E3A06" w14:textId="77777777" w:rsidR="000C243C" w:rsidRPr="00C71DF1" w:rsidRDefault="000C243C">
      <w:pPr>
        <w:rPr>
          <w:rFonts w:eastAsia="SimSun" w:cs="Times New Roman"/>
          <w:b/>
          <w:bCs/>
          <w:lang w:eastAsia="zh-CN"/>
        </w:rPr>
      </w:pPr>
    </w:p>
    <w:p w14:paraId="7EA4B65E" w14:textId="77777777" w:rsidR="000C243C" w:rsidRPr="00C71DF1" w:rsidRDefault="000C243C">
      <w:pPr>
        <w:rPr>
          <w:rFonts w:eastAsia="SimSun" w:cs="Times New Roman"/>
          <w:b/>
          <w:bCs/>
          <w:lang w:eastAsia="zh-CN"/>
        </w:rPr>
      </w:pPr>
    </w:p>
    <w:p w14:paraId="0FF52B36" w14:textId="77777777" w:rsidR="000C243C" w:rsidRPr="00C71DF1" w:rsidRDefault="000C243C">
      <w:pPr>
        <w:rPr>
          <w:rFonts w:eastAsia="SimSun" w:cs="Times New Roman"/>
          <w:b/>
          <w:bCs/>
          <w:lang w:eastAsia="zh-CN"/>
        </w:rPr>
      </w:pPr>
    </w:p>
    <w:p w14:paraId="4B878238" w14:textId="77777777" w:rsidR="000C243C" w:rsidRPr="00C71DF1" w:rsidRDefault="000C243C">
      <w:pPr>
        <w:rPr>
          <w:rFonts w:eastAsia="SimSun" w:cs="Times New Roman"/>
          <w:b/>
          <w:bCs/>
          <w:lang w:eastAsia="zh-CN"/>
        </w:rPr>
      </w:pPr>
    </w:p>
    <w:p w14:paraId="289B82C0" w14:textId="77777777" w:rsidR="000C243C" w:rsidRPr="00C71DF1" w:rsidRDefault="000C243C">
      <w:pPr>
        <w:rPr>
          <w:rFonts w:eastAsia="SimSun" w:cs="Times New Roman"/>
          <w:b/>
          <w:bCs/>
          <w:lang w:eastAsia="zh-CN"/>
        </w:rPr>
      </w:pPr>
    </w:p>
    <w:p w14:paraId="70F3C282" w14:textId="77777777" w:rsidR="000C243C" w:rsidRPr="00C71DF1" w:rsidRDefault="000C243C">
      <w:pPr>
        <w:rPr>
          <w:rFonts w:eastAsia="SimSun" w:cs="Times New Roman"/>
          <w:b/>
          <w:bCs/>
          <w:lang w:eastAsia="zh-CN"/>
        </w:rPr>
      </w:pPr>
    </w:p>
    <w:p w14:paraId="5279EF5C" w14:textId="77777777" w:rsidR="000C243C" w:rsidRPr="00C71DF1" w:rsidRDefault="000C243C">
      <w:pPr>
        <w:rPr>
          <w:rFonts w:eastAsia="SimSun" w:cs="Times New Roman"/>
          <w:b/>
          <w:bCs/>
          <w:lang w:eastAsia="zh-CN"/>
        </w:rPr>
      </w:pPr>
    </w:p>
    <w:tbl>
      <w:tblPr>
        <w:tblW w:w="8880" w:type="dxa"/>
        <w:tblLook w:val="04A0" w:firstRow="1" w:lastRow="0" w:firstColumn="1" w:lastColumn="0" w:noHBand="0" w:noVBand="1"/>
      </w:tblPr>
      <w:tblGrid>
        <w:gridCol w:w="3015"/>
        <w:gridCol w:w="1984"/>
        <w:gridCol w:w="2164"/>
        <w:gridCol w:w="1717"/>
      </w:tblGrid>
      <w:tr w:rsidR="00C71DF1" w:rsidRPr="00C71DF1" w14:paraId="0098B4D8" w14:textId="77777777">
        <w:trPr>
          <w:trHeight w:val="38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AE07942" w14:textId="77777777" w:rsidR="000C243C" w:rsidRPr="00C71DF1" w:rsidRDefault="00697DFB">
            <w:pPr>
              <w:spacing w:before="0" w:after="0"/>
              <w:rPr>
                <w:rFonts w:eastAsia="SimSun" w:cs="Times New Roman"/>
                <w:b/>
                <w:bCs/>
                <w:sz w:val="20"/>
                <w:szCs w:val="20"/>
                <w:lang w:eastAsia="zh-CN"/>
              </w:rPr>
            </w:pPr>
            <w:r w:rsidRPr="00C71DF1">
              <w:rPr>
                <w:rFonts w:eastAsia="SimSun" w:cs="Times New Roman"/>
                <w:b/>
                <w:bCs/>
                <w:sz w:val="20"/>
                <w:szCs w:val="20"/>
                <w:lang w:eastAsia="zh-CN"/>
              </w:rPr>
              <w:lastRenderedPageBreak/>
              <w:t>Table-S1. Plasma indicators</w:t>
            </w:r>
          </w:p>
        </w:tc>
      </w:tr>
      <w:tr w:rsidR="00C71DF1" w:rsidRPr="00C71DF1" w14:paraId="223DBE22" w14:textId="77777777">
        <w:trPr>
          <w:trHeight w:val="33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7D5E6A1A" w14:textId="77777777" w:rsidR="000C243C" w:rsidRPr="00C71DF1" w:rsidRDefault="00697DFB">
            <w:pPr>
              <w:spacing w:before="0" w:after="0"/>
              <w:rPr>
                <w:rFonts w:eastAsia="SimSun" w:cs="Times New Roman"/>
                <w:b/>
                <w:bCs/>
                <w:sz w:val="20"/>
                <w:szCs w:val="20"/>
                <w:lang w:eastAsia="zh-CN"/>
              </w:rPr>
            </w:pPr>
            <w:r w:rsidRPr="00C71DF1">
              <w:rPr>
                <w:rFonts w:eastAsia="SimSun" w:cs="Times New Roman"/>
                <w:b/>
                <w:bCs/>
                <w:sz w:val="20"/>
                <w:szCs w:val="20"/>
                <w:lang w:eastAsia="zh-CN"/>
              </w:rPr>
              <w:t>Variable</w:t>
            </w:r>
          </w:p>
        </w:tc>
        <w:tc>
          <w:tcPr>
            <w:tcW w:w="1984" w:type="dxa"/>
            <w:tcBorders>
              <w:top w:val="nil"/>
              <w:left w:val="nil"/>
              <w:bottom w:val="single" w:sz="4" w:space="0" w:color="auto"/>
              <w:right w:val="single" w:sz="4" w:space="0" w:color="auto"/>
            </w:tcBorders>
            <w:shd w:val="clear" w:color="auto" w:fill="auto"/>
            <w:vAlign w:val="center"/>
          </w:tcPr>
          <w:p w14:paraId="2A196B06" w14:textId="77777777" w:rsidR="000C243C" w:rsidRPr="00C71DF1" w:rsidRDefault="00697DFB">
            <w:pPr>
              <w:spacing w:before="0" w:after="0"/>
              <w:jc w:val="center"/>
              <w:rPr>
                <w:rFonts w:eastAsia="SimSun" w:cs="Times New Roman"/>
                <w:b/>
                <w:bCs/>
                <w:sz w:val="20"/>
                <w:szCs w:val="20"/>
                <w:lang w:eastAsia="zh-CN"/>
              </w:rPr>
            </w:pPr>
            <w:r w:rsidRPr="00C71DF1">
              <w:rPr>
                <w:rFonts w:eastAsia="SimSun" w:cs="Times New Roman"/>
                <w:b/>
                <w:bCs/>
                <w:sz w:val="20"/>
                <w:szCs w:val="20"/>
                <w:lang w:eastAsia="zh-CN"/>
              </w:rPr>
              <w:t>Placebo group (n=16)</w:t>
            </w:r>
          </w:p>
        </w:tc>
        <w:tc>
          <w:tcPr>
            <w:tcW w:w="2164" w:type="dxa"/>
            <w:tcBorders>
              <w:top w:val="nil"/>
              <w:left w:val="nil"/>
              <w:bottom w:val="single" w:sz="4" w:space="0" w:color="auto"/>
              <w:right w:val="single" w:sz="4" w:space="0" w:color="auto"/>
            </w:tcBorders>
            <w:shd w:val="clear" w:color="auto" w:fill="auto"/>
            <w:vAlign w:val="center"/>
          </w:tcPr>
          <w:p w14:paraId="2C2B82B3" w14:textId="77777777" w:rsidR="000C243C" w:rsidRPr="00C71DF1" w:rsidRDefault="00697DFB">
            <w:pPr>
              <w:spacing w:before="0" w:after="0"/>
              <w:jc w:val="center"/>
              <w:rPr>
                <w:rFonts w:eastAsia="SimSun" w:cs="Times New Roman"/>
                <w:b/>
                <w:bCs/>
                <w:sz w:val="20"/>
                <w:szCs w:val="20"/>
                <w:lang w:eastAsia="zh-CN"/>
              </w:rPr>
            </w:pPr>
            <w:r w:rsidRPr="00C71DF1">
              <w:rPr>
                <w:rFonts w:eastAsia="SimSun" w:cs="Times New Roman"/>
                <w:b/>
                <w:bCs/>
                <w:sz w:val="20"/>
                <w:szCs w:val="20"/>
                <w:lang w:eastAsia="zh-CN"/>
              </w:rPr>
              <w:t>Probiotic group (n=23)</w:t>
            </w:r>
          </w:p>
        </w:tc>
        <w:tc>
          <w:tcPr>
            <w:tcW w:w="1717" w:type="dxa"/>
            <w:tcBorders>
              <w:top w:val="nil"/>
              <w:left w:val="nil"/>
              <w:bottom w:val="single" w:sz="4" w:space="0" w:color="auto"/>
              <w:right w:val="single" w:sz="4" w:space="0" w:color="auto"/>
            </w:tcBorders>
            <w:shd w:val="clear" w:color="auto" w:fill="auto"/>
            <w:vAlign w:val="center"/>
          </w:tcPr>
          <w:p w14:paraId="1C41C560" w14:textId="77777777" w:rsidR="000C243C" w:rsidRPr="00C71DF1" w:rsidRDefault="00697DFB">
            <w:pPr>
              <w:spacing w:before="0" w:after="0"/>
              <w:jc w:val="center"/>
              <w:rPr>
                <w:rFonts w:eastAsia="SimSun" w:cs="Times New Roman"/>
                <w:b/>
                <w:bCs/>
                <w:sz w:val="20"/>
                <w:szCs w:val="20"/>
                <w:lang w:eastAsia="zh-CN"/>
              </w:rPr>
            </w:pPr>
            <w:r w:rsidRPr="00C71DF1">
              <w:rPr>
                <w:rFonts w:eastAsia="SimSun" w:cs="Times New Roman"/>
                <w:b/>
                <w:bCs/>
                <w:sz w:val="20"/>
                <w:szCs w:val="20"/>
                <w:lang w:eastAsia="zh-CN"/>
              </w:rPr>
              <w:t>P value</w:t>
            </w:r>
          </w:p>
        </w:tc>
      </w:tr>
      <w:tr w:rsidR="00C71DF1" w:rsidRPr="00C71DF1" w14:paraId="4E8E234D"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5B3D20E" w14:textId="77777777" w:rsidR="000C243C" w:rsidRPr="00C71DF1" w:rsidRDefault="00697DFB">
            <w:pPr>
              <w:spacing w:before="0" w:after="0"/>
              <w:rPr>
                <w:rFonts w:eastAsia="SimSun" w:cs="Times New Roman"/>
                <w:b/>
                <w:bCs/>
                <w:sz w:val="20"/>
                <w:szCs w:val="20"/>
                <w:lang w:eastAsia="zh-CN"/>
              </w:rPr>
            </w:pPr>
            <w:r w:rsidRPr="00C71DF1">
              <w:rPr>
                <w:rFonts w:eastAsia="SimSun" w:cs="Times New Roman"/>
                <w:b/>
                <w:bCs/>
                <w:sz w:val="20"/>
                <w:szCs w:val="20"/>
                <w:lang w:eastAsia="zh-CN"/>
              </w:rPr>
              <w:t>Hepatic function</w:t>
            </w:r>
          </w:p>
        </w:tc>
      </w:tr>
      <w:tr w:rsidR="00C71DF1" w:rsidRPr="00C71DF1" w14:paraId="4A3EE559"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DED0E00" w14:textId="77777777" w:rsidR="000C243C" w:rsidRPr="00C71DF1" w:rsidRDefault="00697DFB">
            <w:pPr>
              <w:spacing w:before="0" w:after="0"/>
              <w:rPr>
                <w:rFonts w:eastAsia="SimSun" w:cs="Times New Roman"/>
                <w:sz w:val="20"/>
                <w:szCs w:val="20"/>
                <w:lang w:val="nl-NL" w:eastAsia="zh-CN"/>
              </w:rPr>
            </w:pPr>
            <w:r w:rsidRPr="00C71DF1">
              <w:rPr>
                <w:rFonts w:eastAsia="SimSun" w:cs="Times New Roman"/>
                <w:sz w:val="20"/>
                <w:szCs w:val="20"/>
                <w:lang w:val="nl-NL" w:eastAsia="zh-CN"/>
              </w:rPr>
              <w:t xml:space="preserve">ALT (U/L, </w:t>
            </w:r>
            <w:proofErr w:type="spellStart"/>
            <w:r w:rsidRPr="00C71DF1">
              <w:rPr>
                <w:rFonts w:eastAsia="SimSun" w:cs="Times New Roman"/>
                <w:sz w:val="20"/>
                <w:szCs w:val="20"/>
                <w:lang w:val="nl-NL" w:eastAsia="zh-CN"/>
              </w:rPr>
              <w:t>mean±SD</w:t>
            </w:r>
            <w:proofErr w:type="spellEnd"/>
            <w:r w:rsidRPr="00C71DF1">
              <w:rPr>
                <w:rFonts w:eastAsia="SimSun" w:cs="Times New Roman"/>
                <w:sz w:val="20"/>
                <w:szCs w:val="20"/>
                <w:lang w:val="nl-NL" w:eastAsia="zh-CN"/>
              </w:rPr>
              <w:t>)</w:t>
            </w:r>
          </w:p>
        </w:tc>
      </w:tr>
      <w:tr w:rsidR="00C71DF1" w:rsidRPr="00C71DF1" w14:paraId="54F74C25"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69F16EE1"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6E37AEFD"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16.51±8.77</w:t>
            </w:r>
          </w:p>
        </w:tc>
        <w:tc>
          <w:tcPr>
            <w:tcW w:w="2164" w:type="dxa"/>
            <w:tcBorders>
              <w:top w:val="nil"/>
              <w:left w:val="nil"/>
              <w:bottom w:val="single" w:sz="4" w:space="0" w:color="auto"/>
              <w:right w:val="single" w:sz="4" w:space="0" w:color="auto"/>
            </w:tcBorders>
            <w:shd w:val="clear" w:color="auto" w:fill="auto"/>
            <w:noWrap/>
            <w:vAlign w:val="center"/>
          </w:tcPr>
          <w:p w14:paraId="69410669"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14.36±5.72</w:t>
            </w:r>
          </w:p>
        </w:tc>
        <w:tc>
          <w:tcPr>
            <w:tcW w:w="1717" w:type="dxa"/>
            <w:tcBorders>
              <w:top w:val="nil"/>
              <w:left w:val="nil"/>
              <w:bottom w:val="single" w:sz="4" w:space="0" w:color="auto"/>
              <w:right w:val="single" w:sz="4" w:space="0" w:color="auto"/>
            </w:tcBorders>
            <w:shd w:val="clear" w:color="auto" w:fill="auto"/>
            <w:noWrap/>
            <w:vAlign w:val="center"/>
          </w:tcPr>
          <w:p w14:paraId="7E9FD690"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0.741</w:t>
            </w:r>
          </w:p>
        </w:tc>
      </w:tr>
      <w:tr w:rsidR="00C71DF1" w:rsidRPr="00C71DF1" w14:paraId="43F1C0E6"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2E310EC5"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2B10618D"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28.38±16.57</w:t>
            </w:r>
          </w:p>
        </w:tc>
        <w:tc>
          <w:tcPr>
            <w:tcW w:w="2164" w:type="dxa"/>
            <w:tcBorders>
              <w:top w:val="nil"/>
              <w:left w:val="nil"/>
              <w:bottom w:val="single" w:sz="4" w:space="0" w:color="auto"/>
              <w:right w:val="single" w:sz="4" w:space="0" w:color="auto"/>
            </w:tcBorders>
            <w:shd w:val="clear" w:color="auto" w:fill="auto"/>
            <w:noWrap/>
            <w:vAlign w:val="center"/>
          </w:tcPr>
          <w:p w14:paraId="2E7B2ABA"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26.57±12.87</w:t>
            </w:r>
          </w:p>
        </w:tc>
        <w:tc>
          <w:tcPr>
            <w:tcW w:w="1717" w:type="dxa"/>
            <w:tcBorders>
              <w:top w:val="nil"/>
              <w:left w:val="nil"/>
              <w:bottom w:val="single" w:sz="4" w:space="0" w:color="auto"/>
              <w:right w:val="single" w:sz="4" w:space="0" w:color="auto"/>
            </w:tcBorders>
            <w:shd w:val="clear" w:color="auto" w:fill="auto"/>
            <w:noWrap/>
            <w:vAlign w:val="center"/>
          </w:tcPr>
          <w:p w14:paraId="4622E681"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0.099</w:t>
            </w:r>
          </w:p>
        </w:tc>
      </w:tr>
      <w:tr w:rsidR="00C71DF1" w:rsidRPr="00C71DF1" w14:paraId="14A5C415"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820FD2" w14:textId="77777777" w:rsidR="000C243C" w:rsidRPr="00C71DF1" w:rsidRDefault="00697DFB">
            <w:pPr>
              <w:spacing w:before="0" w:after="0"/>
              <w:rPr>
                <w:rFonts w:eastAsia="SimSun" w:cs="Times New Roman"/>
                <w:sz w:val="20"/>
                <w:szCs w:val="20"/>
                <w:lang w:val="nl-NL" w:eastAsia="zh-CN"/>
              </w:rPr>
            </w:pPr>
            <w:r w:rsidRPr="00C71DF1">
              <w:rPr>
                <w:rFonts w:eastAsia="SimSun" w:cs="Times New Roman"/>
                <w:sz w:val="20"/>
                <w:szCs w:val="20"/>
                <w:lang w:val="nl-NL" w:eastAsia="zh-CN"/>
              </w:rPr>
              <w:t xml:space="preserve">AST (U/L, </w:t>
            </w:r>
            <w:proofErr w:type="spellStart"/>
            <w:r w:rsidRPr="00C71DF1">
              <w:rPr>
                <w:rFonts w:eastAsia="SimSun" w:cs="Times New Roman"/>
                <w:sz w:val="20"/>
                <w:szCs w:val="20"/>
                <w:lang w:val="nl-NL" w:eastAsia="zh-CN"/>
              </w:rPr>
              <w:t>mean±SD</w:t>
            </w:r>
            <w:proofErr w:type="spellEnd"/>
            <w:r w:rsidRPr="00C71DF1">
              <w:rPr>
                <w:rFonts w:eastAsia="SimSun" w:cs="Times New Roman"/>
                <w:sz w:val="20"/>
                <w:szCs w:val="20"/>
                <w:lang w:val="nl-NL" w:eastAsia="zh-CN"/>
              </w:rPr>
              <w:t>)</w:t>
            </w:r>
          </w:p>
        </w:tc>
      </w:tr>
      <w:tr w:rsidR="00C71DF1" w:rsidRPr="00C71DF1" w14:paraId="1F6E07DE"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36601679"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1F4AE651"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19.73±4.63</w:t>
            </w:r>
          </w:p>
        </w:tc>
        <w:tc>
          <w:tcPr>
            <w:tcW w:w="2164" w:type="dxa"/>
            <w:tcBorders>
              <w:top w:val="nil"/>
              <w:left w:val="nil"/>
              <w:bottom w:val="single" w:sz="4" w:space="0" w:color="auto"/>
              <w:right w:val="single" w:sz="4" w:space="0" w:color="auto"/>
            </w:tcBorders>
            <w:shd w:val="clear" w:color="auto" w:fill="auto"/>
            <w:noWrap/>
            <w:vAlign w:val="center"/>
          </w:tcPr>
          <w:p w14:paraId="17727A69"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17.67±3.33</w:t>
            </w:r>
          </w:p>
        </w:tc>
        <w:tc>
          <w:tcPr>
            <w:tcW w:w="1717" w:type="dxa"/>
            <w:tcBorders>
              <w:top w:val="nil"/>
              <w:left w:val="nil"/>
              <w:bottom w:val="single" w:sz="4" w:space="0" w:color="auto"/>
              <w:right w:val="single" w:sz="4" w:space="0" w:color="auto"/>
            </w:tcBorders>
            <w:shd w:val="clear" w:color="auto" w:fill="auto"/>
            <w:noWrap/>
            <w:vAlign w:val="center"/>
          </w:tcPr>
          <w:p w14:paraId="1DCEBE7A"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0.187</w:t>
            </w:r>
          </w:p>
        </w:tc>
      </w:tr>
      <w:tr w:rsidR="00C71DF1" w:rsidRPr="00C71DF1" w14:paraId="2C8B7A3C"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5B30964E"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72031330"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30.28±13.71</w:t>
            </w:r>
          </w:p>
        </w:tc>
        <w:tc>
          <w:tcPr>
            <w:tcW w:w="2164" w:type="dxa"/>
            <w:tcBorders>
              <w:top w:val="nil"/>
              <w:left w:val="nil"/>
              <w:bottom w:val="single" w:sz="4" w:space="0" w:color="auto"/>
              <w:right w:val="single" w:sz="4" w:space="0" w:color="auto"/>
            </w:tcBorders>
            <w:shd w:val="clear" w:color="auto" w:fill="auto"/>
            <w:noWrap/>
            <w:vAlign w:val="center"/>
          </w:tcPr>
          <w:p w14:paraId="7B040501"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24.48±12.74</w:t>
            </w:r>
          </w:p>
        </w:tc>
        <w:tc>
          <w:tcPr>
            <w:tcW w:w="1717" w:type="dxa"/>
            <w:tcBorders>
              <w:top w:val="nil"/>
              <w:left w:val="nil"/>
              <w:bottom w:val="single" w:sz="4" w:space="0" w:color="auto"/>
              <w:right w:val="single" w:sz="4" w:space="0" w:color="auto"/>
            </w:tcBorders>
            <w:shd w:val="clear" w:color="auto" w:fill="auto"/>
            <w:noWrap/>
            <w:vAlign w:val="center"/>
          </w:tcPr>
          <w:p w14:paraId="6440FF35"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0.361</w:t>
            </w:r>
          </w:p>
        </w:tc>
      </w:tr>
      <w:tr w:rsidR="00C71DF1" w:rsidRPr="00C71DF1" w14:paraId="240CB802"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DDD0B70"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ALB (g/L,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72E5E249"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16FBE2FF"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584001F0"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44.67±2.15</w:t>
            </w:r>
          </w:p>
        </w:tc>
        <w:tc>
          <w:tcPr>
            <w:tcW w:w="2164" w:type="dxa"/>
            <w:tcBorders>
              <w:top w:val="nil"/>
              <w:left w:val="nil"/>
              <w:bottom w:val="single" w:sz="4" w:space="0" w:color="auto"/>
              <w:right w:val="single" w:sz="4" w:space="0" w:color="auto"/>
            </w:tcBorders>
            <w:shd w:val="clear" w:color="auto" w:fill="auto"/>
            <w:noWrap/>
            <w:vAlign w:val="center"/>
          </w:tcPr>
          <w:p w14:paraId="2A9741F6"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45.33±2.86</w:t>
            </w:r>
          </w:p>
        </w:tc>
        <w:tc>
          <w:tcPr>
            <w:tcW w:w="1717" w:type="dxa"/>
            <w:tcBorders>
              <w:top w:val="nil"/>
              <w:left w:val="nil"/>
              <w:bottom w:val="single" w:sz="4" w:space="0" w:color="auto"/>
              <w:right w:val="single" w:sz="4" w:space="0" w:color="auto"/>
            </w:tcBorders>
            <w:shd w:val="clear" w:color="auto" w:fill="auto"/>
            <w:noWrap/>
            <w:vAlign w:val="center"/>
          </w:tcPr>
          <w:p w14:paraId="07CA31D1"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0.471</w:t>
            </w:r>
          </w:p>
        </w:tc>
      </w:tr>
      <w:tr w:rsidR="00C71DF1" w:rsidRPr="00C71DF1" w14:paraId="1533D4D3"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7826EFAB"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08C57BB8"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44.25±3.06</w:t>
            </w:r>
          </w:p>
        </w:tc>
        <w:tc>
          <w:tcPr>
            <w:tcW w:w="2164" w:type="dxa"/>
            <w:tcBorders>
              <w:top w:val="nil"/>
              <w:left w:val="nil"/>
              <w:bottom w:val="single" w:sz="4" w:space="0" w:color="auto"/>
              <w:right w:val="single" w:sz="4" w:space="0" w:color="auto"/>
            </w:tcBorders>
            <w:shd w:val="clear" w:color="auto" w:fill="auto"/>
            <w:noWrap/>
            <w:vAlign w:val="center"/>
          </w:tcPr>
          <w:p w14:paraId="1B27FA6B"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44.56±4.02</w:t>
            </w:r>
          </w:p>
        </w:tc>
        <w:tc>
          <w:tcPr>
            <w:tcW w:w="1717" w:type="dxa"/>
            <w:tcBorders>
              <w:top w:val="nil"/>
              <w:left w:val="nil"/>
              <w:bottom w:val="single" w:sz="4" w:space="0" w:color="auto"/>
              <w:right w:val="single" w:sz="4" w:space="0" w:color="auto"/>
            </w:tcBorders>
            <w:shd w:val="clear" w:color="auto" w:fill="auto"/>
            <w:noWrap/>
            <w:vAlign w:val="center"/>
          </w:tcPr>
          <w:p w14:paraId="67BE93AA"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0.703</w:t>
            </w:r>
          </w:p>
        </w:tc>
      </w:tr>
      <w:tr w:rsidR="00C71DF1" w:rsidRPr="00C71DF1" w14:paraId="25A0C9BD"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07863FE"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TP (g/L,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34F2C53C"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24680F8F"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4729B342"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73.71±3.41</w:t>
            </w:r>
          </w:p>
        </w:tc>
        <w:tc>
          <w:tcPr>
            <w:tcW w:w="2164" w:type="dxa"/>
            <w:tcBorders>
              <w:top w:val="nil"/>
              <w:left w:val="nil"/>
              <w:bottom w:val="single" w:sz="4" w:space="0" w:color="auto"/>
              <w:right w:val="single" w:sz="4" w:space="0" w:color="auto"/>
            </w:tcBorders>
            <w:shd w:val="clear" w:color="auto" w:fill="auto"/>
            <w:noWrap/>
            <w:vAlign w:val="center"/>
          </w:tcPr>
          <w:p w14:paraId="25CEC60E"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74.10±3.78</w:t>
            </w:r>
          </w:p>
        </w:tc>
        <w:tc>
          <w:tcPr>
            <w:tcW w:w="1717" w:type="dxa"/>
            <w:tcBorders>
              <w:top w:val="nil"/>
              <w:left w:val="nil"/>
              <w:bottom w:val="single" w:sz="4" w:space="0" w:color="auto"/>
              <w:right w:val="single" w:sz="4" w:space="0" w:color="auto"/>
            </w:tcBorders>
            <w:shd w:val="clear" w:color="auto" w:fill="auto"/>
            <w:noWrap/>
            <w:vAlign w:val="center"/>
          </w:tcPr>
          <w:p w14:paraId="0890C56E"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0.662</w:t>
            </w:r>
          </w:p>
        </w:tc>
      </w:tr>
      <w:tr w:rsidR="00C71DF1" w:rsidRPr="00C71DF1" w14:paraId="7D1B16B3"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60855215"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75AACDD0"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75.39±4.82</w:t>
            </w:r>
          </w:p>
        </w:tc>
        <w:tc>
          <w:tcPr>
            <w:tcW w:w="2164" w:type="dxa"/>
            <w:tcBorders>
              <w:top w:val="nil"/>
              <w:left w:val="nil"/>
              <w:bottom w:val="single" w:sz="4" w:space="0" w:color="auto"/>
              <w:right w:val="single" w:sz="4" w:space="0" w:color="auto"/>
            </w:tcBorders>
            <w:shd w:val="clear" w:color="auto" w:fill="auto"/>
            <w:noWrap/>
            <w:vAlign w:val="center"/>
          </w:tcPr>
          <w:p w14:paraId="34A68AC4"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75.78±7.00</w:t>
            </w:r>
          </w:p>
        </w:tc>
        <w:tc>
          <w:tcPr>
            <w:tcW w:w="1717" w:type="dxa"/>
            <w:tcBorders>
              <w:top w:val="nil"/>
              <w:left w:val="nil"/>
              <w:bottom w:val="single" w:sz="4" w:space="0" w:color="auto"/>
              <w:right w:val="single" w:sz="4" w:space="0" w:color="auto"/>
            </w:tcBorders>
            <w:shd w:val="clear" w:color="auto" w:fill="auto"/>
            <w:noWrap/>
            <w:vAlign w:val="center"/>
          </w:tcPr>
          <w:p w14:paraId="742651C0"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0.322</w:t>
            </w:r>
          </w:p>
        </w:tc>
      </w:tr>
      <w:tr w:rsidR="00C71DF1" w:rsidRPr="00C71DF1" w14:paraId="072D817E"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42DD39"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GLB (g/L,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32A52C85"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77CD7192"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1F8AF417"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28.93±3.31</w:t>
            </w:r>
          </w:p>
        </w:tc>
        <w:tc>
          <w:tcPr>
            <w:tcW w:w="2164" w:type="dxa"/>
            <w:tcBorders>
              <w:top w:val="nil"/>
              <w:left w:val="nil"/>
              <w:bottom w:val="single" w:sz="4" w:space="0" w:color="auto"/>
              <w:right w:val="single" w:sz="4" w:space="0" w:color="auto"/>
            </w:tcBorders>
            <w:shd w:val="clear" w:color="auto" w:fill="auto"/>
            <w:noWrap/>
            <w:vAlign w:val="center"/>
          </w:tcPr>
          <w:p w14:paraId="30C2C82F"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28.72±3.51</w:t>
            </w:r>
          </w:p>
        </w:tc>
        <w:tc>
          <w:tcPr>
            <w:tcW w:w="1717" w:type="dxa"/>
            <w:tcBorders>
              <w:top w:val="nil"/>
              <w:left w:val="nil"/>
              <w:bottom w:val="single" w:sz="4" w:space="0" w:color="auto"/>
              <w:right w:val="single" w:sz="4" w:space="0" w:color="auto"/>
            </w:tcBorders>
            <w:shd w:val="clear" w:color="auto" w:fill="auto"/>
            <w:noWrap/>
            <w:vAlign w:val="center"/>
          </w:tcPr>
          <w:p w14:paraId="3B8684E6"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0.801</w:t>
            </w:r>
          </w:p>
        </w:tc>
      </w:tr>
      <w:tr w:rsidR="00C71DF1" w:rsidRPr="00C71DF1" w14:paraId="0A5A9A93"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05A9B04E"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59DD4679"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30.45±3.82</w:t>
            </w:r>
          </w:p>
        </w:tc>
        <w:tc>
          <w:tcPr>
            <w:tcW w:w="2164" w:type="dxa"/>
            <w:tcBorders>
              <w:top w:val="nil"/>
              <w:left w:val="nil"/>
              <w:bottom w:val="single" w:sz="4" w:space="0" w:color="auto"/>
              <w:right w:val="single" w:sz="4" w:space="0" w:color="auto"/>
            </w:tcBorders>
            <w:shd w:val="clear" w:color="auto" w:fill="auto"/>
            <w:noWrap/>
            <w:vAlign w:val="center"/>
          </w:tcPr>
          <w:p w14:paraId="18E57B42"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29.36±3.58</w:t>
            </w:r>
          </w:p>
        </w:tc>
        <w:tc>
          <w:tcPr>
            <w:tcW w:w="1717" w:type="dxa"/>
            <w:tcBorders>
              <w:top w:val="nil"/>
              <w:left w:val="nil"/>
              <w:bottom w:val="single" w:sz="4" w:space="0" w:color="auto"/>
              <w:right w:val="single" w:sz="4" w:space="0" w:color="auto"/>
            </w:tcBorders>
            <w:shd w:val="clear" w:color="auto" w:fill="auto"/>
            <w:noWrap/>
            <w:vAlign w:val="center"/>
          </w:tcPr>
          <w:p w14:paraId="36B64AA6"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0.329</w:t>
            </w:r>
          </w:p>
        </w:tc>
      </w:tr>
      <w:tr w:rsidR="00C71DF1" w:rsidRPr="00C71DF1" w14:paraId="0914C739"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0E8ABD4"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TBIL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5D520BD6"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7D2B9C10"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0D0F0129"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11.69±2.66</w:t>
            </w:r>
          </w:p>
        </w:tc>
        <w:tc>
          <w:tcPr>
            <w:tcW w:w="2164" w:type="dxa"/>
            <w:tcBorders>
              <w:top w:val="nil"/>
              <w:left w:val="nil"/>
              <w:bottom w:val="single" w:sz="4" w:space="0" w:color="auto"/>
              <w:right w:val="single" w:sz="4" w:space="0" w:color="auto"/>
            </w:tcBorders>
            <w:shd w:val="clear" w:color="auto" w:fill="auto"/>
            <w:noWrap/>
            <w:vAlign w:val="center"/>
          </w:tcPr>
          <w:p w14:paraId="13AC3260"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12.84±3.72</w:t>
            </w:r>
          </w:p>
        </w:tc>
        <w:tc>
          <w:tcPr>
            <w:tcW w:w="1717" w:type="dxa"/>
            <w:tcBorders>
              <w:top w:val="nil"/>
              <w:left w:val="nil"/>
              <w:bottom w:val="single" w:sz="4" w:space="0" w:color="auto"/>
              <w:right w:val="single" w:sz="4" w:space="0" w:color="auto"/>
            </w:tcBorders>
            <w:shd w:val="clear" w:color="auto" w:fill="auto"/>
            <w:noWrap/>
            <w:vAlign w:val="center"/>
          </w:tcPr>
          <w:p w14:paraId="5015545B"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0.217</w:t>
            </w:r>
          </w:p>
        </w:tc>
      </w:tr>
      <w:tr w:rsidR="00C71DF1" w:rsidRPr="00C71DF1" w14:paraId="4795DA46"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2F9CF659"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33A3737F"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11.41±3.64</w:t>
            </w:r>
          </w:p>
        </w:tc>
        <w:tc>
          <w:tcPr>
            <w:tcW w:w="2164" w:type="dxa"/>
            <w:tcBorders>
              <w:top w:val="nil"/>
              <w:left w:val="nil"/>
              <w:bottom w:val="single" w:sz="4" w:space="0" w:color="auto"/>
              <w:right w:val="single" w:sz="4" w:space="0" w:color="auto"/>
            </w:tcBorders>
            <w:shd w:val="clear" w:color="auto" w:fill="auto"/>
            <w:noWrap/>
            <w:vAlign w:val="center"/>
          </w:tcPr>
          <w:p w14:paraId="2092ADB3"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11.66±3.30</w:t>
            </w:r>
          </w:p>
        </w:tc>
        <w:tc>
          <w:tcPr>
            <w:tcW w:w="1717" w:type="dxa"/>
            <w:tcBorders>
              <w:top w:val="nil"/>
              <w:left w:val="nil"/>
              <w:bottom w:val="single" w:sz="4" w:space="0" w:color="auto"/>
              <w:right w:val="single" w:sz="4" w:space="0" w:color="auto"/>
            </w:tcBorders>
            <w:shd w:val="clear" w:color="auto" w:fill="auto"/>
            <w:noWrap/>
            <w:vAlign w:val="center"/>
          </w:tcPr>
          <w:p w14:paraId="361E6858"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0.927</w:t>
            </w:r>
          </w:p>
        </w:tc>
      </w:tr>
      <w:tr w:rsidR="00C71DF1" w:rsidRPr="00C71DF1" w14:paraId="67E1D90B"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AE39542"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DBIL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256498B3"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5E50738E"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4F6DF264"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2.17±0.57</w:t>
            </w:r>
          </w:p>
        </w:tc>
        <w:tc>
          <w:tcPr>
            <w:tcW w:w="2164" w:type="dxa"/>
            <w:tcBorders>
              <w:top w:val="nil"/>
              <w:left w:val="nil"/>
              <w:bottom w:val="single" w:sz="4" w:space="0" w:color="auto"/>
              <w:right w:val="single" w:sz="4" w:space="0" w:color="auto"/>
            </w:tcBorders>
            <w:shd w:val="clear" w:color="auto" w:fill="auto"/>
            <w:noWrap/>
            <w:vAlign w:val="center"/>
          </w:tcPr>
          <w:p w14:paraId="47F8BE12"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2.26±0.63</w:t>
            </w:r>
          </w:p>
        </w:tc>
        <w:tc>
          <w:tcPr>
            <w:tcW w:w="1717" w:type="dxa"/>
            <w:tcBorders>
              <w:top w:val="nil"/>
              <w:left w:val="nil"/>
              <w:bottom w:val="single" w:sz="4" w:space="0" w:color="auto"/>
              <w:right w:val="single" w:sz="4" w:space="0" w:color="auto"/>
            </w:tcBorders>
            <w:shd w:val="clear" w:color="auto" w:fill="auto"/>
            <w:noWrap/>
            <w:vAlign w:val="center"/>
          </w:tcPr>
          <w:p w14:paraId="2CA086EA"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0.724</w:t>
            </w:r>
          </w:p>
        </w:tc>
      </w:tr>
      <w:tr w:rsidR="00C71DF1" w:rsidRPr="00C71DF1" w14:paraId="476E4C16"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1F42CEC4"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6102F078"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2.33±1.58</w:t>
            </w:r>
          </w:p>
        </w:tc>
        <w:tc>
          <w:tcPr>
            <w:tcW w:w="2164" w:type="dxa"/>
            <w:tcBorders>
              <w:top w:val="nil"/>
              <w:left w:val="nil"/>
              <w:bottom w:val="single" w:sz="4" w:space="0" w:color="auto"/>
              <w:right w:val="single" w:sz="4" w:space="0" w:color="auto"/>
            </w:tcBorders>
            <w:shd w:val="clear" w:color="auto" w:fill="auto"/>
            <w:noWrap/>
            <w:vAlign w:val="center"/>
          </w:tcPr>
          <w:p w14:paraId="48D01F6F"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2.35±1.54</w:t>
            </w:r>
          </w:p>
        </w:tc>
        <w:tc>
          <w:tcPr>
            <w:tcW w:w="1717" w:type="dxa"/>
            <w:tcBorders>
              <w:top w:val="nil"/>
              <w:left w:val="nil"/>
              <w:bottom w:val="single" w:sz="4" w:space="0" w:color="auto"/>
              <w:right w:val="single" w:sz="4" w:space="0" w:color="auto"/>
            </w:tcBorders>
            <w:shd w:val="clear" w:color="auto" w:fill="auto"/>
            <w:noWrap/>
            <w:vAlign w:val="center"/>
          </w:tcPr>
          <w:p w14:paraId="7352B81E"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0.713</w:t>
            </w:r>
          </w:p>
        </w:tc>
      </w:tr>
      <w:tr w:rsidR="00C71DF1" w:rsidRPr="00C71DF1" w14:paraId="0DBC545D"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D69C520"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IBIL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6D1FBB94"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0CFD3174"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685EF56C"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2.17±0.57</w:t>
            </w:r>
          </w:p>
        </w:tc>
        <w:tc>
          <w:tcPr>
            <w:tcW w:w="2164" w:type="dxa"/>
            <w:tcBorders>
              <w:top w:val="nil"/>
              <w:left w:val="nil"/>
              <w:bottom w:val="single" w:sz="4" w:space="0" w:color="auto"/>
              <w:right w:val="single" w:sz="4" w:space="0" w:color="auto"/>
            </w:tcBorders>
            <w:shd w:val="clear" w:color="auto" w:fill="auto"/>
            <w:noWrap/>
            <w:vAlign w:val="center"/>
          </w:tcPr>
          <w:p w14:paraId="1DFA189D"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2.26±0.63</w:t>
            </w:r>
          </w:p>
        </w:tc>
        <w:tc>
          <w:tcPr>
            <w:tcW w:w="1717" w:type="dxa"/>
            <w:tcBorders>
              <w:top w:val="nil"/>
              <w:left w:val="nil"/>
              <w:bottom w:val="single" w:sz="4" w:space="0" w:color="auto"/>
              <w:right w:val="single" w:sz="4" w:space="0" w:color="auto"/>
            </w:tcBorders>
            <w:shd w:val="clear" w:color="auto" w:fill="auto"/>
            <w:noWrap/>
            <w:vAlign w:val="center"/>
          </w:tcPr>
          <w:p w14:paraId="1E8EF37D"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0.724</w:t>
            </w:r>
          </w:p>
        </w:tc>
      </w:tr>
      <w:tr w:rsidR="00C71DF1" w:rsidRPr="00C71DF1" w14:paraId="63CEF357"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756C0D4E"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4D4762F2"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9.04±2.56</w:t>
            </w:r>
          </w:p>
        </w:tc>
        <w:tc>
          <w:tcPr>
            <w:tcW w:w="2164" w:type="dxa"/>
            <w:tcBorders>
              <w:top w:val="nil"/>
              <w:left w:val="nil"/>
              <w:bottom w:val="single" w:sz="4" w:space="0" w:color="auto"/>
              <w:right w:val="single" w:sz="4" w:space="0" w:color="auto"/>
            </w:tcBorders>
            <w:shd w:val="clear" w:color="auto" w:fill="auto"/>
            <w:noWrap/>
            <w:vAlign w:val="center"/>
          </w:tcPr>
          <w:p w14:paraId="46ABB043"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9.31±2.23</w:t>
            </w:r>
          </w:p>
        </w:tc>
        <w:tc>
          <w:tcPr>
            <w:tcW w:w="1717" w:type="dxa"/>
            <w:tcBorders>
              <w:top w:val="nil"/>
              <w:left w:val="nil"/>
              <w:bottom w:val="single" w:sz="4" w:space="0" w:color="auto"/>
              <w:right w:val="single" w:sz="4" w:space="0" w:color="auto"/>
            </w:tcBorders>
            <w:shd w:val="clear" w:color="auto" w:fill="auto"/>
            <w:noWrap/>
            <w:vAlign w:val="center"/>
          </w:tcPr>
          <w:p w14:paraId="4395C5B8"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0.843</w:t>
            </w:r>
          </w:p>
        </w:tc>
      </w:tr>
      <w:tr w:rsidR="00C71DF1" w:rsidRPr="00C71DF1" w14:paraId="433FD95D"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5A4619"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GGT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5240C65F"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0382AC0A"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470EBAA6"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23.14±15.07</w:t>
            </w:r>
          </w:p>
        </w:tc>
        <w:tc>
          <w:tcPr>
            <w:tcW w:w="2164" w:type="dxa"/>
            <w:tcBorders>
              <w:top w:val="nil"/>
              <w:left w:val="nil"/>
              <w:bottom w:val="single" w:sz="4" w:space="0" w:color="auto"/>
              <w:right w:val="single" w:sz="4" w:space="0" w:color="auto"/>
            </w:tcBorders>
            <w:shd w:val="clear" w:color="auto" w:fill="auto"/>
            <w:noWrap/>
            <w:vAlign w:val="center"/>
          </w:tcPr>
          <w:p w14:paraId="1B1B42EE"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23.15±13.59</w:t>
            </w:r>
          </w:p>
        </w:tc>
        <w:tc>
          <w:tcPr>
            <w:tcW w:w="1717" w:type="dxa"/>
            <w:tcBorders>
              <w:top w:val="nil"/>
              <w:left w:val="nil"/>
              <w:bottom w:val="single" w:sz="4" w:space="0" w:color="auto"/>
              <w:right w:val="single" w:sz="4" w:space="0" w:color="auto"/>
            </w:tcBorders>
            <w:shd w:val="clear" w:color="auto" w:fill="auto"/>
            <w:noWrap/>
            <w:vAlign w:val="center"/>
          </w:tcPr>
          <w:p w14:paraId="7FE36904"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0.703</w:t>
            </w:r>
          </w:p>
        </w:tc>
      </w:tr>
      <w:tr w:rsidR="00C71DF1" w:rsidRPr="00C71DF1" w14:paraId="7BE670A2"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1A071789"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1D1EA143"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21.98±9.18</w:t>
            </w:r>
          </w:p>
        </w:tc>
        <w:tc>
          <w:tcPr>
            <w:tcW w:w="2164" w:type="dxa"/>
            <w:tcBorders>
              <w:top w:val="nil"/>
              <w:left w:val="nil"/>
              <w:bottom w:val="single" w:sz="4" w:space="0" w:color="auto"/>
              <w:right w:val="single" w:sz="4" w:space="0" w:color="auto"/>
            </w:tcBorders>
            <w:shd w:val="clear" w:color="auto" w:fill="auto"/>
            <w:noWrap/>
            <w:vAlign w:val="center"/>
          </w:tcPr>
          <w:p w14:paraId="3B1D4D8C"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25.24±7.02</w:t>
            </w:r>
          </w:p>
        </w:tc>
        <w:tc>
          <w:tcPr>
            <w:tcW w:w="1717" w:type="dxa"/>
            <w:tcBorders>
              <w:top w:val="nil"/>
              <w:left w:val="nil"/>
              <w:bottom w:val="single" w:sz="4" w:space="0" w:color="auto"/>
              <w:right w:val="single" w:sz="4" w:space="0" w:color="auto"/>
            </w:tcBorders>
            <w:shd w:val="clear" w:color="auto" w:fill="auto"/>
            <w:noWrap/>
            <w:vAlign w:val="center"/>
          </w:tcPr>
          <w:p w14:paraId="6E34D543"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0.307</w:t>
            </w:r>
          </w:p>
        </w:tc>
      </w:tr>
      <w:tr w:rsidR="00C71DF1" w:rsidRPr="00C71DF1" w14:paraId="79909C85"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7BFC73"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AKP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61CA36DC"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3BD184DD"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6FE2F783"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68.27±20.04</w:t>
            </w:r>
          </w:p>
        </w:tc>
        <w:tc>
          <w:tcPr>
            <w:tcW w:w="2164" w:type="dxa"/>
            <w:tcBorders>
              <w:top w:val="nil"/>
              <w:left w:val="nil"/>
              <w:bottom w:val="single" w:sz="4" w:space="0" w:color="auto"/>
              <w:right w:val="single" w:sz="4" w:space="0" w:color="auto"/>
            </w:tcBorders>
            <w:shd w:val="clear" w:color="auto" w:fill="auto"/>
            <w:noWrap/>
            <w:vAlign w:val="center"/>
          </w:tcPr>
          <w:p w14:paraId="713E45A3"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62.93±16.93</w:t>
            </w:r>
          </w:p>
        </w:tc>
        <w:tc>
          <w:tcPr>
            <w:tcW w:w="1717" w:type="dxa"/>
            <w:tcBorders>
              <w:top w:val="nil"/>
              <w:left w:val="nil"/>
              <w:bottom w:val="single" w:sz="4" w:space="0" w:color="auto"/>
              <w:right w:val="single" w:sz="4" w:space="0" w:color="auto"/>
            </w:tcBorders>
            <w:shd w:val="clear" w:color="auto" w:fill="auto"/>
            <w:noWrap/>
            <w:vAlign w:val="center"/>
          </w:tcPr>
          <w:p w14:paraId="7D027187"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0.315</w:t>
            </w:r>
          </w:p>
        </w:tc>
      </w:tr>
      <w:tr w:rsidR="00C71DF1" w:rsidRPr="00C71DF1" w14:paraId="76755067"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25A788A4"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2731B294"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71.57±18.46</w:t>
            </w:r>
          </w:p>
        </w:tc>
        <w:tc>
          <w:tcPr>
            <w:tcW w:w="2164" w:type="dxa"/>
            <w:tcBorders>
              <w:top w:val="nil"/>
              <w:left w:val="nil"/>
              <w:bottom w:val="single" w:sz="4" w:space="0" w:color="auto"/>
              <w:right w:val="single" w:sz="4" w:space="0" w:color="auto"/>
            </w:tcBorders>
            <w:shd w:val="clear" w:color="auto" w:fill="auto"/>
            <w:noWrap/>
            <w:vAlign w:val="center"/>
          </w:tcPr>
          <w:p w14:paraId="389C97AE"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79.26±20.89</w:t>
            </w:r>
          </w:p>
        </w:tc>
        <w:tc>
          <w:tcPr>
            <w:tcW w:w="1717" w:type="dxa"/>
            <w:tcBorders>
              <w:top w:val="nil"/>
              <w:left w:val="nil"/>
              <w:bottom w:val="single" w:sz="4" w:space="0" w:color="auto"/>
              <w:right w:val="single" w:sz="4" w:space="0" w:color="auto"/>
            </w:tcBorders>
            <w:shd w:val="clear" w:color="auto" w:fill="auto"/>
            <w:noWrap/>
            <w:vAlign w:val="center"/>
          </w:tcPr>
          <w:p w14:paraId="6A73C5BA"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0.446</w:t>
            </w:r>
          </w:p>
        </w:tc>
      </w:tr>
      <w:tr w:rsidR="00C71DF1" w:rsidRPr="00C71DF1" w14:paraId="773395B7"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D9A6579"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LDH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5550DF16"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1103879E"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4F766EDF"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156.22±21.08</w:t>
            </w:r>
          </w:p>
        </w:tc>
        <w:tc>
          <w:tcPr>
            <w:tcW w:w="2164" w:type="dxa"/>
            <w:tcBorders>
              <w:top w:val="nil"/>
              <w:left w:val="nil"/>
              <w:bottom w:val="single" w:sz="4" w:space="0" w:color="auto"/>
              <w:right w:val="single" w:sz="4" w:space="0" w:color="auto"/>
            </w:tcBorders>
            <w:shd w:val="clear" w:color="auto" w:fill="auto"/>
            <w:noWrap/>
            <w:vAlign w:val="center"/>
          </w:tcPr>
          <w:p w14:paraId="0D883CE1"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147.93±25.90</w:t>
            </w:r>
          </w:p>
        </w:tc>
        <w:tc>
          <w:tcPr>
            <w:tcW w:w="1717" w:type="dxa"/>
            <w:tcBorders>
              <w:top w:val="nil"/>
              <w:left w:val="nil"/>
              <w:bottom w:val="single" w:sz="4" w:space="0" w:color="auto"/>
              <w:right w:val="single" w:sz="4" w:space="0" w:color="auto"/>
            </w:tcBorders>
            <w:shd w:val="clear" w:color="auto" w:fill="auto"/>
            <w:noWrap/>
            <w:vAlign w:val="center"/>
          </w:tcPr>
          <w:p w14:paraId="3E942B60"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0.196</w:t>
            </w:r>
          </w:p>
        </w:tc>
      </w:tr>
      <w:tr w:rsidR="00C71DF1" w:rsidRPr="00C71DF1" w14:paraId="41ED8436"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1A8B2756"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6770C7A3"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168.59±46.32</w:t>
            </w:r>
          </w:p>
        </w:tc>
        <w:tc>
          <w:tcPr>
            <w:tcW w:w="2164" w:type="dxa"/>
            <w:tcBorders>
              <w:top w:val="nil"/>
              <w:left w:val="nil"/>
              <w:bottom w:val="single" w:sz="4" w:space="0" w:color="auto"/>
              <w:right w:val="single" w:sz="4" w:space="0" w:color="auto"/>
            </w:tcBorders>
            <w:shd w:val="clear" w:color="auto" w:fill="auto"/>
            <w:noWrap/>
            <w:vAlign w:val="center"/>
          </w:tcPr>
          <w:p w14:paraId="6CA7974C"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171.01±42.02</w:t>
            </w:r>
          </w:p>
        </w:tc>
        <w:tc>
          <w:tcPr>
            <w:tcW w:w="1717" w:type="dxa"/>
            <w:tcBorders>
              <w:top w:val="nil"/>
              <w:left w:val="nil"/>
              <w:bottom w:val="single" w:sz="4" w:space="0" w:color="auto"/>
              <w:right w:val="single" w:sz="4" w:space="0" w:color="auto"/>
            </w:tcBorders>
            <w:shd w:val="clear" w:color="auto" w:fill="auto"/>
            <w:noWrap/>
            <w:vAlign w:val="center"/>
          </w:tcPr>
          <w:p w14:paraId="74642BB4"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0.286</w:t>
            </w:r>
          </w:p>
        </w:tc>
      </w:tr>
      <w:tr w:rsidR="00C71DF1" w:rsidRPr="00C71DF1" w14:paraId="29A3F1D4"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FF5F424"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BUN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72F19EF1"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1181294F"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231A86A1"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4.57±0.75</w:t>
            </w:r>
          </w:p>
        </w:tc>
        <w:tc>
          <w:tcPr>
            <w:tcW w:w="2164" w:type="dxa"/>
            <w:tcBorders>
              <w:top w:val="nil"/>
              <w:left w:val="nil"/>
              <w:bottom w:val="single" w:sz="4" w:space="0" w:color="auto"/>
              <w:right w:val="single" w:sz="4" w:space="0" w:color="auto"/>
            </w:tcBorders>
            <w:shd w:val="clear" w:color="auto" w:fill="auto"/>
            <w:noWrap/>
            <w:vAlign w:val="center"/>
          </w:tcPr>
          <w:p w14:paraId="4BAB9A8A"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4.34±1.22</w:t>
            </w:r>
          </w:p>
        </w:tc>
        <w:tc>
          <w:tcPr>
            <w:tcW w:w="1717" w:type="dxa"/>
            <w:tcBorders>
              <w:top w:val="nil"/>
              <w:left w:val="nil"/>
              <w:bottom w:val="single" w:sz="4" w:space="0" w:color="auto"/>
              <w:right w:val="single" w:sz="4" w:space="0" w:color="auto"/>
            </w:tcBorders>
            <w:shd w:val="clear" w:color="auto" w:fill="auto"/>
            <w:noWrap/>
            <w:vAlign w:val="center"/>
          </w:tcPr>
          <w:p w14:paraId="115487FD"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0.196</w:t>
            </w:r>
          </w:p>
        </w:tc>
      </w:tr>
      <w:tr w:rsidR="00C71DF1" w:rsidRPr="00C71DF1" w14:paraId="32B29E72"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3A6B7FEF"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4917BB61"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4.42±1.49</w:t>
            </w:r>
          </w:p>
        </w:tc>
        <w:tc>
          <w:tcPr>
            <w:tcW w:w="2164" w:type="dxa"/>
            <w:tcBorders>
              <w:top w:val="nil"/>
              <w:left w:val="nil"/>
              <w:bottom w:val="single" w:sz="4" w:space="0" w:color="auto"/>
              <w:right w:val="single" w:sz="4" w:space="0" w:color="auto"/>
            </w:tcBorders>
            <w:shd w:val="clear" w:color="auto" w:fill="auto"/>
            <w:noWrap/>
            <w:vAlign w:val="center"/>
          </w:tcPr>
          <w:p w14:paraId="2E7C63FD"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4.39±1.23</w:t>
            </w:r>
          </w:p>
        </w:tc>
        <w:tc>
          <w:tcPr>
            <w:tcW w:w="1717" w:type="dxa"/>
            <w:tcBorders>
              <w:top w:val="nil"/>
              <w:left w:val="nil"/>
              <w:bottom w:val="single" w:sz="4" w:space="0" w:color="auto"/>
              <w:right w:val="single" w:sz="4" w:space="0" w:color="auto"/>
            </w:tcBorders>
            <w:shd w:val="clear" w:color="auto" w:fill="auto"/>
            <w:noWrap/>
            <w:vAlign w:val="center"/>
          </w:tcPr>
          <w:p w14:paraId="75149C07"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 xml:space="preserve">0.670 </w:t>
            </w:r>
          </w:p>
        </w:tc>
      </w:tr>
      <w:tr w:rsidR="00C71DF1" w:rsidRPr="00C71DF1" w14:paraId="75826E37"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9755675"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CR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38EA7E45"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27CB1829"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356AB131"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60.94±12.79</w:t>
            </w:r>
          </w:p>
        </w:tc>
        <w:tc>
          <w:tcPr>
            <w:tcW w:w="2164" w:type="dxa"/>
            <w:tcBorders>
              <w:top w:val="nil"/>
              <w:left w:val="nil"/>
              <w:bottom w:val="single" w:sz="4" w:space="0" w:color="auto"/>
              <w:right w:val="single" w:sz="4" w:space="0" w:color="auto"/>
            </w:tcBorders>
            <w:shd w:val="clear" w:color="auto" w:fill="auto"/>
            <w:noWrap/>
            <w:vAlign w:val="center"/>
          </w:tcPr>
          <w:p w14:paraId="591C658A"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57.95±10.48</w:t>
            </w:r>
          </w:p>
        </w:tc>
        <w:tc>
          <w:tcPr>
            <w:tcW w:w="1717" w:type="dxa"/>
            <w:tcBorders>
              <w:top w:val="nil"/>
              <w:left w:val="nil"/>
              <w:bottom w:val="single" w:sz="4" w:space="0" w:color="auto"/>
              <w:right w:val="single" w:sz="4" w:space="0" w:color="auto"/>
            </w:tcBorders>
            <w:shd w:val="clear" w:color="auto" w:fill="auto"/>
            <w:noWrap/>
            <w:vAlign w:val="center"/>
          </w:tcPr>
          <w:p w14:paraId="31703693"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0.544</w:t>
            </w:r>
          </w:p>
        </w:tc>
      </w:tr>
      <w:tr w:rsidR="00C71DF1" w:rsidRPr="00C71DF1" w14:paraId="50D7E39E"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16FAE0E1"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3191D9FA"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62.00±10.96</w:t>
            </w:r>
          </w:p>
        </w:tc>
        <w:tc>
          <w:tcPr>
            <w:tcW w:w="2164" w:type="dxa"/>
            <w:tcBorders>
              <w:top w:val="nil"/>
              <w:left w:val="nil"/>
              <w:bottom w:val="single" w:sz="4" w:space="0" w:color="auto"/>
              <w:right w:val="single" w:sz="4" w:space="0" w:color="auto"/>
            </w:tcBorders>
            <w:shd w:val="clear" w:color="auto" w:fill="auto"/>
            <w:noWrap/>
            <w:vAlign w:val="center"/>
          </w:tcPr>
          <w:p w14:paraId="4364152D"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66.00±14.86</w:t>
            </w:r>
          </w:p>
        </w:tc>
        <w:tc>
          <w:tcPr>
            <w:tcW w:w="1717" w:type="dxa"/>
            <w:tcBorders>
              <w:top w:val="nil"/>
              <w:left w:val="nil"/>
              <w:bottom w:val="single" w:sz="4" w:space="0" w:color="auto"/>
              <w:right w:val="single" w:sz="4" w:space="0" w:color="auto"/>
            </w:tcBorders>
            <w:shd w:val="clear" w:color="auto" w:fill="auto"/>
            <w:noWrap/>
            <w:vAlign w:val="center"/>
          </w:tcPr>
          <w:p w14:paraId="718D3284"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0.247</w:t>
            </w:r>
          </w:p>
        </w:tc>
      </w:tr>
      <w:tr w:rsidR="00C71DF1" w:rsidRPr="00C71DF1" w14:paraId="1FA7D75D"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544135F"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UA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349517C3"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04FDD8F0"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197833F9"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276.04±55.39</w:t>
            </w:r>
          </w:p>
        </w:tc>
        <w:tc>
          <w:tcPr>
            <w:tcW w:w="2164" w:type="dxa"/>
            <w:tcBorders>
              <w:top w:val="nil"/>
              <w:left w:val="nil"/>
              <w:bottom w:val="single" w:sz="4" w:space="0" w:color="auto"/>
              <w:right w:val="single" w:sz="4" w:space="0" w:color="auto"/>
            </w:tcBorders>
            <w:shd w:val="clear" w:color="auto" w:fill="auto"/>
            <w:noWrap/>
            <w:vAlign w:val="center"/>
          </w:tcPr>
          <w:p w14:paraId="336EA78E"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268.10±50.70</w:t>
            </w:r>
          </w:p>
        </w:tc>
        <w:tc>
          <w:tcPr>
            <w:tcW w:w="1717" w:type="dxa"/>
            <w:tcBorders>
              <w:top w:val="nil"/>
              <w:left w:val="nil"/>
              <w:bottom w:val="single" w:sz="4" w:space="0" w:color="auto"/>
              <w:right w:val="single" w:sz="4" w:space="0" w:color="auto"/>
            </w:tcBorders>
            <w:shd w:val="clear" w:color="auto" w:fill="auto"/>
            <w:noWrap/>
            <w:vAlign w:val="center"/>
          </w:tcPr>
          <w:p w14:paraId="371ED318"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0.641</w:t>
            </w:r>
          </w:p>
        </w:tc>
      </w:tr>
      <w:tr w:rsidR="00C71DF1" w:rsidRPr="00C71DF1" w14:paraId="6EC55CA2"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56BD57B9"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38DB43C7"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290.67±63.37</w:t>
            </w:r>
          </w:p>
        </w:tc>
        <w:tc>
          <w:tcPr>
            <w:tcW w:w="2164" w:type="dxa"/>
            <w:tcBorders>
              <w:top w:val="nil"/>
              <w:left w:val="nil"/>
              <w:bottom w:val="single" w:sz="4" w:space="0" w:color="auto"/>
              <w:right w:val="single" w:sz="4" w:space="0" w:color="auto"/>
            </w:tcBorders>
            <w:shd w:val="clear" w:color="auto" w:fill="auto"/>
            <w:noWrap/>
            <w:vAlign w:val="center"/>
          </w:tcPr>
          <w:p w14:paraId="4EC3EE87"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296.01±53.86</w:t>
            </w:r>
          </w:p>
        </w:tc>
        <w:tc>
          <w:tcPr>
            <w:tcW w:w="1717" w:type="dxa"/>
            <w:tcBorders>
              <w:top w:val="nil"/>
              <w:left w:val="nil"/>
              <w:bottom w:val="single" w:sz="4" w:space="0" w:color="auto"/>
              <w:right w:val="single" w:sz="4" w:space="0" w:color="auto"/>
            </w:tcBorders>
            <w:shd w:val="clear" w:color="auto" w:fill="auto"/>
            <w:noWrap/>
            <w:vAlign w:val="center"/>
          </w:tcPr>
          <w:p w14:paraId="4DA28496"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0.522</w:t>
            </w:r>
          </w:p>
        </w:tc>
      </w:tr>
      <w:tr w:rsidR="00C71DF1" w:rsidRPr="00C71DF1" w14:paraId="5216310E" w14:textId="77777777">
        <w:trPr>
          <w:trHeight w:val="24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7FB381"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 xml:space="preserve">GLU (µmol/L, </w:t>
            </w:r>
            <w:proofErr w:type="spellStart"/>
            <w:r w:rsidRPr="00C71DF1">
              <w:rPr>
                <w:rFonts w:eastAsia="SimSun" w:cs="Times New Roman"/>
                <w:sz w:val="20"/>
                <w:szCs w:val="20"/>
                <w:lang w:eastAsia="zh-CN"/>
              </w:rPr>
              <w:t>mean±SD</w:t>
            </w:r>
            <w:proofErr w:type="spellEnd"/>
            <w:r w:rsidRPr="00C71DF1">
              <w:rPr>
                <w:rFonts w:eastAsia="SimSun" w:cs="Times New Roman"/>
                <w:sz w:val="20"/>
                <w:szCs w:val="20"/>
                <w:lang w:eastAsia="zh-CN"/>
              </w:rPr>
              <w:t>)</w:t>
            </w:r>
          </w:p>
        </w:tc>
      </w:tr>
      <w:tr w:rsidR="00C71DF1" w:rsidRPr="00C71DF1" w14:paraId="56EFA872"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3864D415"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Baseline</w:t>
            </w:r>
          </w:p>
        </w:tc>
        <w:tc>
          <w:tcPr>
            <w:tcW w:w="1984" w:type="dxa"/>
            <w:tcBorders>
              <w:top w:val="nil"/>
              <w:left w:val="nil"/>
              <w:bottom w:val="single" w:sz="4" w:space="0" w:color="auto"/>
              <w:right w:val="single" w:sz="4" w:space="0" w:color="auto"/>
            </w:tcBorders>
            <w:shd w:val="clear" w:color="auto" w:fill="auto"/>
            <w:noWrap/>
            <w:vAlign w:val="center"/>
          </w:tcPr>
          <w:p w14:paraId="0F28F5FC"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5.00±0.37</w:t>
            </w:r>
          </w:p>
        </w:tc>
        <w:tc>
          <w:tcPr>
            <w:tcW w:w="2164" w:type="dxa"/>
            <w:tcBorders>
              <w:top w:val="nil"/>
              <w:left w:val="nil"/>
              <w:bottom w:val="single" w:sz="4" w:space="0" w:color="auto"/>
              <w:right w:val="single" w:sz="4" w:space="0" w:color="auto"/>
            </w:tcBorders>
            <w:shd w:val="clear" w:color="auto" w:fill="auto"/>
            <w:noWrap/>
            <w:vAlign w:val="center"/>
          </w:tcPr>
          <w:p w14:paraId="31717B8C"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5.21±0.31</w:t>
            </w:r>
          </w:p>
        </w:tc>
        <w:tc>
          <w:tcPr>
            <w:tcW w:w="1717" w:type="dxa"/>
            <w:tcBorders>
              <w:top w:val="nil"/>
              <w:left w:val="nil"/>
              <w:bottom w:val="single" w:sz="4" w:space="0" w:color="auto"/>
              <w:right w:val="single" w:sz="4" w:space="0" w:color="auto"/>
            </w:tcBorders>
            <w:shd w:val="clear" w:color="auto" w:fill="auto"/>
            <w:noWrap/>
            <w:vAlign w:val="center"/>
          </w:tcPr>
          <w:p w14:paraId="699D69C5"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0.057</w:t>
            </w:r>
          </w:p>
        </w:tc>
      </w:tr>
      <w:tr w:rsidR="00C71DF1" w:rsidRPr="00C71DF1" w14:paraId="2D2C7F28" w14:textId="77777777">
        <w:trPr>
          <w:trHeight w:val="240"/>
        </w:trPr>
        <w:tc>
          <w:tcPr>
            <w:tcW w:w="3015" w:type="dxa"/>
            <w:tcBorders>
              <w:top w:val="nil"/>
              <w:left w:val="single" w:sz="4" w:space="0" w:color="auto"/>
              <w:bottom w:val="single" w:sz="4" w:space="0" w:color="auto"/>
              <w:right w:val="single" w:sz="4" w:space="0" w:color="auto"/>
            </w:tcBorders>
            <w:shd w:val="clear" w:color="auto" w:fill="auto"/>
            <w:noWrap/>
            <w:vAlign w:val="center"/>
          </w:tcPr>
          <w:p w14:paraId="431DFD3F" w14:textId="77777777" w:rsidR="000C243C" w:rsidRPr="00C71DF1" w:rsidRDefault="00697DFB">
            <w:pPr>
              <w:spacing w:before="0" w:after="0"/>
              <w:rPr>
                <w:rFonts w:eastAsia="SimSun" w:cs="Times New Roman"/>
                <w:sz w:val="20"/>
                <w:szCs w:val="20"/>
                <w:lang w:eastAsia="zh-CN"/>
              </w:rPr>
            </w:pPr>
            <w:r w:rsidRPr="00C71DF1">
              <w:rPr>
                <w:rFonts w:eastAsia="SimSun" w:cs="Times New Roman"/>
                <w:sz w:val="20"/>
                <w:szCs w:val="20"/>
                <w:lang w:eastAsia="zh-CN"/>
              </w:rPr>
              <w:t>End of intervention (week 4)</w:t>
            </w:r>
          </w:p>
        </w:tc>
        <w:tc>
          <w:tcPr>
            <w:tcW w:w="1984" w:type="dxa"/>
            <w:tcBorders>
              <w:top w:val="nil"/>
              <w:left w:val="nil"/>
              <w:bottom w:val="single" w:sz="4" w:space="0" w:color="auto"/>
              <w:right w:val="single" w:sz="4" w:space="0" w:color="auto"/>
            </w:tcBorders>
            <w:shd w:val="clear" w:color="auto" w:fill="auto"/>
            <w:noWrap/>
            <w:vAlign w:val="center"/>
          </w:tcPr>
          <w:p w14:paraId="70893FF0"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5.25±0.39</w:t>
            </w:r>
          </w:p>
        </w:tc>
        <w:tc>
          <w:tcPr>
            <w:tcW w:w="2164" w:type="dxa"/>
            <w:tcBorders>
              <w:top w:val="nil"/>
              <w:left w:val="nil"/>
              <w:bottom w:val="single" w:sz="4" w:space="0" w:color="auto"/>
              <w:right w:val="single" w:sz="4" w:space="0" w:color="auto"/>
            </w:tcBorders>
            <w:shd w:val="clear" w:color="auto" w:fill="auto"/>
            <w:noWrap/>
            <w:vAlign w:val="center"/>
          </w:tcPr>
          <w:p w14:paraId="5C66C329"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5.19±0.97</w:t>
            </w:r>
          </w:p>
        </w:tc>
        <w:tc>
          <w:tcPr>
            <w:tcW w:w="1717" w:type="dxa"/>
            <w:tcBorders>
              <w:top w:val="nil"/>
              <w:left w:val="nil"/>
              <w:bottom w:val="single" w:sz="4" w:space="0" w:color="auto"/>
              <w:right w:val="single" w:sz="4" w:space="0" w:color="auto"/>
            </w:tcBorders>
            <w:shd w:val="clear" w:color="auto" w:fill="auto"/>
            <w:noWrap/>
            <w:vAlign w:val="center"/>
          </w:tcPr>
          <w:p w14:paraId="6D59E82A" w14:textId="77777777" w:rsidR="000C243C" w:rsidRPr="00C71DF1" w:rsidRDefault="00697DFB">
            <w:pPr>
              <w:spacing w:before="0" w:after="0"/>
              <w:jc w:val="center"/>
              <w:rPr>
                <w:rFonts w:eastAsia="SimSun" w:cs="Times New Roman"/>
                <w:sz w:val="20"/>
                <w:szCs w:val="20"/>
                <w:lang w:eastAsia="zh-CN"/>
              </w:rPr>
            </w:pPr>
            <w:r w:rsidRPr="00C71DF1">
              <w:rPr>
                <w:rFonts w:eastAsia="SimSun" w:cs="Times New Roman"/>
                <w:sz w:val="20"/>
                <w:szCs w:val="20"/>
                <w:lang w:eastAsia="zh-CN"/>
              </w:rPr>
              <w:t>0.185</w:t>
            </w:r>
          </w:p>
        </w:tc>
      </w:tr>
    </w:tbl>
    <w:p w14:paraId="1F16EA97" w14:textId="77777777" w:rsidR="000C243C" w:rsidRPr="00C71DF1" w:rsidRDefault="00697DFB">
      <w:r w:rsidRPr="00C71DF1">
        <w:rPr>
          <w:rFonts w:eastAsia="SimSun" w:cs="Times New Roman" w:hint="eastAsia"/>
          <w:b/>
          <w:bCs/>
          <w:lang w:bidi="ar"/>
        </w:rPr>
        <w:t xml:space="preserve">Supplementary </w:t>
      </w:r>
      <w:r w:rsidRPr="00C71DF1">
        <w:rPr>
          <w:rFonts w:eastAsia="SimSun" w:cs="Times New Roman" w:hint="eastAsia"/>
          <w:b/>
          <w:bCs/>
          <w:lang w:eastAsia="zh-CN" w:bidi="ar"/>
        </w:rPr>
        <w:t>Table</w:t>
      </w:r>
      <w:r w:rsidRPr="00C71DF1">
        <w:rPr>
          <w:rFonts w:eastAsia="SimSun" w:cs="Times New Roman" w:hint="eastAsia"/>
          <w:b/>
          <w:bCs/>
          <w:lang w:bidi="ar"/>
        </w:rPr>
        <w:t xml:space="preserve"> </w:t>
      </w:r>
      <w:r w:rsidRPr="00C71DF1">
        <w:rPr>
          <w:rFonts w:eastAsia="SimSun" w:cs="Times New Roman" w:hint="eastAsia"/>
          <w:b/>
          <w:bCs/>
          <w:lang w:eastAsia="zh-CN" w:bidi="ar"/>
        </w:rPr>
        <w:t>1</w:t>
      </w:r>
      <w:r w:rsidRPr="00C71DF1">
        <w:rPr>
          <w:rFonts w:cs="Times New Roman" w:hint="eastAsia"/>
          <w:b/>
          <w:bCs/>
        </w:rPr>
        <w:t>. Plasma indicators</w:t>
      </w:r>
      <w:r w:rsidRPr="00C71DF1">
        <w:rPr>
          <w:rFonts w:eastAsia="SimSun" w:cs="Times New Roman" w:hint="eastAsia"/>
          <w:b/>
          <w:bCs/>
          <w:lang w:eastAsia="zh-CN"/>
        </w:rPr>
        <w:t>.</w:t>
      </w:r>
      <w:r w:rsidRPr="00C71DF1">
        <w:rPr>
          <w:rFonts w:cs="Times New Roman" w:hint="eastAsia"/>
          <w:b/>
          <w:bCs/>
        </w:rPr>
        <w:t xml:space="preserve"> </w:t>
      </w:r>
      <w:r w:rsidRPr="00C71DF1">
        <w:rPr>
          <w:rFonts w:cs="Times New Roman" w:hint="eastAsia"/>
          <w:lang w:bidi="ar"/>
        </w:rPr>
        <w:t xml:space="preserve">The measurement data and enumeration data were statistically analyzed with t-test (or one-way ANOVA for multi-group comparison) and </w:t>
      </w:r>
      <w:r w:rsidRPr="00C71DF1">
        <w:rPr>
          <w:rFonts w:cs="Times New Roman" w:hint="eastAsia"/>
          <w:lang w:bidi="ar"/>
        </w:rPr>
        <w:t>χ</w:t>
      </w:r>
      <w:r w:rsidRPr="00C71DF1">
        <w:rPr>
          <w:rFonts w:cs="Times New Roman" w:hint="eastAsia"/>
          <w:lang w:bidi="ar"/>
        </w:rPr>
        <w:t xml:space="preserve">2 test, respectively. Measurement data are expressed as the mean </w:t>
      </w:r>
      <w:r w:rsidRPr="00C71DF1">
        <w:rPr>
          <w:rFonts w:cs="Times New Roman" w:hint="eastAsia"/>
          <w:lang w:bidi="ar"/>
        </w:rPr>
        <w:t>±</w:t>
      </w:r>
      <w:r w:rsidRPr="00C71DF1">
        <w:rPr>
          <w:rFonts w:cs="Times New Roman" w:hint="eastAsia"/>
          <w:lang w:bidi="ar"/>
        </w:rPr>
        <w:t xml:space="preserve"> SD. ALT, alanine aminotransferase; </w:t>
      </w:r>
      <w:r w:rsidRPr="00C71DF1">
        <w:rPr>
          <w:rFonts w:cs="Times New Roman" w:hint="eastAsia"/>
          <w:lang w:bidi="ar"/>
        </w:rPr>
        <w:lastRenderedPageBreak/>
        <w:t>AST, aspartate transaminase; ALB, album; TP, total protein; GLB, globulin; TBIL, total bilirubin; DBIL, direct bilirubin; IBIL, indirect bilirubin; GGT, gamma-glutamyl transpeptidase; AKP, alkaline phosphatase; LDH, lactate dehydrogenase; BUN, blood urea nitrogen; Cr, creatinine; UA, uric acid; GLU, glucose; and SD, standard deviation. P-value &lt;</w:t>
      </w:r>
      <w:r w:rsidRPr="00C71DF1">
        <w:rPr>
          <w:rFonts w:eastAsia="SimSun" w:cs="Times New Roman" w:hint="eastAsia"/>
          <w:lang w:eastAsia="zh-CN" w:bidi="ar"/>
        </w:rPr>
        <w:t xml:space="preserve"> </w:t>
      </w:r>
      <w:r w:rsidRPr="00C71DF1">
        <w:rPr>
          <w:rFonts w:cs="Times New Roman" w:hint="eastAsia"/>
          <w:lang w:bidi="ar"/>
        </w:rPr>
        <w:t>0.05 was considered significant. * P-value &lt;0.05</w:t>
      </w:r>
    </w:p>
    <w:p w14:paraId="4D325A27" w14:textId="77777777" w:rsidR="000C243C" w:rsidRPr="00C71DF1" w:rsidRDefault="000C243C">
      <w:pPr>
        <w:rPr>
          <w:rFonts w:eastAsiaTheme="minorEastAsia"/>
          <w:lang w:eastAsia="zh-CN"/>
        </w:rPr>
      </w:pPr>
    </w:p>
    <w:tbl>
      <w:tblPr>
        <w:tblpPr w:leftFromText="180" w:rightFromText="180" w:vertAnchor="text" w:horzAnchor="page" w:tblpX="669" w:tblpY="522"/>
        <w:tblOverlap w:val="never"/>
        <w:tblW w:w="10680" w:type="dxa"/>
        <w:tblLook w:val="04A0" w:firstRow="1" w:lastRow="0" w:firstColumn="1" w:lastColumn="0" w:noHBand="0" w:noVBand="1"/>
      </w:tblPr>
      <w:tblGrid>
        <w:gridCol w:w="2330"/>
        <w:gridCol w:w="1311"/>
        <w:gridCol w:w="1366"/>
        <w:gridCol w:w="1366"/>
        <w:gridCol w:w="1296"/>
        <w:gridCol w:w="1455"/>
        <w:gridCol w:w="1556"/>
      </w:tblGrid>
      <w:tr w:rsidR="00C71DF1" w:rsidRPr="00C71DF1" w14:paraId="26892F0A" w14:textId="77777777">
        <w:trPr>
          <w:trHeight w:val="295"/>
        </w:trPr>
        <w:tc>
          <w:tcPr>
            <w:tcW w:w="10680" w:type="dxa"/>
            <w:gridSpan w:val="7"/>
            <w:tcBorders>
              <w:top w:val="nil"/>
              <w:left w:val="nil"/>
              <w:bottom w:val="nil"/>
              <w:right w:val="nil"/>
            </w:tcBorders>
            <w:shd w:val="clear" w:color="auto" w:fill="auto"/>
            <w:noWrap/>
            <w:vAlign w:val="center"/>
          </w:tcPr>
          <w:p w14:paraId="1FB965F5" w14:textId="77777777" w:rsidR="000C243C" w:rsidRPr="00C71DF1" w:rsidRDefault="00697DFB">
            <w:pPr>
              <w:textAlignment w:val="center"/>
              <w:rPr>
                <w:rFonts w:eastAsia="SimSun" w:cs="Times New Roman"/>
                <w:b/>
                <w:bCs/>
                <w:szCs w:val="21"/>
              </w:rPr>
            </w:pPr>
            <w:r w:rsidRPr="00C71DF1">
              <w:rPr>
                <w:rFonts w:eastAsia="SimSun" w:cs="Times New Roman" w:hint="eastAsia"/>
                <w:b/>
                <w:bCs/>
                <w:lang w:bidi="ar"/>
              </w:rPr>
              <w:t xml:space="preserve">Supplementary </w:t>
            </w:r>
            <w:r w:rsidRPr="00C71DF1">
              <w:rPr>
                <w:rFonts w:eastAsia="SimSun" w:cs="Times New Roman" w:hint="eastAsia"/>
                <w:b/>
                <w:bCs/>
                <w:lang w:eastAsia="zh-CN" w:bidi="ar"/>
              </w:rPr>
              <w:t>Table</w:t>
            </w:r>
            <w:r w:rsidRPr="00C71DF1">
              <w:rPr>
                <w:rFonts w:eastAsia="SimSun" w:cs="Times New Roman" w:hint="eastAsia"/>
                <w:b/>
                <w:bCs/>
                <w:lang w:bidi="ar"/>
              </w:rPr>
              <w:t xml:space="preserve"> </w:t>
            </w:r>
            <w:r w:rsidRPr="00C71DF1">
              <w:rPr>
                <w:rFonts w:eastAsia="SimSun" w:cs="Times New Roman" w:hint="eastAsia"/>
                <w:b/>
                <w:bCs/>
                <w:lang w:eastAsia="zh-CN" w:bidi="ar"/>
              </w:rPr>
              <w:t>2</w:t>
            </w:r>
            <w:r w:rsidRPr="00C71DF1">
              <w:rPr>
                <w:rFonts w:eastAsia="SimSun" w:cs="Times New Roman"/>
                <w:b/>
                <w:bCs/>
                <w:szCs w:val="21"/>
                <w:lang w:bidi="ar"/>
              </w:rPr>
              <w:t>. Pyrosequencing characteristic and α Diversity.</w:t>
            </w:r>
          </w:p>
        </w:tc>
      </w:tr>
      <w:tr w:rsidR="00C71DF1" w:rsidRPr="00C71DF1" w14:paraId="3A53443B" w14:textId="77777777">
        <w:trPr>
          <w:trHeight w:val="295"/>
        </w:trPr>
        <w:tc>
          <w:tcPr>
            <w:tcW w:w="2330" w:type="dxa"/>
            <w:tcBorders>
              <w:top w:val="single" w:sz="12" w:space="0" w:color="000000"/>
              <w:left w:val="nil"/>
              <w:bottom w:val="nil"/>
              <w:right w:val="nil"/>
            </w:tcBorders>
            <w:shd w:val="clear" w:color="auto" w:fill="auto"/>
            <w:noWrap/>
            <w:vAlign w:val="center"/>
          </w:tcPr>
          <w:p w14:paraId="77DE4D99"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Sample/</w:t>
            </w:r>
          </w:p>
        </w:tc>
        <w:tc>
          <w:tcPr>
            <w:tcW w:w="1311" w:type="dxa"/>
            <w:tcBorders>
              <w:top w:val="single" w:sz="12" w:space="0" w:color="000000"/>
              <w:left w:val="nil"/>
              <w:bottom w:val="nil"/>
              <w:right w:val="nil"/>
            </w:tcBorders>
            <w:shd w:val="clear" w:color="auto" w:fill="auto"/>
            <w:vAlign w:val="center"/>
          </w:tcPr>
          <w:p w14:paraId="2653E4EA"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Sobs</w:t>
            </w:r>
          </w:p>
        </w:tc>
        <w:tc>
          <w:tcPr>
            <w:tcW w:w="1366" w:type="dxa"/>
            <w:tcBorders>
              <w:top w:val="single" w:sz="12" w:space="0" w:color="000000"/>
              <w:left w:val="nil"/>
              <w:bottom w:val="nil"/>
              <w:right w:val="nil"/>
            </w:tcBorders>
            <w:shd w:val="clear" w:color="auto" w:fill="auto"/>
            <w:vAlign w:val="center"/>
          </w:tcPr>
          <w:p w14:paraId="7B81A212"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Ace</w:t>
            </w:r>
          </w:p>
        </w:tc>
        <w:tc>
          <w:tcPr>
            <w:tcW w:w="1366" w:type="dxa"/>
            <w:tcBorders>
              <w:top w:val="single" w:sz="12" w:space="0" w:color="000000"/>
              <w:left w:val="nil"/>
              <w:bottom w:val="nil"/>
              <w:right w:val="nil"/>
            </w:tcBorders>
            <w:shd w:val="clear" w:color="auto" w:fill="auto"/>
            <w:vAlign w:val="center"/>
          </w:tcPr>
          <w:p w14:paraId="37338E2A"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Chao</w:t>
            </w:r>
          </w:p>
        </w:tc>
        <w:tc>
          <w:tcPr>
            <w:tcW w:w="1296" w:type="dxa"/>
            <w:tcBorders>
              <w:top w:val="single" w:sz="12" w:space="0" w:color="000000"/>
              <w:left w:val="nil"/>
              <w:bottom w:val="nil"/>
              <w:right w:val="nil"/>
            </w:tcBorders>
            <w:shd w:val="clear" w:color="auto" w:fill="auto"/>
            <w:vAlign w:val="center"/>
          </w:tcPr>
          <w:p w14:paraId="4FE1C463"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Shannon</w:t>
            </w:r>
          </w:p>
        </w:tc>
        <w:tc>
          <w:tcPr>
            <w:tcW w:w="1455" w:type="dxa"/>
            <w:tcBorders>
              <w:top w:val="single" w:sz="12" w:space="0" w:color="000000"/>
              <w:left w:val="nil"/>
              <w:bottom w:val="nil"/>
              <w:right w:val="nil"/>
            </w:tcBorders>
            <w:shd w:val="clear" w:color="auto" w:fill="auto"/>
            <w:noWrap/>
            <w:vAlign w:val="center"/>
          </w:tcPr>
          <w:p w14:paraId="2337EFB8"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 xml:space="preserve"> </w:t>
            </w:r>
            <w:r w:rsidRPr="00C71DF1">
              <w:rPr>
                <w:rFonts w:eastAsia="SimSun" w:cs="Times New Roman"/>
                <w:b/>
                <w:bCs/>
                <w:sz w:val="18"/>
                <w:szCs w:val="18"/>
                <w:lang w:bidi="ar"/>
              </w:rPr>
              <w:br/>
              <w:t>Coverage</w:t>
            </w:r>
          </w:p>
        </w:tc>
        <w:tc>
          <w:tcPr>
            <w:tcW w:w="1556" w:type="dxa"/>
            <w:tcBorders>
              <w:top w:val="single" w:sz="12" w:space="0" w:color="000000"/>
              <w:left w:val="nil"/>
              <w:bottom w:val="nil"/>
              <w:right w:val="nil"/>
            </w:tcBorders>
            <w:shd w:val="clear" w:color="auto" w:fill="auto"/>
            <w:vAlign w:val="center"/>
          </w:tcPr>
          <w:p w14:paraId="33F432F2" w14:textId="77777777" w:rsidR="000C243C" w:rsidRPr="00C71DF1" w:rsidRDefault="00697DFB">
            <w:pPr>
              <w:jc w:val="center"/>
              <w:textAlignment w:val="center"/>
              <w:rPr>
                <w:rFonts w:eastAsia="SimSun" w:cs="Times New Roman"/>
                <w:b/>
                <w:bCs/>
                <w:sz w:val="18"/>
                <w:szCs w:val="18"/>
              </w:rPr>
            </w:pPr>
            <w:proofErr w:type="spellStart"/>
            <w:r w:rsidRPr="00C71DF1">
              <w:rPr>
                <w:rFonts w:eastAsia="SimSun" w:cs="Times New Roman"/>
                <w:b/>
                <w:bCs/>
                <w:sz w:val="18"/>
                <w:szCs w:val="18"/>
                <w:lang w:bidi="ar"/>
              </w:rPr>
              <w:t>Invsimpson</w:t>
            </w:r>
            <w:proofErr w:type="spellEnd"/>
          </w:p>
        </w:tc>
      </w:tr>
      <w:tr w:rsidR="00C71DF1" w:rsidRPr="00C71DF1" w14:paraId="274701B2" w14:textId="77777777">
        <w:trPr>
          <w:trHeight w:val="295"/>
        </w:trPr>
        <w:tc>
          <w:tcPr>
            <w:tcW w:w="2330" w:type="dxa"/>
            <w:tcBorders>
              <w:top w:val="nil"/>
              <w:left w:val="nil"/>
              <w:bottom w:val="single" w:sz="8" w:space="0" w:color="000000"/>
              <w:right w:val="nil"/>
            </w:tcBorders>
            <w:shd w:val="clear" w:color="auto" w:fill="auto"/>
            <w:noWrap/>
            <w:vAlign w:val="center"/>
          </w:tcPr>
          <w:p w14:paraId="276D6EDE"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Estimators</w:t>
            </w:r>
          </w:p>
        </w:tc>
        <w:tc>
          <w:tcPr>
            <w:tcW w:w="1311" w:type="dxa"/>
            <w:tcBorders>
              <w:top w:val="nil"/>
              <w:left w:val="nil"/>
              <w:bottom w:val="single" w:sz="8" w:space="0" w:color="000000"/>
              <w:right w:val="nil"/>
            </w:tcBorders>
            <w:shd w:val="clear" w:color="auto" w:fill="auto"/>
            <w:vAlign w:val="center"/>
          </w:tcPr>
          <w:p w14:paraId="2C42EF8D"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Mean</w:t>
            </w:r>
          </w:p>
        </w:tc>
        <w:tc>
          <w:tcPr>
            <w:tcW w:w="1366" w:type="dxa"/>
            <w:tcBorders>
              <w:top w:val="nil"/>
              <w:left w:val="nil"/>
              <w:bottom w:val="single" w:sz="8" w:space="0" w:color="000000"/>
              <w:right w:val="nil"/>
            </w:tcBorders>
            <w:shd w:val="clear" w:color="auto" w:fill="auto"/>
            <w:vAlign w:val="center"/>
          </w:tcPr>
          <w:p w14:paraId="1EECB0D8"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Mean</w:t>
            </w:r>
          </w:p>
        </w:tc>
        <w:tc>
          <w:tcPr>
            <w:tcW w:w="1366" w:type="dxa"/>
            <w:tcBorders>
              <w:top w:val="nil"/>
              <w:left w:val="nil"/>
              <w:bottom w:val="single" w:sz="8" w:space="0" w:color="000000"/>
              <w:right w:val="nil"/>
            </w:tcBorders>
            <w:shd w:val="clear" w:color="auto" w:fill="auto"/>
            <w:vAlign w:val="center"/>
          </w:tcPr>
          <w:p w14:paraId="7948FFEB"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Mean</w:t>
            </w:r>
          </w:p>
        </w:tc>
        <w:tc>
          <w:tcPr>
            <w:tcW w:w="1296" w:type="dxa"/>
            <w:tcBorders>
              <w:top w:val="nil"/>
              <w:left w:val="nil"/>
              <w:bottom w:val="single" w:sz="8" w:space="0" w:color="000000"/>
              <w:right w:val="nil"/>
            </w:tcBorders>
            <w:shd w:val="clear" w:color="auto" w:fill="auto"/>
            <w:vAlign w:val="center"/>
          </w:tcPr>
          <w:p w14:paraId="008ED615"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Mean</w:t>
            </w:r>
          </w:p>
        </w:tc>
        <w:tc>
          <w:tcPr>
            <w:tcW w:w="1455" w:type="dxa"/>
            <w:tcBorders>
              <w:top w:val="nil"/>
              <w:left w:val="nil"/>
              <w:bottom w:val="single" w:sz="8" w:space="0" w:color="000000"/>
              <w:right w:val="nil"/>
            </w:tcBorders>
            <w:shd w:val="clear" w:color="auto" w:fill="auto"/>
            <w:vAlign w:val="center"/>
          </w:tcPr>
          <w:p w14:paraId="02B792EA"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w:t>
            </w:r>
          </w:p>
        </w:tc>
        <w:tc>
          <w:tcPr>
            <w:tcW w:w="1556" w:type="dxa"/>
            <w:tcBorders>
              <w:top w:val="nil"/>
              <w:left w:val="nil"/>
              <w:bottom w:val="single" w:sz="8" w:space="0" w:color="000000"/>
              <w:right w:val="nil"/>
            </w:tcBorders>
            <w:shd w:val="clear" w:color="auto" w:fill="auto"/>
            <w:vAlign w:val="center"/>
          </w:tcPr>
          <w:p w14:paraId="578BBFB9" w14:textId="77777777" w:rsidR="000C243C" w:rsidRPr="00C71DF1" w:rsidRDefault="00697DFB">
            <w:pPr>
              <w:jc w:val="center"/>
              <w:textAlignment w:val="center"/>
              <w:rPr>
                <w:rFonts w:eastAsia="SimSun" w:cs="Times New Roman"/>
                <w:b/>
                <w:bCs/>
                <w:sz w:val="18"/>
                <w:szCs w:val="18"/>
              </w:rPr>
            </w:pPr>
            <w:r w:rsidRPr="00C71DF1">
              <w:rPr>
                <w:rFonts w:eastAsia="SimSun" w:cs="Times New Roman"/>
                <w:b/>
                <w:bCs/>
                <w:sz w:val="18"/>
                <w:szCs w:val="18"/>
                <w:lang w:bidi="ar"/>
              </w:rPr>
              <w:t>Mean</w:t>
            </w:r>
          </w:p>
        </w:tc>
      </w:tr>
      <w:tr w:rsidR="00C71DF1" w:rsidRPr="00C71DF1" w14:paraId="1BE1187F" w14:textId="77777777">
        <w:trPr>
          <w:trHeight w:val="280"/>
        </w:trPr>
        <w:tc>
          <w:tcPr>
            <w:tcW w:w="2330" w:type="dxa"/>
            <w:tcBorders>
              <w:top w:val="nil"/>
              <w:left w:val="nil"/>
              <w:bottom w:val="nil"/>
              <w:right w:val="nil"/>
            </w:tcBorders>
            <w:shd w:val="clear" w:color="auto" w:fill="auto"/>
            <w:noWrap/>
            <w:vAlign w:val="center"/>
          </w:tcPr>
          <w:p w14:paraId="6A18E0F4"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B-THW group (oral)</w:t>
            </w:r>
          </w:p>
        </w:tc>
        <w:tc>
          <w:tcPr>
            <w:tcW w:w="1311" w:type="dxa"/>
            <w:tcBorders>
              <w:top w:val="nil"/>
              <w:left w:val="nil"/>
              <w:bottom w:val="nil"/>
              <w:right w:val="nil"/>
            </w:tcBorders>
            <w:shd w:val="clear" w:color="auto" w:fill="auto"/>
            <w:vAlign w:val="center"/>
          </w:tcPr>
          <w:p w14:paraId="577AE1EE"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519 </w:t>
            </w:r>
          </w:p>
        </w:tc>
        <w:tc>
          <w:tcPr>
            <w:tcW w:w="1366" w:type="dxa"/>
            <w:tcBorders>
              <w:top w:val="nil"/>
              <w:left w:val="nil"/>
              <w:bottom w:val="nil"/>
              <w:right w:val="nil"/>
            </w:tcBorders>
            <w:shd w:val="clear" w:color="auto" w:fill="auto"/>
            <w:vAlign w:val="center"/>
          </w:tcPr>
          <w:p w14:paraId="203A59E1"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636.720 </w:t>
            </w:r>
          </w:p>
        </w:tc>
        <w:tc>
          <w:tcPr>
            <w:tcW w:w="1366" w:type="dxa"/>
            <w:tcBorders>
              <w:top w:val="nil"/>
              <w:left w:val="nil"/>
              <w:bottom w:val="nil"/>
              <w:right w:val="nil"/>
            </w:tcBorders>
            <w:shd w:val="clear" w:color="auto" w:fill="auto"/>
            <w:vAlign w:val="center"/>
          </w:tcPr>
          <w:p w14:paraId="7996CE39"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637.207 </w:t>
            </w:r>
          </w:p>
        </w:tc>
        <w:tc>
          <w:tcPr>
            <w:tcW w:w="1296" w:type="dxa"/>
            <w:tcBorders>
              <w:top w:val="nil"/>
              <w:left w:val="nil"/>
              <w:bottom w:val="nil"/>
              <w:right w:val="nil"/>
            </w:tcBorders>
            <w:shd w:val="clear" w:color="auto" w:fill="auto"/>
            <w:vAlign w:val="center"/>
          </w:tcPr>
          <w:p w14:paraId="29725778"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4.0191 </w:t>
            </w:r>
          </w:p>
        </w:tc>
        <w:tc>
          <w:tcPr>
            <w:tcW w:w="1455" w:type="dxa"/>
            <w:tcBorders>
              <w:top w:val="nil"/>
              <w:left w:val="nil"/>
              <w:bottom w:val="nil"/>
              <w:right w:val="nil"/>
            </w:tcBorders>
            <w:shd w:val="clear" w:color="auto" w:fill="auto"/>
            <w:vAlign w:val="center"/>
          </w:tcPr>
          <w:p w14:paraId="22926CB0"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0.9974 </w:t>
            </w:r>
          </w:p>
        </w:tc>
        <w:tc>
          <w:tcPr>
            <w:tcW w:w="1556" w:type="dxa"/>
            <w:tcBorders>
              <w:top w:val="nil"/>
              <w:left w:val="nil"/>
              <w:bottom w:val="nil"/>
              <w:right w:val="nil"/>
            </w:tcBorders>
            <w:shd w:val="clear" w:color="auto" w:fill="auto"/>
            <w:vAlign w:val="center"/>
          </w:tcPr>
          <w:p w14:paraId="66606A76"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24.8803 </w:t>
            </w:r>
          </w:p>
        </w:tc>
      </w:tr>
      <w:tr w:rsidR="00C71DF1" w:rsidRPr="00C71DF1" w14:paraId="7E4D630E" w14:textId="77777777">
        <w:trPr>
          <w:trHeight w:val="280"/>
        </w:trPr>
        <w:tc>
          <w:tcPr>
            <w:tcW w:w="2330" w:type="dxa"/>
            <w:tcBorders>
              <w:top w:val="nil"/>
              <w:left w:val="nil"/>
              <w:bottom w:val="nil"/>
              <w:right w:val="nil"/>
            </w:tcBorders>
            <w:shd w:val="clear" w:color="auto" w:fill="auto"/>
            <w:noWrap/>
            <w:vAlign w:val="center"/>
          </w:tcPr>
          <w:p w14:paraId="25757BA2"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B-THW-P group (oral)</w:t>
            </w:r>
          </w:p>
        </w:tc>
        <w:tc>
          <w:tcPr>
            <w:tcW w:w="1311" w:type="dxa"/>
            <w:tcBorders>
              <w:top w:val="nil"/>
              <w:left w:val="nil"/>
              <w:bottom w:val="nil"/>
              <w:right w:val="nil"/>
            </w:tcBorders>
            <w:shd w:val="clear" w:color="auto" w:fill="auto"/>
            <w:vAlign w:val="center"/>
          </w:tcPr>
          <w:p w14:paraId="2714B1DF"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468 </w:t>
            </w:r>
          </w:p>
        </w:tc>
        <w:tc>
          <w:tcPr>
            <w:tcW w:w="1366" w:type="dxa"/>
            <w:tcBorders>
              <w:top w:val="nil"/>
              <w:left w:val="nil"/>
              <w:bottom w:val="nil"/>
              <w:right w:val="nil"/>
            </w:tcBorders>
            <w:shd w:val="clear" w:color="auto" w:fill="auto"/>
            <w:vAlign w:val="center"/>
          </w:tcPr>
          <w:p w14:paraId="5FF87E71"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584.867 </w:t>
            </w:r>
          </w:p>
        </w:tc>
        <w:tc>
          <w:tcPr>
            <w:tcW w:w="1366" w:type="dxa"/>
            <w:tcBorders>
              <w:top w:val="nil"/>
              <w:left w:val="nil"/>
              <w:bottom w:val="nil"/>
              <w:right w:val="nil"/>
            </w:tcBorders>
            <w:shd w:val="clear" w:color="auto" w:fill="auto"/>
            <w:vAlign w:val="center"/>
          </w:tcPr>
          <w:p w14:paraId="5B17AB5C"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584.492 </w:t>
            </w:r>
          </w:p>
        </w:tc>
        <w:tc>
          <w:tcPr>
            <w:tcW w:w="1296" w:type="dxa"/>
            <w:tcBorders>
              <w:top w:val="nil"/>
              <w:left w:val="nil"/>
              <w:bottom w:val="nil"/>
              <w:right w:val="nil"/>
            </w:tcBorders>
            <w:shd w:val="clear" w:color="auto" w:fill="auto"/>
            <w:noWrap/>
            <w:vAlign w:val="center"/>
          </w:tcPr>
          <w:p w14:paraId="3615E15B" w14:textId="77777777" w:rsidR="000C243C" w:rsidRPr="00C71DF1" w:rsidRDefault="00697DFB">
            <w:pPr>
              <w:jc w:val="center"/>
              <w:textAlignment w:val="center"/>
              <w:rPr>
                <w:rFonts w:ascii="SimSun" w:eastAsia="SimSun" w:hAnsi="SimSun" w:cs="SimSun"/>
                <w:sz w:val="18"/>
                <w:szCs w:val="18"/>
              </w:rPr>
            </w:pPr>
            <w:r w:rsidRPr="00C71DF1">
              <w:rPr>
                <w:rFonts w:ascii="SimSun" w:eastAsia="SimSun" w:hAnsi="SimSun" w:cs="SimSun" w:hint="eastAsia"/>
                <w:sz w:val="18"/>
                <w:szCs w:val="18"/>
                <w:lang w:bidi="ar"/>
              </w:rPr>
              <w:t xml:space="preserve">3.9205 </w:t>
            </w:r>
          </w:p>
        </w:tc>
        <w:tc>
          <w:tcPr>
            <w:tcW w:w="1455" w:type="dxa"/>
            <w:tcBorders>
              <w:top w:val="nil"/>
              <w:left w:val="nil"/>
              <w:bottom w:val="nil"/>
              <w:right w:val="nil"/>
            </w:tcBorders>
            <w:shd w:val="clear" w:color="auto" w:fill="auto"/>
            <w:vAlign w:val="center"/>
          </w:tcPr>
          <w:p w14:paraId="00734058"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0.9976 </w:t>
            </w:r>
          </w:p>
        </w:tc>
        <w:tc>
          <w:tcPr>
            <w:tcW w:w="1556" w:type="dxa"/>
            <w:tcBorders>
              <w:top w:val="nil"/>
              <w:left w:val="nil"/>
              <w:bottom w:val="nil"/>
              <w:right w:val="nil"/>
            </w:tcBorders>
            <w:shd w:val="clear" w:color="auto" w:fill="auto"/>
            <w:vAlign w:val="center"/>
          </w:tcPr>
          <w:p w14:paraId="6078331A"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21.1311 </w:t>
            </w:r>
          </w:p>
        </w:tc>
      </w:tr>
      <w:tr w:rsidR="00C71DF1" w:rsidRPr="00C71DF1" w14:paraId="6FCB08E2" w14:textId="77777777">
        <w:trPr>
          <w:trHeight w:val="280"/>
        </w:trPr>
        <w:tc>
          <w:tcPr>
            <w:tcW w:w="2330" w:type="dxa"/>
            <w:tcBorders>
              <w:top w:val="nil"/>
              <w:left w:val="nil"/>
              <w:bottom w:val="nil"/>
              <w:right w:val="nil"/>
            </w:tcBorders>
            <w:shd w:val="clear" w:color="auto" w:fill="auto"/>
            <w:noWrap/>
            <w:vAlign w:val="center"/>
          </w:tcPr>
          <w:p w14:paraId="79DE09FE"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A-THW group (oral)</w:t>
            </w:r>
          </w:p>
        </w:tc>
        <w:tc>
          <w:tcPr>
            <w:tcW w:w="1311" w:type="dxa"/>
            <w:tcBorders>
              <w:top w:val="nil"/>
              <w:left w:val="nil"/>
              <w:bottom w:val="nil"/>
              <w:right w:val="nil"/>
            </w:tcBorders>
            <w:shd w:val="clear" w:color="auto" w:fill="auto"/>
            <w:noWrap/>
            <w:vAlign w:val="center"/>
          </w:tcPr>
          <w:p w14:paraId="5632437E"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557</w:t>
            </w:r>
          </w:p>
        </w:tc>
        <w:tc>
          <w:tcPr>
            <w:tcW w:w="1366" w:type="dxa"/>
            <w:tcBorders>
              <w:top w:val="nil"/>
              <w:left w:val="nil"/>
              <w:bottom w:val="nil"/>
              <w:right w:val="nil"/>
            </w:tcBorders>
            <w:shd w:val="clear" w:color="auto" w:fill="auto"/>
            <w:noWrap/>
            <w:vAlign w:val="center"/>
          </w:tcPr>
          <w:p w14:paraId="61541A1B"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769.34</w:t>
            </w:r>
          </w:p>
        </w:tc>
        <w:tc>
          <w:tcPr>
            <w:tcW w:w="1366" w:type="dxa"/>
            <w:tcBorders>
              <w:top w:val="nil"/>
              <w:left w:val="nil"/>
              <w:bottom w:val="nil"/>
              <w:right w:val="nil"/>
            </w:tcBorders>
            <w:shd w:val="clear" w:color="auto" w:fill="auto"/>
            <w:noWrap/>
            <w:vAlign w:val="center"/>
          </w:tcPr>
          <w:p w14:paraId="727A55C6"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736.96</w:t>
            </w:r>
          </w:p>
        </w:tc>
        <w:tc>
          <w:tcPr>
            <w:tcW w:w="1296" w:type="dxa"/>
            <w:tcBorders>
              <w:top w:val="nil"/>
              <w:left w:val="nil"/>
              <w:bottom w:val="nil"/>
              <w:right w:val="nil"/>
            </w:tcBorders>
            <w:shd w:val="clear" w:color="auto" w:fill="auto"/>
            <w:noWrap/>
            <w:vAlign w:val="center"/>
          </w:tcPr>
          <w:p w14:paraId="5A397035"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3.6351</w:t>
            </w:r>
          </w:p>
        </w:tc>
        <w:tc>
          <w:tcPr>
            <w:tcW w:w="1455" w:type="dxa"/>
            <w:tcBorders>
              <w:top w:val="nil"/>
              <w:left w:val="nil"/>
              <w:bottom w:val="nil"/>
              <w:right w:val="nil"/>
            </w:tcBorders>
            <w:shd w:val="clear" w:color="auto" w:fill="auto"/>
            <w:noWrap/>
            <w:vAlign w:val="center"/>
          </w:tcPr>
          <w:p w14:paraId="68929504"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0.9953</w:t>
            </w:r>
          </w:p>
        </w:tc>
        <w:tc>
          <w:tcPr>
            <w:tcW w:w="1556" w:type="dxa"/>
            <w:tcBorders>
              <w:top w:val="nil"/>
              <w:left w:val="nil"/>
              <w:bottom w:val="nil"/>
              <w:right w:val="nil"/>
            </w:tcBorders>
            <w:shd w:val="clear" w:color="auto" w:fill="auto"/>
            <w:noWrap/>
            <w:vAlign w:val="center"/>
          </w:tcPr>
          <w:p w14:paraId="5A6BACA4"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15.808</w:t>
            </w:r>
          </w:p>
        </w:tc>
      </w:tr>
      <w:tr w:rsidR="00C71DF1" w:rsidRPr="00C71DF1" w14:paraId="7B623C0E" w14:textId="77777777">
        <w:trPr>
          <w:trHeight w:val="280"/>
        </w:trPr>
        <w:tc>
          <w:tcPr>
            <w:tcW w:w="2330" w:type="dxa"/>
            <w:tcBorders>
              <w:top w:val="nil"/>
              <w:left w:val="nil"/>
              <w:bottom w:val="nil"/>
              <w:right w:val="nil"/>
            </w:tcBorders>
            <w:shd w:val="clear" w:color="auto" w:fill="auto"/>
            <w:noWrap/>
            <w:vAlign w:val="center"/>
          </w:tcPr>
          <w:p w14:paraId="5B20C93A"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A-THW-P group (oral)</w:t>
            </w:r>
          </w:p>
        </w:tc>
        <w:tc>
          <w:tcPr>
            <w:tcW w:w="1311" w:type="dxa"/>
            <w:tcBorders>
              <w:top w:val="nil"/>
              <w:left w:val="nil"/>
              <w:bottom w:val="nil"/>
              <w:right w:val="nil"/>
            </w:tcBorders>
            <w:shd w:val="clear" w:color="auto" w:fill="auto"/>
            <w:noWrap/>
            <w:vAlign w:val="center"/>
          </w:tcPr>
          <w:p w14:paraId="13D48B1E"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708</w:t>
            </w:r>
          </w:p>
        </w:tc>
        <w:tc>
          <w:tcPr>
            <w:tcW w:w="1366" w:type="dxa"/>
            <w:tcBorders>
              <w:top w:val="nil"/>
              <w:left w:val="nil"/>
              <w:bottom w:val="nil"/>
              <w:right w:val="nil"/>
            </w:tcBorders>
            <w:shd w:val="clear" w:color="auto" w:fill="auto"/>
            <w:noWrap/>
            <w:vAlign w:val="center"/>
          </w:tcPr>
          <w:p w14:paraId="5BE9B798"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933.5</w:t>
            </w:r>
          </w:p>
        </w:tc>
        <w:tc>
          <w:tcPr>
            <w:tcW w:w="1366" w:type="dxa"/>
            <w:tcBorders>
              <w:top w:val="nil"/>
              <w:left w:val="nil"/>
              <w:bottom w:val="nil"/>
              <w:right w:val="nil"/>
            </w:tcBorders>
            <w:shd w:val="clear" w:color="auto" w:fill="auto"/>
            <w:vAlign w:val="center"/>
          </w:tcPr>
          <w:p w14:paraId="303516D0"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930.37</w:t>
            </w:r>
          </w:p>
        </w:tc>
        <w:tc>
          <w:tcPr>
            <w:tcW w:w="1296" w:type="dxa"/>
            <w:tcBorders>
              <w:top w:val="nil"/>
              <w:left w:val="nil"/>
              <w:bottom w:val="nil"/>
              <w:right w:val="nil"/>
            </w:tcBorders>
            <w:shd w:val="clear" w:color="auto" w:fill="auto"/>
            <w:vAlign w:val="center"/>
          </w:tcPr>
          <w:p w14:paraId="7FB9062C"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3.9181</w:t>
            </w:r>
          </w:p>
        </w:tc>
        <w:tc>
          <w:tcPr>
            <w:tcW w:w="1455" w:type="dxa"/>
            <w:tcBorders>
              <w:top w:val="nil"/>
              <w:left w:val="nil"/>
              <w:bottom w:val="nil"/>
              <w:right w:val="nil"/>
            </w:tcBorders>
            <w:shd w:val="clear" w:color="auto" w:fill="auto"/>
            <w:noWrap/>
            <w:vAlign w:val="center"/>
          </w:tcPr>
          <w:p w14:paraId="782EB34D"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0.99407</w:t>
            </w:r>
          </w:p>
        </w:tc>
        <w:tc>
          <w:tcPr>
            <w:tcW w:w="1556" w:type="dxa"/>
            <w:tcBorders>
              <w:top w:val="nil"/>
              <w:left w:val="nil"/>
              <w:bottom w:val="nil"/>
              <w:right w:val="nil"/>
            </w:tcBorders>
            <w:shd w:val="clear" w:color="auto" w:fill="auto"/>
            <w:vAlign w:val="center"/>
          </w:tcPr>
          <w:p w14:paraId="32A191C7"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21.728</w:t>
            </w:r>
          </w:p>
        </w:tc>
      </w:tr>
      <w:tr w:rsidR="00C71DF1" w:rsidRPr="00C71DF1" w14:paraId="192AFFD8" w14:textId="77777777">
        <w:trPr>
          <w:trHeight w:val="280"/>
        </w:trPr>
        <w:tc>
          <w:tcPr>
            <w:tcW w:w="2330" w:type="dxa"/>
            <w:tcBorders>
              <w:top w:val="nil"/>
              <w:left w:val="nil"/>
              <w:bottom w:val="nil"/>
              <w:right w:val="nil"/>
            </w:tcBorders>
            <w:shd w:val="clear" w:color="auto" w:fill="auto"/>
            <w:noWrap/>
            <w:vAlign w:val="center"/>
          </w:tcPr>
          <w:p w14:paraId="02A6F135"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B-THW group (gut)</w:t>
            </w:r>
          </w:p>
        </w:tc>
        <w:tc>
          <w:tcPr>
            <w:tcW w:w="1311" w:type="dxa"/>
            <w:tcBorders>
              <w:top w:val="nil"/>
              <w:left w:val="nil"/>
              <w:bottom w:val="nil"/>
              <w:right w:val="nil"/>
            </w:tcBorders>
            <w:shd w:val="clear" w:color="auto" w:fill="auto"/>
            <w:noWrap/>
            <w:vAlign w:val="center"/>
          </w:tcPr>
          <w:p w14:paraId="59802524"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468 </w:t>
            </w:r>
          </w:p>
        </w:tc>
        <w:tc>
          <w:tcPr>
            <w:tcW w:w="1366" w:type="dxa"/>
            <w:tcBorders>
              <w:top w:val="nil"/>
              <w:left w:val="nil"/>
              <w:bottom w:val="nil"/>
              <w:right w:val="nil"/>
            </w:tcBorders>
            <w:shd w:val="clear" w:color="auto" w:fill="auto"/>
            <w:noWrap/>
            <w:vAlign w:val="center"/>
          </w:tcPr>
          <w:p w14:paraId="241DBA56"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584.87</w:t>
            </w:r>
          </w:p>
        </w:tc>
        <w:tc>
          <w:tcPr>
            <w:tcW w:w="1366" w:type="dxa"/>
            <w:tcBorders>
              <w:top w:val="nil"/>
              <w:left w:val="nil"/>
              <w:bottom w:val="nil"/>
              <w:right w:val="nil"/>
            </w:tcBorders>
            <w:shd w:val="clear" w:color="auto" w:fill="auto"/>
            <w:noWrap/>
            <w:vAlign w:val="center"/>
          </w:tcPr>
          <w:p w14:paraId="23824112"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584.49</w:t>
            </w:r>
          </w:p>
        </w:tc>
        <w:tc>
          <w:tcPr>
            <w:tcW w:w="1296" w:type="dxa"/>
            <w:tcBorders>
              <w:top w:val="nil"/>
              <w:left w:val="nil"/>
              <w:bottom w:val="nil"/>
              <w:right w:val="nil"/>
            </w:tcBorders>
            <w:shd w:val="clear" w:color="auto" w:fill="auto"/>
            <w:noWrap/>
            <w:vAlign w:val="center"/>
          </w:tcPr>
          <w:p w14:paraId="5707227C"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3.92045</w:t>
            </w:r>
          </w:p>
        </w:tc>
        <w:tc>
          <w:tcPr>
            <w:tcW w:w="1455" w:type="dxa"/>
            <w:tcBorders>
              <w:top w:val="nil"/>
              <w:left w:val="nil"/>
              <w:bottom w:val="nil"/>
              <w:right w:val="nil"/>
            </w:tcBorders>
            <w:shd w:val="clear" w:color="auto" w:fill="auto"/>
            <w:noWrap/>
            <w:vAlign w:val="center"/>
          </w:tcPr>
          <w:p w14:paraId="47C2CBCF"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0.99757</w:t>
            </w:r>
          </w:p>
        </w:tc>
        <w:tc>
          <w:tcPr>
            <w:tcW w:w="1556" w:type="dxa"/>
            <w:tcBorders>
              <w:top w:val="nil"/>
              <w:left w:val="nil"/>
              <w:bottom w:val="nil"/>
              <w:right w:val="nil"/>
            </w:tcBorders>
            <w:shd w:val="clear" w:color="auto" w:fill="auto"/>
            <w:noWrap/>
            <w:vAlign w:val="center"/>
          </w:tcPr>
          <w:p w14:paraId="17119919"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21.131</w:t>
            </w:r>
          </w:p>
        </w:tc>
      </w:tr>
      <w:tr w:rsidR="00C71DF1" w:rsidRPr="00C71DF1" w14:paraId="3B728F8D" w14:textId="77777777">
        <w:trPr>
          <w:trHeight w:val="280"/>
        </w:trPr>
        <w:tc>
          <w:tcPr>
            <w:tcW w:w="2330" w:type="dxa"/>
            <w:tcBorders>
              <w:top w:val="nil"/>
              <w:left w:val="nil"/>
              <w:bottom w:val="nil"/>
              <w:right w:val="nil"/>
            </w:tcBorders>
            <w:shd w:val="clear" w:color="auto" w:fill="auto"/>
            <w:noWrap/>
            <w:vAlign w:val="center"/>
          </w:tcPr>
          <w:p w14:paraId="21A5B7F2"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B-THW-P group (gut)</w:t>
            </w:r>
          </w:p>
        </w:tc>
        <w:tc>
          <w:tcPr>
            <w:tcW w:w="1311" w:type="dxa"/>
            <w:tcBorders>
              <w:top w:val="nil"/>
              <w:left w:val="nil"/>
              <w:bottom w:val="nil"/>
              <w:right w:val="nil"/>
            </w:tcBorders>
            <w:shd w:val="clear" w:color="auto" w:fill="auto"/>
            <w:noWrap/>
            <w:vAlign w:val="center"/>
          </w:tcPr>
          <w:p w14:paraId="6D8E7469"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 xml:space="preserve">519 </w:t>
            </w:r>
          </w:p>
        </w:tc>
        <w:tc>
          <w:tcPr>
            <w:tcW w:w="1366" w:type="dxa"/>
            <w:tcBorders>
              <w:top w:val="nil"/>
              <w:left w:val="nil"/>
              <w:bottom w:val="nil"/>
              <w:right w:val="nil"/>
            </w:tcBorders>
            <w:shd w:val="clear" w:color="auto" w:fill="auto"/>
            <w:noWrap/>
            <w:vAlign w:val="center"/>
          </w:tcPr>
          <w:p w14:paraId="0D14D483"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636.722</w:t>
            </w:r>
          </w:p>
        </w:tc>
        <w:tc>
          <w:tcPr>
            <w:tcW w:w="1366" w:type="dxa"/>
            <w:tcBorders>
              <w:top w:val="nil"/>
              <w:left w:val="nil"/>
              <w:bottom w:val="nil"/>
              <w:right w:val="nil"/>
            </w:tcBorders>
            <w:shd w:val="clear" w:color="auto" w:fill="auto"/>
            <w:noWrap/>
            <w:vAlign w:val="center"/>
          </w:tcPr>
          <w:p w14:paraId="73295C82"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637.2</w:t>
            </w:r>
          </w:p>
        </w:tc>
        <w:tc>
          <w:tcPr>
            <w:tcW w:w="1296" w:type="dxa"/>
            <w:tcBorders>
              <w:top w:val="nil"/>
              <w:left w:val="nil"/>
              <w:bottom w:val="nil"/>
              <w:right w:val="nil"/>
            </w:tcBorders>
            <w:shd w:val="clear" w:color="auto" w:fill="auto"/>
            <w:noWrap/>
            <w:vAlign w:val="center"/>
          </w:tcPr>
          <w:p w14:paraId="14CEECE7"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4.019</w:t>
            </w:r>
          </w:p>
        </w:tc>
        <w:tc>
          <w:tcPr>
            <w:tcW w:w="1455" w:type="dxa"/>
            <w:tcBorders>
              <w:top w:val="nil"/>
              <w:left w:val="nil"/>
              <w:bottom w:val="nil"/>
              <w:right w:val="nil"/>
            </w:tcBorders>
            <w:shd w:val="clear" w:color="auto" w:fill="auto"/>
            <w:noWrap/>
            <w:vAlign w:val="center"/>
          </w:tcPr>
          <w:p w14:paraId="61630F31"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0.997354</w:t>
            </w:r>
          </w:p>
        </w:tc>
        <w:tc>
          <w:tcPr>
            <w:tcW w:w="1556" w:type="dxa"/>
            <w:tcBorders>
              <w:top w:val="nil"/>
              <w:left w:val="nil"/>
              <w:bottom w:val="nil"/>
              <w:right w:val="nil"/>
            </w:tcBorders>
            <w:shd w:val="clear" w:color="auto" w:fill="auto"/>
            <w:noWrap/>
            <w:vAlign w:val="center"/>
          </w:tcPr>
          <w:p w14:paraId="304AAA43"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24.88</w:t>
            </w:r>
          </w:p>
        </w:tc>
      </w:tr>
      <w:tr w:rsidR="00C71DF1" w:rsidRPr="00C71DF1" w14:paraId="3504AF26" w14:textId="77777777">
        <w:trPr>
          <w:trHeight w:val="280"/>
        </w:trPr>
        <w:tc>
          <w:tcPr>
            <w:tcW w:w="2330" w:type="dxa"/>
            <w:tcBorders>
              <w:top w:val="nil"/>
              <w:left w:val="nil"/>
              <w:bottom w:val="nil"/>
              <w:right w:val="nil"/>
            </w:tcBorders>
            <w:shd w:val="clear" w:color="auto" w:fill="auto"/>
            <w:noWrap/>
            <w:vAlign w:val="center"/>
          </w:tcPr>
          <w:p w14:paraId="34F9EB71"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A-THW group (gut)</w:t>
            </w:r>
          </w:p>
        </w:tc>
        <w:tc>
          <w:tcPr>
            <w:tcW w:w="1311" w:type="dxa"/>
            <w:tcBorders>
              <w:top w:val="nil"/>
              <w:left w:val="nil"/>
              <w:bottom w:val="nil"/>
              <w:right w:val="nil"/>
            </w:tcBorders>
            <w:shd w:val="clear" w:color="auto" w:fill="auto"/>
            <w:noWrap/>
            <w:vAlign w:val="center"/>
          </w:tcPr>
          <w:p w14:paraId="72CA1202"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406</w:t>
            </w:r>
          </w:p>
        </w:tc>
        <w:tc>
          <w:tcPr>
            <w:tcW w:w="1366" w:type="dxa"/>
            <w:tcBorders>
              <w:top w:val="nil"/>
              <w:left w:val="nil"/>
              <w:bottom w:val="nil"/>
              <w:right w:val="nil"/>
            </w:tcBorders>
            <w:shd w:val="clear" w:color="auto" w:fill="auto"/>
            <w:noWrap/>
            <w:vAlign w:val="center"/>
          </w:tcPr>
          <w:p w14:paraId="4D21CD43"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551.01</w:t>
            </w:r>
          </w:p>
        </w:tc>
        <w:tc>
          <w:tcPr>
            <w:tcW w:w="1366" w:type="dxa"/>
            <w:tcBorders>
              <w:top w:val="nil"/>
              <w:left w:val="nil"/>
              <w:bottom w:val="nil"/>
              <w:right w:val="nil"/>
            </w:tcBorders>
            <w:shd w:val="clear" w:color="auto" w:fill="auto"/>
            <w:noWrap/>
            <w:vAlign w:val="center"/>
          </w:tcPr>
          <w:p w14:paraId="24CC6AF8"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524.11</w:t>
            </w:r>
          </w:p>
        </w:tc>
        <w:tc>
          <w:tcPr>
            <w:tcW w:w="1296" w:type="dxa"/>
            <w:tcBorders>
              <w:top w:val="nil"/>
              <w:left w:val="nil"/>
              <w:bottom w:val="nil"/>
              <w:right w:val="nil"/>
            </w:tcBorders>
            <w:shd w:val="clear" w:color="auto" w:fill="auto"/>
            <w:noWrap/>
            <w:vAlign w:val="center"/>
          </w:tcPr>
          <w:p w14:paraId="51306796"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3.5437</w:t>
            </w:r>
          </w:p>
        </w:tc>
        <w:tc>
          <w:tcPr>
            <w:tcW w:w="1455" w:type="dxa"/>
            <w:tcBorders>
              <w:top w:val="nil"/>
              <w:left w:val="nil"/>
              <w:bottom w:val="nil"/>
              <w:right w:val="nil"/>
            </w:tcBorders>
            <w:shd w:val="clear" w:color="auto" w:fill="auto"/>
            <w:noWrap/>
            <w:vAlign w:val="center"/>
          </w:tcPr>
          <w:p w14:paraId="4902C7DF"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0.99758</w:t>
            </w:r>
          </w:p>
        </w:tc>
        <w:tc>
          <w:tcPr>
            <w:tcW w:w="1556" w:type="dxa"/>
            <w:tcBorders>
              <w:top w:val="nil"/>
              <w:left w:val="nil"/>
              <w:bottom w:val="nil"/>
              <w:right w:val="nil"/>
            </w:tcBorders>
            <w:shd w:val="clear" w:color="auto" w:fill="auto"/>
            <w:noWrap/>
            <w:vAlign w:val="center"/>
          </w:tcPr>
          <w:p w14:paraId="0ABAA2D0"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16.808</w:t>
            </w:r>
          </w:p>
        </w:tc>
      </w:tr>
      <w:tr w:rsidR="00C71DF1" w:rsidRPr="00C71DF1" w14:paraId="1943EA2F" w14:textId="77777777">
        <w:trPr>
          <w:trHeight w:val="295"/>
        </w:trPr>
        <w:tc>
          <w:tcPr>
            <w:tcW w:w="2330" w:type="dxa"/>
            <w:tcBorders>
              <w:top w:val="nil"/>
              <w:left w:val="nil"/>
              <w:bottom w:val="single" w:sz="8" w:space="0" w:color="000000"/>
              <w:right w:val="nil"/>
            </w:tcBorders>
            <w:shd w:val="clear" w:color="auto" w:fill="auto"/>
            <w:noWrap/>
            <w:vAlign w:val="center"/>
          </w:tcPr>
          <w:p w14:paraId="0FC01761"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A-THW-P group (gut)</w:t>
            </w:r>
          </w:p>
        </w:tc>
        <w:tc>
          <w:tcPr>
            <w:tcW w:w="1311" w:type="dxa"/>
            <w:tcBorders>
              <w:top w:val="nil"/>
              <w:left w:val="nil"/>
              <w:bottom w:val="single" w:sz="8" w:space="0" w:color="000000"/>
              <w:right w:val="nil"/>
            </w:tcBorders>
            <w:shd w:val="clear" w:color="auto" w:fill="auto"/>
            <w:vAlign w:val="center"/>
          </w:tcPr>
          <w:p w14:paraId="574D9E28"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496.48</w:t>
            </w:r>
          </w:p>
        </w:tc>
        <w:tc>
          <w:tcPr>
            <w:tcW w:w="1366" w:type="dxa"/>
            <w:tcBorders>
              <w:top w:val="nil"/>
              <w:left w:val="nil"/>
              <w:bottom w:val="single" w:sz="8" w:space="0" w:color="000000"/>
              <w:right w:val="nil"/>
            </w:tcBorders>
            <w:shd w:val="clear" w:color="auto" w:fill="auto"/>
            <w:vAlign w:val="center"/>
          </w:tcPr>
          <w:p w14:paraId="57B94E07"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629.88</w:t>
            </w:r>
          </w:p>
        </w:tc>
        <w:tc>
          <w:tcPr>
            <w:tcW w:w="1366" w:type="dxa"/>
            <w:tcBorders>
              <w:top w:val="nil"/>
              <w:left w:val="nil"/>
              <w:bottom w:val="single" w:sz="8" w:space="0" w:color="000000"/>
              <w:right w:val="nil"/>
            </w:tcBorders>
            <w:shd w:val="clear" w:color="auto" w:fill="auto"/>
            <w:vAlign w:val="center"/>
          </w:tcPr>
          <w:p w14:paraId="7AF35927"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625.57</w:t>
            </w:r>
          </w:p>
        </w:tc>
        <w:tc>
          <w:tcPr>
            <w:tcW w:w="1296" w:type="dxa"/>
            <w:tcBorders>
              <w:top w:val="nil"/>
              <w:left w:val="nil"/>
              <w:bottom w:val="single" w:sz="8" w:space="0" w:color="000000"/>
              <w:right w:val="nil"/>
            </w:tcBorders>
            <w:shd w:val="clear" w:color="auto" w:fill="auto"/>
            <w:vAlign w:val="center"/>
          </w:tcPr>
          <w:p w14:paraId="64B01B9C"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3.8994</w:t>
            </w:r>
          </w:p>
        </w:tc>
        <w:tc>
          <w:tcPr>
            <w:tcW w:w="1455" w:type="dxa"/>
            <w:tcBorders>
              <w:top w:val="nil"/>
              <w:left w:val="nil"/>
              <w:bottom w:val="single" w:sz="8" w:space="0" w:color="000000"/>
              <w:right w:val="nil"/>
            </w:tcBorders>
            <w:shd w:val="clear" w:color="auto" w:fill="auto"/>
            <w:vAlign w:val="center"/>
          </w:tcPr>
          <w:p w14:paraId="532025FC"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0.99733</w:t>
            </w:r>
          </w:p>
        </w:tc>
        <w:tc>
          <w:tcPr>
            <w:tcW w:w="1556" w:type="dxa"/>
            <w:tcBorders>
              <w:top w:val="nil"/>
              <w:left w:val="nil"/>
              <w:bottom w:val="single" w:sz="8" w:space="0" w:color="000000"/>
              <w:right w:val="nil"/>
            </w:tcBorders>
            <w:shd w:val="clear" w:color="auto" w:fill="auto"/>
            <w:vAlign w:val="center"/>
          </w:tcPr>
          <w:p w14:paraId="135E071F" w14:textId="77777777" w:rsidR="000C243C" w:rsidRPr="00C71DF1" w:rsidRDefault="00697DFB">
            <w:pPr>
              <w:jc w:val="center"/>
              <w:textAlignment w:val="center"/>
              <w:rPr>
                <w:rFonts w:eastAsia="SimSun" w:cs="Times New Roman"/>
                <w:sz w:val="18"/>
                <w:szCs w:val="18"/>
              </w:rPr>
            </w:pPr>
            <w:r w:rsidRPr="00C71DF1">
              <w:rPr>
                <w:rFonts w:eastAsia="SimSun" w:cs="Times New Roman"/>
                <w:sz w:val="18"/>
                <w:szCs w:val="18"/>
                <w:lang w:bidi="ar"/>
              </w:rPr>
              <w:t>22.12</w:t>
            </w:r>
          </w:p>
        </w:tc>
      </w:tr>
    </w:tbl>
    <w:p w14:paraId="5D7BD035" w14:textId="77777777" w:rsidR="000C243C" w:rsidRPr="00C71DF1" w:rsidRDefault="000C243C">
      <w:pPr>
        <w:rPr>
          <w:rFonts w:cs="Times New Roman"/>
          <w:b/>
          <w:bCs/>
        </w:rPr>
      </w:pPr>
    </w:p>
    <w:p w14:paraId="71EF77DD" w14:textId="77777777" w:rsidR="000C243C" w:rsidRPr="00C71DF1" w:rsidRDefault="00697DFB">
      <w:r w:rsidRPr="00C71DF1">
        <w:rPr>
          <w:rFonts w:eastAsia="SimSun" w:cs="Times New Roman" w:hint="eastAsia"/>
          <w:b/>
          <w:bCs/>
          <w:lang w:bidi="ar"/>
        </w:rPr>
        <w:t xml:space="preserve">Supplementary </w:t>
      </w:r>
      <w:r w:rsidRPr="00C71DF1">
        <w:rPr>
          <w:rFonts w:eastAsia="SimSun" w:cs="Times New Roman" w:hint="eastAsia"/>
          <w:b/>
          <w:bCs/>
          <w:lang w:eastAsia="zh-CN" w:bidi="ar"/>
        </w:rPr>
        <w:t>Table</w:t>
      </w:r>
      <w:r w:rsidRPr="00C71DF1">
        <w:rPr>
          <w:rFonts w:eastAsia="SimSun" w:cs="Times New Roman" w:hint="eastAsia"/>
          <w:b/>
          <w:bCs/>
          <w:lang w:bidi="ar"/>
        </w:rPr>
        <w:t xml:space="preserve"> </w:t>
      </w:r>
      <w:r w:rsidRPr="00C71DF1">
        <w:rPr>
          <w:rFonts w:eastAsia="SimSun" w:cs="Times New Roman" w:hint="eastAsia"/>
          <w:b/>
          <w:bCs/>
          <w:lang w:eastAsia="zh-CN" w:bidi="ar"/>
        </w:rPr>
        <w:t>2</w:t>
      </w:r>
      <w:r w:rsidRPr="00C71DF1">
        <w:rPr>
          <w:rFonts w:cs="Times New Roman" w:hint="eastAsia"/>
          <w:b/>
          <w:bCs/>
        </w:rPr>
        <w:t xml:space="preserve">. Pyrosequencing characteristic and </w:t>
      </w:r>
      <w:r w:rsidRPr="00C71DF1">
        <w:rPr>
          <w:rFonts w:cs="Times New Roman"/>
          <w:b/>
          <w:bCs/>
        </w:rPr>
        <w:t>α</w:t>
      </w:r>
      <w:r w:rsidRPr="00C71DF1">
        <w:rPr>
          <w:rFonts w:cs="Times New Roman" w:hint="eastAsia"/>
          <w:b/>
          <w:bCs/>
        </w:rPr>
        <w:t xml:space="preserve"> Diversity. </w:t>
      </w:r>
      <w:r w:rsidRPr="00C71DF1">
        <w:rPr>
          <w:rFonts w:cs="Times New Roman" w:hint="eastAsia"/>
          <w:lang w:bidi="ar"/>
        </w:rPr>
        <w:t>B-THW, before the treatment of THW plus a placebo; B-THW-P, before the treatment of THW plus the probiotic combination; A-THW, after treatment with THW plus a placebo; A-THW-P, after treatment with THW plus the probiotic.</w:t>
      </w:r>
    </w:p>
    <w:sectPr w:rsidR="000C243C" w:rsidRPr="00C71DF1" w:rsidSect="00C71DF1">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5B30" w14:textId="77777777" w:rsidR="008D5427" w:rsidRDefault="008D5427">
      <w:pPr>
        <w:spacing w:before="0" w:after="0"/>
      </w:pPr>
      <w:r>
        <w:separator/>
      </w:r>
    </w:p>
  </w:endnote>
  <w:endnote w:type="continuationSeparator" w:id="0">
    <w:p w14:paraId="511493BC" w14:textId="77777777" w:rsidR="008D5427" w:rsidRDefault="008D54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NeueLTStd-Bd">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99A3" w14:textId="77777777" w:rsidR="000C243C" w:rsidRDefault="00697DFB">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605EE2F0" wp14:editId="33350182">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AAD42FC" w14:textId="77777777" w:rsidR="000C243C" w:rsidRDefault="00697DFB">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E945" w14:textId="77777777" w:rsidR="000C243C" w:rsidRDefault="00697DFB">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1387966C" wp14:editId="53A2579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F8B166A" w14:textId="77777777" w:rsidR="000C243C" w:rsidRDefault="00697DFB">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D685" w14:textId="77777777" w:rsidR="008D5427" w:rsidRDefault="008D5427">
      <w:pPr>
        <w:spacing w:before="0" w:after="0"/>
      </w:pPr>
      <w:r>
        <w:separator/>
      </w:r>
    </w:p>
  </w:footnote>
  <w:footnote w:type="continuationSeparator" w:id="0">
    <w:p w14:paraId="11C0FDB0" w14:textId="77777777" w:rsidR="008D5427" w:rsidRDefault="008D54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E616" w14:textId="77777777" w:rsidR="000C243C" w:rsidRDefault="00697DFB">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9681" w14:textId="77777777" w:rsidR="000C243C" w:rsidRDefault="00697DFB">
    <w:r>
      <w:rPr>
        <w:b/>
        <w:noProof/>
        <w:color w:val="A6A6A6" w:themeColor="background1" w:themeShade="A6"/>
        <w:lang w:val="en-GB" w:eastAsia="en-GB"/>
      </w:rPr>
      <w:drawing>
        <wp:inline distT="0" distB="0" distL="0" distR="0" wp14:anchorId="16064792" wp14:editId="09F4631D">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sDA1NzQ3MjUF0ko6SsGpxcWZ+XkgBUa1AGTZJRUsAAAA"/>
  </w:docVars>
  <w:rsids>
    <w:rsidRoot w:val="00ED20B5"/>
    <w:rsid w:val="0001436A"/>
    <w:rsid w:val="00034304"/>
    <w:rsid w:val="00035434"/>
    <w:rsid w:val="00052A14"/>
    <w:rsid w:val="00077D53"/>
    <w:rsid w:val="000C243C"/>
    <w:rsid w:val="00105FD9"/>
    <w:rsid w:val="00117666"/>
    <w:rsid w:val="001549D3"/>
    <w:rsid w:val="00160065"/>
    <w:rsid w:val="00177D84"/>
    <w:rsid w:val="0024610E"/>
    <w:rsid w:val="00267D18"/>
    <w:rsid w:val="00274347"/>
    <w:rsid w:val="002868E2"/>
    <w:rsid w:val="002869C3"/>
    <w:rsid w:val="002936E4"/>
    <w:rsid w:val="002B4A57"/>
    <w:rsid w:val="002C74CA"/>
    <w:rsid w:val="003123F4"/>
    <w:rsid w:val="00324068"/>
    <w:rsid w:val="003544FB"/>
    <w:rsid w:val="003D2F2D"/>
    <w:rsid w:val="00401590"/>
    <w:rsid w:val="00447801"/>
    <w:rsid w:val="00452E9C"/>
    <w:rsid w:val="004735C8"/>
    <w:rsid w:val="004947A6"/>
    <w:rsid w:val="004961FF"/>
    <w:rsid w:val="004D7F7C"/>
    <w:rsid w:val="00517A89"/>
    <w:rsid w:val="005250F2"/>
    <w:rsid w:val="00593EEA"/>
    <w:rsid w:val="005A5EEE"/>
    <w:rsid w:val="006375C7"/>
    <w:rsid w:val="00654E8F"/>
    <w:rsid w:val="00660D05"/>
    <w:rsid w:val="006820B1"/>
    <w:rsid w:val="00697DFB"/>
    <w:rsid w:val="006B7D14"/>
    <w:rsid w:val="00701727"/>
    <w:rsid w:val="0070566C"/>
    <w:rsid w:val="00714C50"/>
    <w:rsid w:val="00725A7D"/>
    <w:rsid w:val="007501BE"/>
    <w:rsid w:val="00790BB3"/>
    <w:rsid w:val="007C206C"/>
    <w:rsid w:val="00817DD6"/>
    <w:rsid w:val="0083759F"/>
    <w:rsid w:val="00885156"/>
    <w:rsid w:val="008D5427"/>
    <w:rsid w:val="009151AA"/>
    <w:rsid w:val="0093429D"/>
    <w:rsid w:val="00943573"/>
    <w:rsid w:val="0095172B"/>
    <w:rsid w:val="00964134"/>
    <w:rsid w:val="00970F7D"/>
    <w:rsid w:val="00994A3D"/>
    <w:rsid w:val="009C2B12"/>
    <w:rsid w:val="00A174D9"/>
    <w:rsid w:val="00AA4D24"/>
    <w:rsid w:val="00AB6715"/>
    <w:rsid w:val="00B1671E"/>
    <w:rsid w:val="00B25EB8"/>
    <w:rsid w:val="00B37F4D"/>
    <w:rsid w:val="00B46330"/>
    <w:rsid w:val="00C52A7B"/>
    <w:rsid w:val="00C56BAF"/>
    <w:rsid w:val="00C679AA"/>
    <w:rsid w:val="00C71DF1"/>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DF528B3"/>
    <w:rsid w:val="1478640D"/>
    <w:rsid w:val="279D732C"/>
    <w:rsid w:val="2A450282"/>
    <w:rsid w:val="2E7A31B1"/>
    <w:rsid w:val="2F2A106C"/>
    <w:rsid w:val="341E2F53"/>
    <w:rsid w:val="4CAA5215"/>
    <w:rsid w:val="51612E8A"/>
    <w:rsid w:val="526C685D"/>
    <w:rsid w:val="706A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0311"/>
  <w15:docId w15:val="{8059C193-DDC1-407B-B6CC-13C0B9D3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40"/>
    </w:pPr>
    <w:rPr>
      <w:rFonts w:ascii="Times New Roman" w:eastAsiaTheme="minorHAnsi" w:hAnsi="Times New Roman"/>
      <w:sz w:val="24"/>
      <w:szCs w:val="22"/>
      <w:lang w:eastAsia="en-US"/>
    </w:rPr>
  </w:style>
  <w:style w:type="paragraph" w:styleId="Heading1">
    <w:name w:val="heading 1"/>
    <w:basedOn w:val="ListParagraph"/>
    <w:next w:val="Normal"/>
    <w:link w:val="Heading1Char"/>
    <w:uiPriority w:val="2"/>
    <w:qFormat/>
    <w:pPr>
      <w:numPr>
        <w:numId w:val="1"/>
      </w:numPr>
      <w:spacing w:before="240"/>
      <w:contextualSpacing w:val="0"/>
      <w:outlineLvl w:val="0"/>
    </w:pPr>
    <w:rPr>
      <w:b/>
    </w:rPr>
  </w:style>
  <w:style w:type="paragraph" w:styleId="Heading2">
    <w:name w:val="heading 2"/>
    <w:basedOn w:val="Heading1"/>
    <w:next w:val="Normal"/>
    <w:link w:val="Heading2Char"/>
    <w:uiPriority w:val="2"/>
    <w:qFormat/>
    <w:pPr>
      <w:numPr>
        <w:ilvl w:val="1"/>
      </w:numPr>
      <w:spacing w:after="200"/>
      <w:outlineLvl w:val="1"/>
    </w:pPr>
  </w:style>
  <w:style w:type="paragraph" w:styleId="Heading3">
    <w:name w:val="heading 3"/>
    <w:basedOn w:val="Normal"/>
    <w:next w:val="Normal"/>
    <w:link w:val="Heading3Char"/>
    <w:uiPriority w:val="2"/>
    <w:qFormat/>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pPr>
      <w:numPr>
        <w:ilvl w:val="3"/>
      </w:numPr>
      <w:outlineLvl w:val="3"/>
    </w:pPr>
    <w:rPr>
      <w:iCs/>
    </w:rPr>
  </w:style>
  <w:style w:type="paragraph" w:styleId="Heading5">
    <w:name w:val="heading 5"/>
    <w:basedOn w:val="Heading4"/>
    <w:next w:val="Normal"/>
    <w:link w:val="Heading5Char"/>
    <w:uiPriority w:val="2"/>
    <w:qFormat/>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pPr>
      <w:numPr>
        <w:numId w:val="2"/>
      </w:numPr>
      <w:contextualSpacing/>
    </w:pPr>
    <w:rPr>
      <w:rFonts w:eastAsia="Cambria" w:cs="Times New Roman"/>
      <w:szCs w:val="24"/>
    </w:rPr>
  </w:style>
  <w:style w:type="paragraph" w:styleId="Caption">
    <w:name w:val="caption"/>
    <w:basedOn w:val="Normal"/>
    <w:next w:val="NoSpacing"/>
    <w:uiPriority w:val="35"/>
    <w:unhideWhenUsed/>
    <w:qFormat/>
    <w:pPr>
      <w:keepNext/>
    </w:pPr>
    <w:rPr>
      <w:rFonts w:cs="Times New Roman"/>
      <w:b/>
      <w:bCs/>
      <w:szCs w:val="24"/>
    </w:rPr>
  </w:style>
  <w:style w:type="paragraph" w:styleId="NoSpacing">
    <w:name w:val="No Spacing"/>
    <w:uiPriority w:val="99"/>
    <w:unhideWhenUsed/>
    <w:qFormat/>
    <w:rPr>
      <w:rFonts w:ascii="Times New Roman" w:eastAsiaTheme="minorHAnsi" w:hAnsi="Times New Roman"/>
      <w:sz w:val="24"/>
      <w:szCs w:val="22"/>
      <w:lang w:eastAsia="en-US"/>
    </w:rPr>
  </w:style>
  <w:style w:type="paragraph" w:styleId="CommentText">
    <w:name w:val="annotation text"/>
    <w:basedOn w:val="Normal"/>
    <w:link w:val="CommentTextChar"/>
    <w:uiPriority w:val="99"/>
    <w:semiHidden/>
    <w:unhideWhenUsed/>
    <w:qFormat/>
    <w:rPr>
      <w:sz w:val="20"/>
      <w:szCs w:val="20"/>
    </w:rPr>
  </w:style>
  <w:style w:type="paragraph" w:styleId="EndnoteText">
    <w:name w:val="endnote text"/>
    <w:basedOn w:val="Normal"/>
    <w:link w:val="EndnoteTextChar"/>
    <w:uiPriority w:val="99"/>
    <w:semiHidden/>
    <w:unhideWhenUsed/>
    <w:qFormat/>
    <w:pPr>
      <w:spacing w:after="0"/>
    </w:pPr>
    <w:rPr>
      <w:sz w:val="20"/>
      <w:szCs w:val="20"/>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844"/>
        <w:tab w:val="right" w:pos="9689"/>
      </w:tabs>
      <w:spacing w:after="0"/>
    </w:pPr>
  </w:style>
  <w:style w:type="paragraph" w:styleId="Header">
    <w:name w:val="header"/>
    <w:basedOn w:val="Normal"/>
    <w:link w:val="HeaderChar"/>
    <w:uiPriority w:val="99"/>
    <w:unhideWhenUsed/>
    <w:qFormat/>
    <w:pPr>
      <w:tabs>
        <w:tab w:val="center" w:pos="4844"/>
        <w:tab w:val="right" w:pos="9689"/>
      </w:tabs>
    </w:pPr>
    <w:rPr>
      <w:b/>
    </w:rPr>
  </w:style>
  <w:style w:type="paragraph" w:styleId="Subtitle">
    <w:name w:val="Subtitle"/>
    <w:basedOn w:val="Normal"/>
    <w:next w:val="Normal"/>
    <w:link w:val="SubtitleChar"/>
    <w:uiPriority w:val="99"/>
    <w:unhideWhenUsed/>
    <w:qFormat/>
    <w:pPr>
      <w:spacing w:before="240"/>
    </w:pPr>
    <w:rPr>
      <w:rFonts w:cs="Times New Roman"/>
      <w:b/>
      <w:szCs w:val="24"/>
    </w:rPr>
  </w:style>
  <w:style w:type="paragraph" w:styleId="FootnoteText">
    <w:name w:val="footnote text"/>
    <w:basedOn w:val="Normal"/>
    <w:link w:val="FootnoteTextChar"/>
    <w:uiPriority w:val="99"/>
    <w:semiHidden/>
    <w:unhideWhenUsed/>
    <w:pPr>
      <w:spacing w:after="0"/>
    </w:pPr>
    <w:rPr>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cs="Times New Roman"/>
      <w:szCs w:val="24"/>
    </w:rPr>
  </w:style>
  <w:style w:type="paragraph" w:styleId="Title">
    <w:name w:val="Title"/>
    <w:basedOn w:val="Normal"/>
    <w:next w:val="Normal"/>
    <w:link w:val="TitleChar"/>
    <w:qFormat/>
    <w:pPr>
      <w:suppressLineNumbers/>
      <w:spacing w:before="240" w:after="360"/>
      <w:jc w:val="center"/>
    </w:pPr>
    <w:rPr>
      <w:rFonts w:cs="Times New Roman"/>
      <w:b/>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Times New Roman" w:hAnsi="Times New Roman"/>
      <w:b/>
      <w:bCs/>
    </w:rPr>
  </w:style>
  <w:style w:type="character" w:styleId="EndnoteReference">
    <w:name w:val="end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rFonts w:ascii="Times New Roman" w:hAnsi="Times New Roman"/>
      <w:i/>
      <w:iCs/>
    </w:r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uiPriority w:val="2"/>
    <w:qFormat/>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qFormat/>
    <w:rPr>
      <w:rFonts w:ascii="Times New Roman" w:eastAsia="Cambria" w:hAnsi="Times New Roman" w:cs="Times New Roman"/>
      <w:b/>
      <w:sz w:val="24"/>
      <w:szCs w:val="24"/>
    </w:rPr>
  </w:style>
  <w:style w:type="character" w:customStyle="1" w:styleId="SubtitleChar">
    <w:name w:val="Subtitle Char"/>
    <w:basedOn w:val="DefaultParagraphFont"/>
    <w:link w:val="Subtitle"/>
    <w:uiPriority w:val="99"/>
    <w:rPr>
      <w:rFonts w:ascii="Times New Roman" w:hAnsi="Times New Roman" w:cs="Times New Roman"/>
      <w:b/>
      <w:sz w:val="24"/>
      <w:szCs w:val="24"/>
    </w:rPr>
  </w:style>
  <w:style w:type="paragraph" w:customStyle="1" w:styleId="AuthorList">
    <w:name w:val="Author List"/>
    <w:basedOn w:val="Subtitle"/>
    <w:next w:val="Normal"/>
    <w:uiPriority w:val="1"/>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1">
    <w:name w:val="书籍标题1"/>
    <w:basedOn w:val="DefaultParagraphFont"/>
    <w:uiPriority w:val="33"/>
    <w:qFormat/>
    <w:rPr>
      <w:rFonts w:ascii="Times New Roman" w:hAnsi="Times New Roman"/>
      <w:b/>
      <w:bCs/>
      <w:i/>
      <w:iCs/>
      <w:spacing w:val="5"/>
    </w:rPr>
  </w:style>
  <w:style w:type="character" w:customStyle="1" w:styleId="CommentTextChar">
    <w:name w:val="Comment Text Char"/>
    <w:basedOn w:val="DefaultParagraphFont"/>
    <w:link w:val="CommentText"/>
    <w:uiPriority w:val="99"/>
    <w:semiHidden/>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EndnoteTextChar">
    <w:name w:val="Endnote Text Char"/>
    <w:basedOn w:val="DefaultParagraphFont"/>
    <w:link w:val="EndnoteText"/>
    <w:uiPriority w:val="99"/>
    <w:semiHidden/>
    <w:qFormat/>
    <w:rPr>
      <w:rFonts w:ascii="Times New Roman" w:hAnsi="Times New Roman"/>
      <w:sz w:val="20"/>
      <w:szCs w:val="20"/>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customStyle="1" w:styleId="HeaderChar">
    <w:name w:val="Header Char"/>
    <w:basedOn w:val="DefaultParagraphFont"/>
    <w:link w:val="Header"/>
    <w:uiPriority w:val="99"/>
    <w:qFormat/>
    <w:rPr>
      <w:rFonts w:ascii="Times New Roman" w:hAnsi="Times New Roman"/>
      <w:b/>
      <w:sz w:val="24"/>
    </w:rPr>
  </w:style>
  <w:style w:type="character" w:customStyle="1" w:styleId="10">
    <w:name w:val="明显强调1"/>
    <w:basedOn w:val="DefaultParagraphFont"/>
    <w:uiPriority w:val="21"/>
    <w:unhideWhenUsed/>
    <w:qFormat/>
    <w:rPr>
      <w:rFonts w:ascii="Times New Roman" w:hAnsi="Times New Roman"/>
      <w:i/>
      <w:iCs/>
      <w:color w:val="auto"/>
    </w:rPr>
  </w:style>
  <w:style w:type="character" w:customStyle="1" w:styleId="11">
    <w:name w:val="明显参考1"/>
    <w:basedOn w:val="DefaultParagraphFont"/>
    <w:uiPriority w:val="32"/>
    <w:qFormat/>
    <w:rPr>
      <w:b/>
      <w:bCs/>
      <w:smallCaps/>
      <w:color w:val="auto"/>
      <w:spacing w:val="5"/>
    </w:rPr>
  </w:style>
  <w:style w:type="character" w:customStyle="1" w:styleId="Heading3Char">
    <w:name w:val="Heading 3 Char"/>
    <w:basedOn w:val="DefaultParagraphFont"/>
    <w:link w:val="Heading3"/>
    <w:uiPriority w:val="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qFormat/>
    <w:rPr>
      <w:rFonts w:ascii="Times New Roman" w:eastAsiaTheme="majorEastAsia" w:hAnsi="Times New Roman" w:cstheme="majorBidi"/>
      <w:b/>
      <w:iCs/>
      <w:sz w:val="24"/>
      <w:szCs w:val="24"/>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rPr>
  </w:style>
  <w:style w:type="character" w:customStyle="1" w:styleId="12">
    <w:name w:val="不明显强调1"/>
    <w:basedOn w:val="DefaultParagraphFont"/>
    <w:uiPriority w:val="19"/>
    <w:qFormat/>
    <w:rPr>
      <w:rFonts w:ascii="Times New Roman" w:hAnsi="Times New Roman"/>
      <w:i/>
      <w:iCs/>
      <w:color w:val="404040" w:themeColor="text1" w:themeTint="BF"/>
    </w:rPr>
  </w:style>
  <w:style w:type="character" w:customStyle="1" w:styleId="TitleChar">
    <w:name w:val="Title Char"/>
    <w:basedOn w:val="DefaultParagraphFont"/>
    <w:link w:val="Title"/>
    <w:rPr>
      <w:rFonts w:ascii="Times New Roman" w:hAnsi="Times New Roman" w:cs="Times New Roman"/>
      <w:b/>
      <w:sz w:val="32"/>
      <w:szCs w:val="32"/>
    </w:rPr>
  </w:style>
  <w:style w:type="paragraph" w:customStyle="1" w:styleId="SupplementaryMaterial">
    <w:name w:val="Supplementary Material"/>
    <w:basedOn w:val="Title"/>
    <w:next w:val="Title"/>
    <w:qFormat/>
    <w:pPr>
      <w:spacing w:after="120"/>
    </w:pPr>
    <w:rPr>
      <w:i/>
    </w:rPr>
  </w:style>
  <w:style w:type="paragraph" w:customStyle="1" w:styleId="Title2">
    <w:name w:val="Title2"/>
    <w:basedOn w:val="Normal"/>
    <w:qFormat/>
    <w:pPr>
      <w:spacing w:after="0"/>
    </w:pPr>
    <w:rPr>
      <w:rFonts w:eastAsia="MS Mincho" w:cs="Times New Roman"/>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Michael Cunningham</cp:lastModifiedBy>
  <cp:revision>6</cp:revision>
  <cp:lastPrinted>2013-10-03T12:51:00Z</cp:lastPrinted>
  <dcterms:created xsi:type="dcterms:W3CDTF">2018-11-23T08:58:00Z</dcterms:created>
  <dcterms:modified xsi:type="dcterms:W3CDTF">2022-02-09T05:10:00Z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3734A58782284545928D375765491AE8</vt:lpwstr>
  </property>
</Properties>
</file>