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75E23C4B" w:rsidR="00994A3D" w:rsidRPr="00994A3D" w:rsidRDefault="00654E8F" w:rsidP="0001436A">
      <w:pPr>
        <w:pStyle w:val="Heading1"/>
      </w:pPr>
      <w:r w:rsidRPr="00994A3D">
        <w:t>Supplementary Tables</w:t>
      </w:r>
    </w:p>
    <w:p w14:paraId="471C61F7" w14:textId="26E72CDB" w:rsidR="00D207C4" w:rsidRDefault="00D207C4" w:rsidP="002B4A57">
      <w:pPr>
        <w:rPr>
          <w:b/>
          <w:bCs/>
        </w:rPr>
      </w:pPr>
      <w:r w:rsidRPr="00D207C4">
        <w:rPr>
          <w:b/>
          <w:bCs/>
        </w:rPr>
        <w:t>Appendix A: Search Strategy</w:t>
      </w:r>
    </w:p>
    <w:tbl>
      <w:tblPr>
        <w:tblStyle w:val="TableGrid1"/>
        <w:tblW w:w="9776" w:type="dxa"/>
        <w:jc w:val="center"/>
        <w:tblInd w:w="0" w:type="dxa"/>
        <w:tblLook w:val="04A0" w:firstRow="1" w:lastRow="0" w:firstColumn="1" w:lastColumn="0" w:noHBand="0" w:noVBand="1"/>
      </w:tblPr>
      <w:tblGrid>
        <w:gridCol w:w="1443"/>
        <w:gridCol w:w="6769"/>
        <w:gridCol w:w="1564"/>
      </w:tblGrid>
      <w:tr w:rsidR="00D207C4" w:rsidRPr="00D207C4" w14:paraId="659BE2CD" w14:textId="77777777" w:rsidTr="00C739AB">
        <w:trPr>
          <w:jc w:val="center"/>
        </w:trPr>
        <w:tc>
          <w:tcPr>
            <w:tcW w:w="1390" w:type="dxa"/>
            <w:tcBorders>
              <w:top w:val="single" w:sz="4" w:space="0" w:color="auto"/>
              <w:left w:val="single" w:sz="4" w:space="0" w:color="auto"/>
              <w:bottom w:val="single" w:sz="4" w:space="0" w:color="auto"/>
              <w:right w:val="single" w:sz="4" w:space="0" w:color="auto"/>
            </w:tcBorders>
            <w:hideMark/>
          </w:tcPr>
          <w:p w14:paraId="2B1470C7"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Database</w:t>
            </w:r>
          </w:p>
        </w:tc>
        <w:tc>
          <w:tcPr>
            <w:tcW w:w="6815" w:type="dxa"/>
            <w:tcBorders>
              <w:top w:val="single" w:sz="4" w:space="0" w:color="auto"/>
              <w:left w:val="single" w:sz="4" w:space="0" w:color="auto"/>
              <w:bottom w:val="single" w:sz="4" w:space="0" w:color="auto"/>
              <w:right w:val="single" w:sz="4" w:space="0" w:color="auto"/>
            </w:tcBorders>
            <w:hideMark/>
          </w:tcPr>
          <w:p w14:paraId="4A375CA8"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Search Term</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8EA751E"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 xml:space="preserve"># </w:t>
            </w:r>
            <w:proofErr w:type="gramStart"/>
            <w:r w:rsidRPr="00D207C4">
              <w:rPr>
                <w:rFonts w:ascii="Arial" w:eastAsia="Times New Roman" w:hAnsi="Arial" w:cs="Arial"/>
                <w:lang w:eastAsia="en-CA"/>
              </w:rPr>
              <w:t>of</w:t>
            </w:r>
            <w:proofErr w:type="gramEnd"/>
            <w:r w:rsidRPr="00D207C4">
              <w:rPr>
                <w:rFonts w:ascii="Arial" w:eastAsia="Times New Roman" w:hAnsi="Arial" w:cs="Arial"/>
                <w:lang w:eastAsia="en-CA"/>
              </w:rPr>
              <w:t xml:space="preserve"> results</w:t>
            </w:r>
          </w:p>
        </w:tc>
      </w:tr>
      <w:tr w:rsidR="00D207C4" w:rsidRPr="00D207C4" w14:paraId="1659D49B" w14:textId="77777777" w:rsidTr="00C739AB">
        <w:trPr>
          <w:jc w:val="center"/>
        </w:trPr>
        <w:tc>
          <w:tcPr>
            <w:tcW w:w="1390" w:type="dxa"/>
            <w:tcBorders>
              <w:top w:val="single" w:sz="4" w:space="0" w:color="auto"/>
              <w:left w:val="single" w:sz="4" w:space="0" w:color="auto"/>
              <w:bottom w:val="single" w:sz="4" w:space="0" w:color="auto"/>
              <w:right w:val="single" w:sz="4" w:space="0" w:color="auto"/>
            </w:tcBorders>
            <w:hideMark/>
          </w:tcPr>
          <w:p w14:paraId="2858C9AF" w14:textId="77777777" w:rsidR="00D207C4" w:rsidRPr="00D207C4" w:rsidRDefault="00D207C4" w:rsidP="00D207C4">
            <w:pPr>
              <w:spacing w:before="0" w:after="0"/>
              <w:rPr>
                <w:rFonts w:ascii="Arial" w:eastAsia="Times New Roman" w:hAnsi="Arial" w:cs="Arial"/>
                <w:lang w:eastAsia="en-CA"/>
              </w:rPr>
            </w:pPr>
            <w:proofErr w:type="spellStart"/>
            <w:r w:rsidRPr="00D207C4">
              <w:rPr>
                <w:rFonts w:ascii="Arial" w:eastAsia="Times New Roman" w:hAnsi="Arial" w:cs="Arial"/>
                <w:lang w:eastAsia="en-CA"/>
              </w:rPr>
              <w:t>Pubmed</w:t>
            </w:r>
            <w:proofErr w:type="spellEnd"/>
          </w:p>
        </w:tc>
        <w:tc>
          <w:tcPr>
            <w:tcW w:w="6815" w:type="dxa"/>
            <w:tcBorders>
              <w:top w:val="single" w:sz="4" w:space="0" w:color="auto"/>
              <w:left w:val="single" w:sz="4" w:space="0" w:color="auto"/>
              <w:bottom w:val="single" w:sz="4" w:space="0" w:color="auto"/>
              <w:right w:val="single" w:sz="4" w:space="0" w:color="auto"/>
            </w:tcBorders>
            <w:hideMark/>
          </w:tcPr>
          <w:p w14:paraId="713E1809" w14:textId="77777777" w:rsidR="00D207C4" w:rsidRPr="00D207C4" w:rsidRDefault="00D207C4" w:rsidP="00D207C4">
            <w:pPr>
              <w:spacing w:before="0" w:after="0"/>
              <w:rPr>
                <w:rFonts w:ascii="Arial" w:eastAsia="Times New Roman" w:hAnsi="Arial" w:cs="Arial"/>
                <w:color w:val="000000"/>
                <w:shd w:val="clear" w:color="auto" w:fill="FFFFFF"/>
                <w:lang w:eastAsia="en-CA"/>
              </w:rPr>
            </w:pPr>
            <w:r w:rsidRPr="00D207C4">
              <w:rPr>
                <w:rFonts w:ascii="Arial" w:eastAsia="Times New Roman" w:hAnsi="Arial" w:cs="Arial"/>
                <w:color w:val="000000"/>
                <w:shd w:val="clear" w:color="auto" w:fill="FFFFFF"/>
                <w:lang w:eastAsia="en-CA"/>
              </w:rPr>
              <w:t>(syncope OR presyncope OR faint* OR "vasovagal syncope" OR POTS OR "postural orthostatic tachycardia syndrome" OR "orthostatic hypotension" OR "autonomic failure" OR "carotid sinus hypersensitivity") OR "orthostatic intolerance" OR "loss of consciousness" OR "drop attack" OR syncope[</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presyncope[</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fainting[</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syncope, vasovagal[</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postural orthostatic tachycardia syndrome[</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pure autonomic failure[</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orthostatic intolerance[</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orthostatic hypotension[</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loss of consciousness[</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drop attack[</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w:t>
            </w:r>
          </w:p>
          <w:p w14:paraId="762D0CD3"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color w:val="000000"/>
                <w:shd w:val="clear" w:color="auto" w:fill="FFFFFF"/>
                <w:lang w:eastAsia="en-CA"/>
              </w:rPr>
              <w:t>AND ("quality of life" OR "</w:t>
            </w:r>
            <w:proofErr w:type="spellStart"/>
            <w:r w:rsidRPr="00D207C4">
              <w:rPr>
                <w:rFonts w:ascii="Arial" w:eastAsia="Times New Roman" w:hAnsi="Arial" w:cs="Arial"/>
                <w:color w:val="000000"/>
                <w:shd w:val="clear" w:color="auto" w:fill="FFFFFF"/>
                <w:lang w:eastAsia="en-CA"/>
              </w:rPr>
              <w:t>QoL"OR</w:t>
            </w:r>
            <w:proofErr w:type="spellEnd"/>
            <w:r w:rsidRPr="00D207C4">
              <w:rPr>
                <w:rFonts w:ascii="Arial" w:eastAsia="Times New Roman" w:hAnsi="Arial" w:cs="Arial"/>
                <w:color w:val="000000"/>
                <w:shd w:val="clear" w:color="auto" w:fill="FFFFFF"/>
                <w:lang w:eastAsia="en-CA"/>
              </w:rPr>
              <w:t xml:space="preserve"> "</w:t>
            </w:r>
            <w:proofErr w:type="spellStart"/>
            <w:r w:rsidRPr="00D207C4">
              <w:rPr>
                <w:rFonts w:ascii="Arial" w:eastAsia="Times New Roman" w:hAnsi="Arial" w:cs="Arial"/>
                <w:color w:val="000000"/>
                <w:shd w:val="clear" w:color="auto" w:fill="FFFFFF"/>
                <w:lang w:eastAsia="en-CA"/>
              </w:rPr>
              <w:t>HRQoL</w:t>
            </w:r>
            <w:proofErr w:type="spellEnd"/>
            <w:r w:rsidRPr="00D207C4">
              <w:rPr>
                <w:rFonts w:ascii="Arial" w:eastAsia="Times New Roman" w:hAnsi="Arial" w:cs="Arial"/>
                <w:color w:val="000000"/>
                <w:shd w:val="clear" w:color="auto" w:fill="FFFFFF"/>
                <w:lang w:eastAsia="en-CA"/>
              </w:rPr>
              <w:t xml:space="preserve">" OR "participation" OR "morbidity" OR "activities of daily living" OR "social participation" OR "community participation" OR SF-36 OR "life satisfaction" OR "mental health" OR "wellbeing" OR </w:t>
            </w:r>
            <w:proofErr w:type="spellStart"/>
            <w:r w:rsidRPr="00D207C4">
              <w:rPr>
                <w:rFonts w:ascii="Arial" w:eastAsia="Times New Roman" w:hAnsi="Arial" w:cs="Arial"/>
                <w:color w:val="000000"/>
                <w:shd w:val="clear" w:color="auto" w:fill="FFFFFF"/>
                <w:lang w:eastAsia="en-CA"/>
              </w:rPr>
              <w:t>PedsQL</w:t>
            </w:r>
            <w:proofErr w:type="spellEnd"/>
            <w:r w:rsidRPr="00D207C4">
              <w:rPr>
                <w:rFonts w:ascii="Arial" w:eastAsia="Times New Roman" w:hAnsi="Arial" w:cs="Arial"/>
                <w:color w:val="000000"/>
                <w:shd w:val="clear" w:color="auto" w:fill="FFFFFF"/>
                <w:lang w:eastAsia="en-CA"/>
              </w:rPr>
              <w:t xml:space="preserve"> OR quality of </w:t>
            </w:r>
            <w:proofErr w:type="gramStart"/>
            <w:r w:rsidRPr="00D207C4">
              <w:rPr>
                <w:rFonts w:ascii="Arial" w:eastAsia="Times New Roman" w:hAnsi="Arial" w:cs="Arial"/>
                <w:color w:val="000000"/>
                <w:shd w:val="clear" w:color="auto" w:fill="FFFFFF"/>
                <w:lang w:eastAsia="en-CA"/>
              </w:rPr>
              <w:t>life[</w:t>
            </w:r>
            <w:proofErr w:type="spellStart"/>
            <w:proofErr w:type="gramEnd"/>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community participation[</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social participation[</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morbidity[</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activities of daily living[</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 OR mental health[</w:t>
            </w:r>
            <w:proofErr w:type="spellStart"/>
            <w:r w:rsidRPr="00D207C4">
              <w:rPr>
                <w:rFonts w:ascii="Arial" w:eastAsia="Times New Roman" w:hAnsi="Arial" w:cs="Arial"/>
                <w:color w:val="000000"/>
                <w:shd w:val="clear" w:color="auto" w:fill="FFFFFF"/>
                <w:lang w:eastAsia="en-CA"/>
              </w:rPr>
              <w:t>MeSH</w:t>
            </w:r>
            <w:proofErr w:type="spellEnd"/>
            <w:r w:rsidRPr="00D207C4">
              <w:rPr>
                <w:rFonts w:ascii="Arial" w:eastAsia="Times New Roman" w:hAnsi="Arial" w:cs="Arial"/>
                <w:color w:val="000000"/>
                <w:shd w:val="clear" w:color="auto" w:fill="FFFFFF"/>
                <w:lang w:eastAsia="en-CA"/>
              </w:rPr>
              <w:t xml:space="preserve"> Terms])</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951E8B9"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4,756</w:t>
            </w:r>
          </w:p>
        </w:tc>
      </w:tr>
      <w:tr w:rsidR="00D207C4" w:rsidRPr="00D207C4" w14:paraId="2736153D" w14:textId="77777777" w:rsidTr="00C739AB">
        <w:trPr>
          <w:jc w:val="center"/>
        </w:trPr>
        <w:tc>
          <w:tcPr>
            <w:tcW w:w="1390" w:type="dxa"/>
            <w:tcBorders>
              <w:top w:val="single" w:sz="4" w:space="0" w:color="auto"/>
              <w:left w:val="single" w:sz="4" w:space="0" w:color="auto"/>
              <w:bottom w:val="single" w:sz="4" w:space="0" w:color="auto"/>
              <w:right w:val="single" w:sz="4" w:space="0" w:color="auto"/>
            </w:tcBorders>
            <w:hideMark/>
          </w:tcPr>
          <w:p w14:paraId="0F3DF828"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Web of Science</w:t>
            </w:r>
          </w:p>
        </w:tc>
        <w:tc>
          <w:tcPr>
            <w:tcW w:w="6815" w:type="dxa"/>
            <w:tcBorders>
              <w:top w:val="single" w:sz="4" w:space="0" w:color="auto"/>
              <w:left w:val="single" w:sz="4" w:space="0" w:color="auto"/>
              <w:bottom w:val="single" w:sz="4" w:space="0" w:color="auto"/>
              <w:right w:val="single" w:sz="4" w:space="0" w:color="auto"/>
            </w:tcBorders>
            <w:hideMark/>
          </w:tcPr>
          <w:p w14:paraId="5765D2B3" w14:textId="77777777" w:rsidR="00D207C4" w:rsidRPr="00D207C4" w:rsidRDefault="00D207C4" w:rsidP="00D207C4">
            <w:pPr>
              <w:spacing w:before="0" w:after="0"/>
              <w:rPr>
                <w:rFonts w:ascii="Arial" w:eastAsia="Times New Roman" w:hAnsi="Arial" w:cs="Arial"/>
                <w:color w:val="000000"/>
                <w:shd w:val="clear" w:color="auto" w:fill="FFFFFF"/>
                <w:lang w:eastAsia="en-CA"/>
              </w:rPr>
            </w:pPr>
            <w:r w:rsidRPr="00D207C4">
              <w:rPr>
                <w:rFonts w:ascii="Arial" w:eastAsia="Times New Roman" w:hAnsi="Arial" w:cs="Arial"/>
                <w:color w:val="000000"/>
                <w:shd w:val="clear" w:color="auto" w:fill="FFFFFF"/>
                <w:lang w:eastAsia="en-CA"/>
              </w:rPr>
              <w:t>(</w:t>
            </w:r>
            <w:proofErr w:type="gramStart"/>
            <w:r w:rsidRPr="00D207C4">
              <w:rPr>
                <w:rFonts w:ascii="Arial" w:eastAsia="Times New Roman" w:hAnsi="Arial" w:cs="Arial"/>
                <w:color w:val="000000"/>
                <w:shd w:val="clear" w:color="auto" w:fill="FFFFFF"/>
                <w:lang w:eastAsia="en-CA"/>
              </w:rPr>
              <w:t>syncope</w:t>
            </w:r>
            <w:proofErr w:type="gramEnd"/>
            <w:r w:rsidRPr="00D207C4">
              <w:rPr>
                <w:rFonts w:ascii="Arial" w:eastAsia="Times New Roman" w:hAnsi="Arial" w:cs="Arial"/>
                <w:color w:val="000000"/>
                <w:shd w:val="clear" w:color="auto" w:fill="FFFFFF"/>
                <w:lang w:eastAsia="en-CA"/>
              </w:rPr>
              <w:t xml:space="preserve"> OR presyncope OR faint* OR "vasovagal syncope" OR POTS OR "postural orthostatic tachycardia syndrome" OR "orthostatic hypotension" OR "autonomic failure" OR "carotid sinus hypersensitivity" OR "orthostatic intolerance" OR "loss of consciousness" OR "drop attack")</w:t>
            </w:r>
          </w:p>
          <w:p w14:paraId="7850F165"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 xml:space="preserve">AND </w:t>
            </w:r>
            <w:r w:rsidRPr="00D207C4">
              <w:rPr>
                <w:rFonts w:ascii="Arial" w:eastAsia="Times New Roman" w:hAnsi="Arial" w:cs="Arial"/>
                <w:color w:val="000000"/>
                <w:shd w:val="clear" w:color="auto" w:fill="FFFFFF"/>
                <w:lang w:eastAsia="en-CA"/>
              </w:rPr>
              <w:t>("quality of life" OR "QoL" OR "</w:t>
            </w:r>
            <w:proofErr w:type="spellStart"/>
            <w:r w:rsidRPr="00D207C4">
              <w:rPr>
                <w:rFonts w:ascii="Arial" w:eastAsia="Times New Roman" w:hAnsi="Arial" w:cs="Arial"/>
                <w:color w:val="000000"/>
                <w:shd w:val="clear" w:color="auto" w:fill="FFFFFF"/>
                <w:lang w:eastAsia="en-CA"/>
              </w:rPr>
              <w:t>HRQoL</w:t>
            </w:r>
            <w:proofErr w:type="spellEnd"/>
            <w:r w:rsidRPr="00D207C4">
              <w:rPr>
                <w:rFonts w:ascii="Arial" w:eastAsia="Times New Roman" w:hAnsi="Arial" w:cs="Arial"/>
                <w:color w:val="000000"/>
                <w:shd w:val="clear" w:color="auto" w:fill="FFFFFF"/>
                <w:lang w:eastAsia="en-CA"/>
              </w:rPr>
              <w:t xml:space="preserve">" OR "participation" OR "morbidity" OR "activities of daily living" OR "social participation" OR "community participation" OR SF-36 OR "life satisfaction" OR "mental health" OR "wellbeing" OR </w:t>
            </w:r>
            <w:proofErr w:type="spellStart"/>
            <w:r w:rsidRPr="00D207C4">
              <w:rPr>
                <w:rFonts w:ascii="Arial" w:eastAsia="Times New Roman" w:hAnsi="Arial" w:cs="Arial"/>
                <w:color w:val="000000"/>
                <w:shd w:val="clear" w:color="auto" w:fill="FFFFFF"/>
                <w:lang w:eastAsia="en-CA"/>
              </w:rPr>
              <w:t>PedsQL</w:t>
            </w:r>
            <w:proofErr w:type="spellEnd"/>
            <w:r w:rsidRPr="00D207C4">
              <w:rPr>
                <w:rFonts w:ascii="Arial" w:eastAsia="Times New Roman" w:hAnsi="Arial" w:cs="Arial"/>
                <w:color w:val="000000"/>
                <w:shd w:val="clear" w:color="auto" w:fill="FFFFFF"/>
                <w:lang w:eastAsia="en-CA"/>
              </w:rPr>
              <w:t>)</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4499DC3"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2,465</w:t>
            </w:r>
          </w:p>
        </w:tc>
      </w:tr>
      <w:tr w:rsidR="00D207C4" w:rsidRPr="00D207C4" w14:paraId="4B5B9005" w14:textId="77777777" w:rsidTr="00C739AB">
        <w:trPr>
          <w:jc w:val="center"/>
        </w:trPr>
        <w:tc>
          <w:tcPr>
            <w:tcW w:w="1390" w:type="dxa"/>
            <w:tcBorders>
              <w:top w:val="single" w:sz="4" w:space="0" w:color="auto"/>
              <w:left w:val="single" w:sz="4" w:space="0" w:color="auto"/>
              <w:bottom w:val="single" w:sz="4" w:space="0" w:color="auto"/>
              <w:right w:val="single" w:sz="4" w:space="0" w:color="auto"/>
            </w:tcBorders>
            <w:hideMark/>
          </w:tcPr>
          <w:p w14:paraId="60D97F01"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CINAHL</w:t>
            </w:r>
          </w:p>
        </w:tc>
        <w:tc>
          <w:tcPr>
            <w:tcW w:w="6815" w:type="dxa"/>
            <w:tcBorders>
              <w:top w:val="single" w:sz="4" w:space="0" w:color="auto"/>
              <w:left w:val="single" w:sz="4" w:space="0" w:color="auto"/>
              <w:bottom w:val="single" w:sz="4" w:space="0" w:color="auto"/>
              <w:right w:val="single" w:sz="4" w:space="0" w:color="auto"/>
            </w:tcBorders>
            <w:hideMark/>
          </w:tcPr>
          <w:p w14:paraId="12EA2BE6" w14:textId="77777777" w:rsidR="00D207C4" w:rsidRPr="00D207C4" w:rsidRDefault="00D207C4" w:rsidP="00D207C4">
            <w:pPr>
              <w:spacing w:before="0" w:after="0"/>
              <w:rPr>
                <w:rFonts w:ascii="Arial" w:eastAsia="Times New Roman" w:hAnsi="Arial" w:cs="Arial"/>
                <w:i/>
                <w:iCs/>
                <w:lang w:eastAsia="en-CA"/>
              </w:rPr>
            </w:pPr>
            <w:r w:rsidRPr="00D207C4">
              <w:rPr>
                <w:rFonts w:ascii="Arial" w:eastAsia="Times New Roman" w:hAnsi="Arial" w:cs="Arial"/>
                <w:i/>
                <w:iCs/>
                <w:lang w:eastAsia="en-CA"/>
              </w:rPr>
              <w:t>Same as Web of Science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CA2C490"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713</w:t>
            </w:r>
          </w:p>
        </w:tc>
      </w:tr>
      <w:tr w:rsidR="00D207C4" w:rsidRPr="00D207C4" w14:paraId="40B5CA3E" w14:textId="77777777" w:rsidTr="00C739AB">
        <w:trPr>
          <w:jc w:val="center"/>
        </w:trPr>
        <w:tc>
          <w:tcPr>
            <w:tcW w:w="1390" w:type="dxa"/>
            <w:tcBorders>
              <w:top w:val="single" w:sz="4" w:space="0" w:color="auto"/>
              <w:left w:val="single" w:sz="4" w:space="0" w:color="auto"/>
              <w:bottom w:val="single" w:sz="4" w:space="0" w:color="auto"/>
              <w:right w:val="single" w:sz="4" w:space="0" w:color="auto"/>
            </w:tcBorders>
            <w:hideMark/>
          </w:tcPr>
          <w:p w14:paraId="12B0E324" w14:textId="77777777" w:rsidR="00D207C4" w:rsidRPr="00D207C4" w:rsidRDefault="00D207C4" w:rsidP="00D207C4">
            <w:pPr>
              <w:spacing w:before="0" w:after="0"/>
              <w:rPr>
                <w:rFonts w:ascii="Arial" w:eastAsia="Times New Roman" w:hAnsi="Arial" w:cs="Arial"/>
                <w:lang w:eastAsia="en-CA"/>
              </w:rPr>
            </w:pPr>
            <w:proofErr w:type="spellStart"/>
            <w:r w:rsidRPr="00D207C4">
              <w:rPr>
                <w:rFonts w:ascii="Arial" w:eastAsia="Times New Roman" w:hAnsi="Arial" w:cs="Arial"/>
                <w:lang w:eastAsia="en-CA"/>
              </w:rPr>
              <w:t>PsychINFO</w:t>
            </w:r>
            <w:proofErr w:type="spellEnd"/>
          </w:p>
        </w:tc>
        <w:tc>
          <w:tcPr>
            <w:tcW w:w="6815" w:type="dxa"/>
            <w:tcBorders>
              <w:top w:val="single" w:sz="4" w:space="0" w:color="auto"/>
              <w:left w:val="single" w:sz="4" w:space="0" w:color="auto"/>
              <w:bottom w:val="single" w:sz="4" w:space="0" w:color="auto"/>
              <w:right w:val="single" w:sz="4" w:space="0" w:color="auto"/>
            </w:tcBorders>
            <w:hideMark/>
          </w:tcPr>
          <w:p w14:paraId="27068EF5"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i/>
                <w:iCs/>
                <w:lang w:eastAsia="en-CA"/>
              </w:rPr>
              <w:t>Same as Web of Science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1A70D4B"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810</w:t>
            </w:r>
          </w:p>
        </w:tc>
      </w:tr>
      <w:tr w:rsidR="00D207C4" w:rsidRPr="00D207C4" w14:paraId="343A6C07" w14:textId="77777777" w:rsidTr="00C739AB">
        <w:trPr>
          <w:jc w:val="center"/>
        </w:trPr>
        <w:tc>
          <w:tcPr>
            <w:tcW w:w="1390" w:type="dxa"/>
            <w:tcBorders>
              <w:top w:val="single" w:sz="4" w:space="0" w:color="auto"/>
              <w:left w:val="single" w:sz="4" w:space="0" w:color="auto"/>
              <w:bottom w:val="single" w:sz="4" w:space="0" w:color="auto"/>
              <w:right w:val="single" w:sz="4" w:space="0" w:color="auto"/>
            </w:tcBorders>
            <w:hideMark/>
          </w:tcPr>
          <w:p w14:paraId="191C77C1"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Embase</w:t>
            </w:r>
          </w:p>
        </w:tc>
        <w:tc>
          <w:tcPr>
            <w:tcW w:w="6815" w:type="dxa"/>
            <w:tcBorders>
              <w:top w:val="single" w:sz="4" w:space="0" w:color="auto"/>
              <w:left w:val="single" w:sz="4" w:space="0" w:color="auto"/>
              <w:bottom w:val="single" w:sz="4" w:space="0" w:color="auto"/>
              <w:right w:val="single" w:sz="4" w:space="0" w:color="auto"/>
            </w:tcBorders>
            <w:hideMark/>
          </w:tcPr>
          <w:p w14:paraId="742AE8AC"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i/>
                <w:iCs/>
                <w:lang w:eastAsia="en-CA"/>
              </w:rPr>
              <w:t>Same as Web of Science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2D0C37"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8,467</w:t>
            </w:r>
          </w:p>
        </w:tc>
      </w:tr>
      <w:tr w:rsidR="00D207C4" w:rsidRPr="00D207C4" w14:paraId="2A8EDCC5" w14:textId="77777777" w:rsidTr="00D207C4">
        <w:trPr>
          <w:trHeight w:val="70"/>
          <w:jc w:val="center"/>
        </w:trPr>
        <w:tc>
          <w:tcPr>
            <w:tcW w:w="1390" w:type="dxa"/>
            <w:tcBorders>
              <w:top w:val="single" w:sz="4" w:space="0" w:color="auto"/>
              <w:left w:val="single" w:sz="4" w:space="0" w:color="auto"/>
              <w:bottom w:val="single" w:sz="4" w:space="0" w:color="auto"/>
              <w:right w:val="single" w:sz="4" w:space="0" w:color="auto"/>
            </w:tcBorders>
            <w:hideMark/>
          </w:tcPr>
          <w:p w14:paraId="404F1E69" w14:textId="77777777" w:rsidR="00D207C4" w:rsidRPr="00D207C4" w:rsidRDefault="00D207C4" w:rsidP="00D207C4">
            <w:pPr>
              <w:spacing w:before="0" w:after="0"/>
              <w:rPr>
                <w:rFonts w:ascii="Arial" w:eastAsia="Times New Roman" w:hAnsi="Arial" w:cs="Arial"/>
                <w:lang w:eastAsia="en-CA"/>
              </w:rPr>
            </w:pPr>
            <w:r w:rsidRPr="00D207C4">
              <w:rPr>
                <w:rFonts w:ascii="Arial" w:eastAsia="Times New Roman" w:hAnsi="Arial" w:cs="Arial"/>
                <w:lang w:eastAsia="en-CA"/>
              </w:rPr>
              <w:t>TOTAL</w:t>
            </w:r>
          </w:p>
        </w:tc>
        <w:tc>
          <w:tcPr>
            <w:tcW w:w="6815" w:type="dxa"/>
            <w:tcBorders>
              <w:top w:val="single" w:sz="4" w:space="0" w:color="auto"/>
              <w:left w:val="single" w:sz="4" w:space="0" w:color="auto"/>
              <w:bottom w:val="single" w:sz="4" w:space="0" w:color="auto"/>
              <w:right w:val="single" w:sz="4" w:space="0" w:color="auto"/>
            </w:tcBorders>
            <w:shd w:val="clear" w:color="auto" w:fill="D9D9D9"/>
            <w:hideMark/>
          </w:tcPr>
          <w:p w14:paraId="364E8221" w14:textId="77777777" w:rsidR="00D207C4" w:rsidRPr="00D207C4" w:rsidRDefault="00D207C4" w:rsidP="00D207C4">
            <w:pPr>
              <w:spacing w:before="0" w:after="0"/>
              <w:rPr>
                <w:rFonts w:ascii="Arial" w:eastAsia="Times New Roman" w:hAnsi="Arial" w:cs="Arial"/>
                <w:lang w:eastAsia="en-CA"/>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7CE2F99C" w14:textId="77777777" w:rsidR="00D207C4" w:rsidRPr="00D207C4" w:rsidRDefault="00D207C4" w:rsidP="00D207C4">
            <w:pPr>
              <w:spacing w:before="0" w:after="0"/>
              <w:jc w:val="center"/>
              <w:rPr>
                <w:rFonts w:ascii="Arial" w:eastAsia="Times New Roman" w:hAnsi="Arial" w:cs="Arial"/>
                <w:lang w:eastAsia="en-CA"/>
              </w:rPr>
            </w:pPr>
            <w:r w:rsidRPr="00D207C4">
              <w:rPr>
                <w:rFonts w:ascii="Arial" w:eastAsia="Times New Roman" w:hAnsi="Arial" w:cs="Arial"/>
                <w:lang w:eastAsia="en-CA"/>
              </w:rPr>
              <w:t>17,211</w:t>
            </w:r>
          </w:p>
        </w:tc>
      </w:tr>
    </w:tbl>
    <w:p w14:paraId="5497D79A" w14:textId="77777777" w:rsidR="00D207C4" w:rsidRDefault="00D207C4" w:rsidP="002B4A57">
      <w:pPr>
        <w:rPr>
          <w:b/>
          <w:bCs/>
        </w:rPr>
        <w:sectPr w:rsidR="00D207C4"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0DB08529" w14:textId="5DEE75E6" w:rsidR="00D207C4" w:rsidRPr="00D207C4" w:rsidRDefault="00D207C4" w:rsidP="002B4A57">
      <w:pPr>
        <w:rPr>
          <w:b/>
          <w:bCs/>
        </w:rPr>
      </w:pPr>
      <w:r>
        <w:rPr>
          <w:b/>
          <w:bCs/>
        </w:rPr>
        <w:lastRenderedPageBreak/>
        <w:t xml:space="preserve">Appendix B: Summary of </w:t>
      </w:r>
      <w:proofErr w:type="gramStart"/>
      <w:r>
        <w:rPr>
          <w:b/>
          <w:bCs/>
        </w:rPr>
        <w:t>Quality of Life</w:t>
      </w:r>
      <w:proofErr w:type="gramEnd"/>
      <w:r>
        <w:rPr>
          <w:b/>
          <w:bCs/>
        </w:rPr>
        <w:t xml:space="preserve"> Instruments</w:t>
      </w:r>
    </w:p>
    <w:tbl>
      <w:tblPr>
        <w:tblStyle w:val="TableGrid2"/>
        <w:tblW w:w="14879" w:type="dxa"/>
        <w:tblInd w:w="0" w:type="dxa"/>
        <w:tblLayout w:type="fixed"/>
        <w:tblLook w:val="04A0" w:firstRow="1" w:lastRow="0" w:firstColumn="1" w:lastColumn="0" w:noHBand="0" w:noVBand="1"/>
      </w:tblPr>
      <w:tblGrid>
        <w:gridCol w:w="2830"/>
        <w:gridCol w:w="4253"/>
        <w:gridCol w:w="4536"/>
        <w:gridCol w:w="3260"/>
      </w:tblGrid>
      <w:tr w:rsidR="00D207C4" w:rsidRPr="00D207C4" w14:paraId="79DBA08B" w14:textId="77777777" w:rsidTr="00C739AB">
        <w:trPr>
          <w:trHeight w:val="1110"/>
        </w:trPr>
        <w:tc>
          <w:tcPr>
            <w:tcW w:w="2830" w:type="dxa"/>
          </w:tcPr>
          <w:p w14:paraId="05D6944A" w14:textId="77777777" w:rsidR="00D207C4" w:rsidRPr="00D207C4" w:rsidRDefault="00D207C4" w:rsidP="00D207C4">
            <w:pPr>
              <w:numPr>
                <w:ilvl w:val="0"/>
                <w:numId w:val="21"/>
              </w:numPr>
              <w:tabs>
                <w:tab w:val="left" w:pos="3952"/>
              </w:tabs>
              <w:spacing w:before="0" w:after="0"/>
              <w:ind w:left="313"/>
              <w:rPr>
                <w:rFonts w:ascii="Arial" w:eastAsia="Calibri" w:hAnsi="Arial" w:cs="Arial"/>
                <w:sz w:val="19"/>
                <w:szCs w:val="19"/>
              </w:rPr>
            </w:pPr>
            <w:r w:rsidRPr="00D207C4">
              <w:rPr>
                <w:rFonts w:ascii="Arial" w:eastAsia="Calibri" w:hAnsi="Arial" w:cs="Arial"/>
                <w:sz w:val="19"/>
                <w:szCs w:val="19"/>
              </w:rPr>
              <w:t>Instrument</w:t>
            </w:r>
          </w:p>
          <w:p w14:paraId="14037C14" w14:textId="77777777" w:rsidR="00D207C4" w:rsidRPr="00D207C4" w:rsidRDefault="00D207C4" w:rsidP="00D207C4">
            <w:pPr>
              <w:numPr>
                <w:ilvl w:val="0"/>
                <w:numId w:val="21"/>
              </w:numPr>
              <w:tabs>
                <w:tab w:val="left" w:pos="3952"/>
              </w:tabs>
              <w:spacing w:before="0" w:after="0"/>
              <w:ind w:left="313"/>
              <w:rPr>
                <w:rFonts w:ascii="Arial" w:eastAsia="Calibri" w:hAnsi="Arial" w:cs="Arial"/>
                <w:sz w:val="19"/>
                <w:szCs w:val="19"/>
              </w:rPr>
            </w:pPr>
            <w:r w:rsidRPr="00D207C4">
              <w:rPr>
                <w:rFonts w:ascii="Arial" w:eastAsia="Calibri" w:hAnsi="Arial" w:cs="Arial"/>
                <w:sz w:val="19"/>
                <w:szCs w:val="19"/>
              </w:rPr>
              <w:t xml:space="preserve">Instrument type </w:t>
            </w:r>
          </w:p>
          <w:p w14:paraId="64BBD0A6" w14:textId="77777777" w:rsidR="00D207C4" w:rsidRPr="00D207C4" w:rsidRDefault="00D207C4" w:rsidP="00D207C4">
            <w:pPr>
              <w:numPr>
                <w:ilvl w:val="0"/>
                <w:numId w:val="21"/>
              </w:numPr>
              <w:tabs>
                <w:tab w:val="left" w:pos="3952"/>
              </w:tabs>
              <w:spacing w:before="0" w:after="0"/>
              <w:ind w:left="313"/>
              <w:rPr>
                <w:rFonts w:ascii="Arial" w:eastAsia="Calibri" w:hAnsi="Arial" w:cs="Arial"/>
                <w:sz w:val="19"/>
                <w:szCs w:val="19"/>
              </w:rPr>
            </w:pPr>
            <w:r w:rsidRPr="00D207C4">
              <w:rPr>
                <w:rFonts w:ascii="Arial" w:eastAsia="Calibri" w:hAnsi="Arial" w:cs="Arial"/>
                <w:sz w:val="19"/>
                <w:szCs w:val="19"/>
              </w:rPr>
              <w:t>Frequency (# of studies)</w:t>
            </w:r>
          </w:p>
          <w:p w14:paraId="144051CA" w14:textId="77777777" w:rsidR="00D207C4" w:rsidRPr="00D207C4" w:rsidRDefault="00D207C4" w:rsidP="00D207C4">
            <w:pPr>
              <w:tabs>
                <w:tab w:val="left" w:pos="3952"/>
              </w:tabs>
              <w:spacing w:before="0" w:after="0"/>
              <w:rPr>
                <w:rFonts w:ascii="Arial" w:eastAsia="Times New Roman" w:hAnsi="Arial" w:cs="Arial"/>
                <w:sz w:val="20"/>
                <w:szCs w:val="20"/>
                <w:lang w:eastAsia="en-CA"/>
              </w:rPr>
            </w:pPr>
          </w:p>
        </w:tc>
        <w:tc>
          <w:tcPr>
            <w:tcW w:w="4253" w:type="dxa"/>
          </w:tcPr>
          <w:p w14:paraId="028E71ED" w14:textId="77777777" w:rsidR="00D207C4" w:rsidRPr="00D207C4" w:rsidRDefault="00D207C4" w:rsidP="00D207C4">
            <w:pPr>
              <w:tabs>
                <w:tab w:val="left" w:pos="3952"/>
              </w:tabs>
              <w:spacing w:before="0" w:after="0"/>
              <w:rPr>
                <w:rFonts w:ascii="Arial" w:eastAsia="Times New Roman" w:hAnsi="Arial" w:cs="Arial"/>
                <w:sz w:val="19"/>
                <w:szCs w:val="19"/>
                <w:lang w:eastAsia="en-CA"/>
              </w:rPr>
            </w:pPr>
            <w:r w:rsidRPr="00D207C4">
              <w:rPr>
                <w:rFonts w:ascii="Arial" w:eastAsia="Times New Roman" w:hAnsi="Arial" w:cs="Arial"/>
                <w:sz w:val="19"/>
                <w:szCs w:val="19"/>
                <w:lang w:eastAsia="en-CA"/>
              </w:rPr>
              <w:t>Assessment details and domains</w:t>
            </w:r>
          </w:p>
        </w:tc>
        <w:tc>
          <w:tcPr>
            <w:tcW w:w="4536" w:type="dxa"/>
          </w:tcPr>
          <w:p w14:paraId="2DB545C6" w14:textId="77777777" w:rsidR="00D207C4" w:rsidRPr="00D207C4" w:rsidRDefault="00D207C4" w:rsidP="00D207C4">
            <w:pPr>
              <w:tabs>
                <w:tab w:val="left" w:pos="3952"/>
              </w:tabs>
              <w:spacing w:before="0" w:after="0"/>
              <w:rPr>
                <w:rFonts w:ascii="Arial" w:eastAsia="Times New Roman" w:hAnsi="Arial" w:cs="Arial"/>
                <w:sz w:val="19"/>
                <w:szCs w:val="19"/>
                <w:lang w:eastAsia="en-CA"/>
              </w:rPr>
            </w:pPr>
            <w:r w:rsidRPr="00D207C4">
              <w:rPr>
                <w:rFonts w:ascii="Arial" w:eastAsia="Times New Roman" w:hAnsi="Arial" w:cs="Arial"/>
                <w:sz w:val="19"/>
                <w:szCs w:val="19"/>
                <w:lang w:eastAsia="en-CA"/>
              </w:rPr>
              <w:t>Scoring</w:t>
            </w:r>
          </w:p>
        </w:tc>
        <w:tc>
          <w:tcPr>
            <w:tcW w:w="3260" w:type="dxa"/>
          </w:tcPr>
          <w:p w14:paraId="1E428B02" w14:textId="77777777" w:rsidR="00D207C4" w:rsidRPr="00D207C4" w:rsidRDefault="00D207C4" w:rsidP="00D207C4">
            <w:pPr>
              <w:tabs>
                <w:tab w:val="left" w:pos="3952"/>
              </w:tabs>
              <w:spacing w:before="0" w:after="0"/>
              <w:rPr>
                <w:rFonts w:ascii="Arial" w:eastAsia="Times New Roman" w:hAnsi="Arial" w:cs="Arial"/>
                <w:sz w:val="19"/>
                <w:szCs w:val="19"/>
                <w:lang w:eastAsia="en-CA"/>
              </w:rPr>
            </w:pPr>
            <w:r w:rsidRPr="00D207C4">
              <w:rPr>
                <w:rFonts w:ascii="Arial" w:eastAsia="Times New Roman" w:hAnsi="Arial" w:cs="Arial"/>
                <w:sz w:val="19"/>
                <w:szCs w:val="19"/>
                <w:lang w:eastAsia="en-CA"/>
              </w:rPr>
              <w:t>Population normative data</w:t>
            </w:r>
          </w:p>
        </w:tc>
      </w:tr>
      <w:tr w:rsidR="00D207C4" w:rsidRPr="00D207C4" w14:paraId="034817B8" w14:textId="77777777" w:rsidTr="00C739AB">
        <w:trPr>
          <w:trHeight w:val="1743"/>
        </w:trPr>
        <w:tc>
          <w:tcPr>
            <w:tcW w:w="2830" w:type="dxa"/>
          </w:tcPr>
          <w:p w14:paraId="79AAE602" w14:textId="77777777" w:rsidR="00D207C4" w:rsidRPr="00D207C4" w:rsidRDefault="00D207C4" w:rsidP="00D207C4">
            <w:pPr>
              <w:numPr>
                <w:ilvl w:val="0"/>
                <w:numId w:val="20"/>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EQ-5D-3L</w:t>
            </w:r>
          </w:p>
          <w:p w14:paraId="2C46E220" w14:textId="77777777" w:rsidR="00D207C4" w:rsidRPr="00D207C4" w:rsidRDefault="00D207C4" w:rsidP="00D207C4">
            <w:pPr>
              <w:numPr>
                <w:ilvl w:val="0"/>
                <w:numId w:val="20"/>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365DA1CB" w14:textId="77777777" w:rsidR="00D207C4" w:rsidRPr="00D207C4" w:rsidRDefault="00D207C4" w:rsidP="00D207C4">
            <w:pPr>
              <w:numPr>
                <w:ilvl w:val="0"/>
                <w:numId w:val="20"/>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7</w:t>
            </w:r>
          </w:p>
        </w:tc>
        <w:tc>
          <w:tcPr>
            <w:tcW w:w="4253" w:type="dxa"/>
          </w:tcPr>
          <w:p w14:paraId="4114BD1E" w14:textId="34CDEADC"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The EQ-5D-3L questionnaire consists of a descriptive system and a visual analogue scale (EQ VAS). The descriptive system classifies </w:t>
            </w:r>
            <w:proofErr w:type="spellStart"/>
            <w:r w:rsidRPr="00D207C4">
              <w:rPr>
                <w:rFonts w:ascii="Arial" w:eastAsia="Times New Roman" w:hAnsi="Arial" w:cs="Arial"/>
                <w:sz w:val="18"/>
                <w:szCs w:val="18"/>
                <w:lang w:eastAsia="en-CA"/>
              </w:rPr>
              <w:t>HRQoL</w:t>
            </w:r>
            <w:proofErr w:type="spellEnd"/>
            <w:r w:rsidRPr="00D207C4">
              <w:rPr>
                <w:rFonts w:ascii="Arial" w:eastAsia="Times New Roman" w:hAnsi="Arial" w:cs="Arial"/>
                <w:sz w:val="18"/>
                <w:szCs w:val="18"/>
                <w:lang w:eastAsia="en-CA"/>
              </w:rPr>
              <w:t xml:space="preserve"> across five dimensions: mobility, self-care, usual activities, anxiety/</w:t>
            </w:r>
            <w:proofErr w:type="gramStart"/>
            <w:r w:rsidRPr="00D207C4">
              <w:rPr>
                <w:rFonts w:ascii="Arial" w:eastAsia="Times New Roman" w:hAnsi="Arial" w:cs="Arial"/>
                <w:sz w:val="18"/>
                <w:szCs w:val="18"/>
                <w:lang w:eastAsia="en-CA"/>
              </w:rPr>
              <w:t>depression</w:t>
            </w:r>
            <w:proofErr w:type="gramEnd"/>
            <w:r w:rsidRPr="00D207C4">
              <w:rPr>
                <w:rFonts w:ascii="Arial" w:eastAsia="Times New Roman" w:hAnsi="Arial" w:cs="Arial"/>
                <w:sz w:val="18"/>
                <w:szCs w:val="18"/>
                <w:lang w:eastAsia="en-CA"/>
              </w:rPr>
              <w:t xml:space="preserve"> and pain/discomfort. The EQ VAS provides a quantitative measure of an individual’s perceived overall health, with anchors labelled as ‘The worst health you can imagine’ at zero, and ‘The best health you can imagine’ at 100</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{"citationItems":[{"id":"ITEM-1","itemData":{"author":[{"dropping-particle":"","family":"EuroQol Research Foundation","given":"","non-dropping-particle":"","parse-names":false,"suffix":""}],"id":"ITEM-1","issued":{"date-parts":[["2018"]]},"title":"EQ-5D-3L User Guide","type":"report"},"uris":["http://www.mendeley.com/documents/?uuid=656d099b-08ae-4148-b8c1-7cf76acc8d05"]}],"mendeley":{"formattedCitation":"[1]","plainTextFormattedCitation":"[1]","previouslyFormattedCitation":"[25]"},"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Earlier versions of the EQ VAS (for the EQ-5D-3L) used the labels ‘Best imaginable health state’ and ‘Worst imaginable health state’.</w:t>
            </w:r>
          </w:p>
        </w:tc>
        <w:tc>
          <w:tcPr>
            <w:tcW w:w="4536" w:type="dxa"/>
          </w:tcPr>
          <w:p w14:paraId="53A7EF9B" w14:textId="0F26AC93"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Descriptive system: Each dimension has three levels (1: no problems, 2: some/moderate problems, 3: extreme problems/unable to), reflecting increasing levels of impairment. A profile score for the five dimensions (e.g., 12112) can be used to describe a health state. Value sets (i.e., a set of health state values – sometimes called ‘utility scores’ or ‘index scores’ – for all 243 (3</w:t>
            </w:r>
            <w:r w:rsidRPr="00D207C4">
              <w:rPr>
                <w:rFonts w:ascii="Arial" w:eastAsia="Times New Roman" w:hAnsi="Arial" w:cs="Arial"/>
                <w:sz w:val="18"/>
                <w:szCs w:val="18"/>
                <w:vertAlign w:val="superscript"/>
                <w:lang w:eastAsia="en-CA"/>
              </w:rPr>
              <w:t>5</w:t>
            </w:r>
            <w:r w:rsidRPr="00D207C4">
              <w:rPr>
                <w:rFonts w:ascii="Arial" w:eastAsia="Times New Roman" w:hAnsi="Arial" w:cs="Arial"/>
                <w:sz w:val="18"/>
                <w:szCs w:val="18"/>
                <w:lang w:eastAsia="en-CA"/>
              </w:rPr>
              <w:t>) health states defined by the EQ-5D-3L) are available for many different countries and regions.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{"citationItems":[{"id":"ITEM-1","itemData":{"author":[{"dropping-particle":"","family":"EuroQol Research Foundation","given":"","non-dropping-particle":"","parse-names":false,"suffix":""}],"id":"ITEM-1","issued":{"date-parts":[["2018"]]},"title":"EQ-5D-3L User Guide","type":"report"},"uris":["http://www.mendeley.com/documents/?uuid=656d099b-08ae-4148-b8c1-7cf76acc8d05"]}],"mendeley":{"formattedCitation":"[1]","plainTextFormattedCitation":"[1]","previouslyFormattedCitation":"[25]"},"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w:t>
            </w:r>
            <w:r w:rsidRPr="00D207C4">
              <w:rPr>
                <w:rFonts w:ascii="Arial" w:eastAsia="Times New Roman" w:hAnsi="Arial" w:cs="Arial"/>
                <w:sz w:val="18"/>
                <w:szCs w:val="18"/>
                <w:lang w:eastAsia="en-CA"/>
              </w:rPr>
              <w:fldChar w:fldCharType="end"/>
            </w:r>
          </w:p>
          <w:p w14:paraId="6C9FE0A0" w14:textId="77777777" w:rsidR="00D207C4" w:rsidRPr="00D207C4" w:rsidRDefault="00D207C4" w:rsidP="00D207C4">
            <w:pPr>
              <w:tabs>
                <w:tab w:val="left" w:pos="3952"/>
              </w:tabs>
              <w:spacing w:before="0" w:after="0"/>
              <w:jc w:val="both"/>
              <w:rPr>
                <w:rFonts w:ascii="Arial" w:eastAsia="Times New Roman" w:hAnsi="Arial" w:cs="Arial"/>
                <w:lang w:eastAsia="en-CA"/>
              </w:rPr>
            </w:pPr>
            <w:r w:rsidRPr="00D207C4">
              <w:rPr>
                <w:rFonts w:ascii="Arial" w:eastAsia="Times New Roman" w:hAnsi="Arial" w:cs="Arial"/>
                <w:sz w:val="18"/>
                <w:szCs w:val="18"/>
                <w:lang w:eastAsia="en-CA"/>
              </w:rPr>
              <w:t>EQ VAS: The respondent rates their health on a vertical VAS from zero – “The worst health you can imagine” – to 100 – “The best health you can imagine”.</w:t>
            </w:r>
          </w:p>
        </w:tc>
        <w:tc>
          <w:tcPr>
            <w:tcW w:w="3260" w:type="dxa"/>
          </w:tcPr>
          <w:p w14:paraId="4C7959BA" w14:textId="1F78A885"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U.S. population(n=38,678)</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{"citationItems":[{"id":"ITEM-1","itemData":{"DOI":"10.1007/978-94-007-7596-1","ISBN":"9789400775961","abstract":"The EQ-5D instrument, as a standardized, cross-culturally validated measure of self-assessed health has a hugely important role in understanding population health within and across countries. Over the past two decades a wealth of international population health survey data have been accumulated by the EuroQol Group from research conducted in many countries across four continents. One of the success factors of the EQ-5D instruments has been the easy availability of national or international sets of EQ-5D data, as well as clear explanations and guidance for users. There is an unmet need to produce a comprehensive book that captures up-to-date and expanded information of EQ-5D self-reported health and index values. EQ-5D population norms and cross-country analyses are provided from representative national surveys of 20 countries and additional regional surveys. This book will be a must for those who believe that how people report and value health is very important.","container-title":"Self-Reported Population Health: An International Perspective Based on EQ-5D","editor":[{"dropping-particle":"","family":"Szende","given":"Agota","non-dropping-particle":"","parse-names":false,"suffix":""},{"dropping-particle":"","family":"Janssen","given":"Bas","non-dropping-particle":"","parse-names":false,"suffix":""},{"dropping-particle":"","family":"Cabasés","given":"Juan","non-dropping-particle":"","parse-names":false,"suffix":""}],"id":"ITEM-1","issued":{"date-parts":[["2014","1","1"]]},"number-of-pages":"1-196","publisher":"Springer Netherlands","title":"Self-reported population health: An international perspective based on EQ-5D","type":"book"},"uris":["http://www.mendeley.com/documents/?uuid=c9dba42a-94df-3c3b-9a07-b4fef81ddf51"]}],"mendeley":{"formattedCitation":"[2]","plainTextFormattedCitation":"[2]","previouslyFormattedCitation":"[55]"},"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[2]</w:t>
            </w:r>
            <w:r w:rsidRPr="00D207C4">
              <w:rPr>
                <w:rFonts w:ascii="Arial" w:eastAsia="Times New Roman" w:hAnsi="Arial" w:cs="Arial"/>
                <w:sz w:val="18"/>
                <w:szCs w:val="18"/>
                <w:lang w:eastAsia="en-CA"/>
              </w:rPr>
              <w:fldChar w:fldCharType="end"/>
            </w:r>
          </w:p>
          <w:p w14:paraId="66741B4C"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p>
          <w:p w14:paraId="0F480D93"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Descriptive System </w:t>
            </w:r>
            <w:r w:rsidRPr="00D207C4">
              <w:rPr>
                <w:rFonts w:ascii="Arial" w:eastAsia="Times New Roman" w:hAnsi="Arial" w:cs="Arial"/>
                <w:i/>
                <w:iCs/>
                <w:sz w:val="18"/>
                <w:szCs w:val="18"/>
                <w:lang w:eastAsia="en-CA"/>
              </w:rPr>
              <w:t>(% reporting any limitations or problems)</w:t>
            </w:r>
            <w:r w:rsidRPr="00D207C4">
              <w:rPr>
                <w:rFonts w:ascii="Arial" w:eastAsia="Times New Roman" w:hAnsi="Arial" w:cs="Arial"/>
                <w:sz w:val="18"/>
                <w:szCs w:val="18"/>
                <w:lang w:eastAsia="en-CA"/>
              </w:rPr>
              <w:t>:</w:t>
            </w:r>
          </w:p>
          <w:p w14:paraId="5A3D8782" w14:textId="77777777" w:rsidR="00D207C4" w:rsidRPr="00D207C4" w:rsidRDefault="00D207C4" w:rsidP="00D207C4">
            <w:pPr>
              <w:numPr>
                <w:ilvl w:val="0"/>
                <w:numId w:val="33"/>
              </w:numPr>
              <w:tabs>
                <w:tab w:val="left" w:pos="3952"/>
              </w:tabs>
              <w:spacing w:before="0" w:after="0"/>
              <w:jc w:val="both"/>
              <w:rPr>
                <w:rFonts w:ascii="Arial" w:eastAsia="Calibri" w:hAnsi="Arial" w:cs="Arial"/>
                <w:sz w:val="18"/>
                <w:szCs w:val="18"/>
              </w:rPr>
            </w:pPr>
            <w:r w:rsidRPr="00D207C4">
              <w:rPr>
                <w:rFonts w:ascii="Arial" w:eastAsia="Calibri" w:hAnsi="Arial" w:cs="Arial"/>
                <w:sz w:val="18"/>
                <w:szCs w:val="18"/>
              </w:rPr>
              <w:t>Mobility: 18.5%</w:t>
            </w:r>
          </w:p>
          <w:p w14:paraId="05846E88" w14:textId="77777777" w:rsidR="00D207C4" w:rsidRPr="00D207C4" w:rsidRDefault="00D207C4" w:rsidP="00D207C4">
            <w:pPr>
              <w:numPr>
                <w:ilvl w:val="0"/>
                <w:numId w:val="33"/>
              </w:numPr>
              <w:tabs>
                <w:tab w:val="left" w:pos="3952"/>
              </w:tabs>
              <w:spacing w:before="0" w:after="0"/>
              <w:jc w:val="both"/>
              <w:rPr>
                <w:rFonts w:ascii="Arial" w:eastAsia="Calibri" w:hAnsi="Arial" w:cs="Arial"/>
                <w:sz w:val="18"/>
                <w:szCs w:val="18"/>
              </w:rPr>
            </w:pPr>
            <w:r w:rsidRPr="00D207C4">
              <w:rPr>
                <w:rFonts w:ascii="Arial" w:eastAsia="Calibri" w:hAnsi="Arial" w:cs="Arial"/>
                <w:sz w:val="18"/>
                <w:szCs w:val="18"/>
              </w:rPr>
              <w:t>Usual activities:3.7%</w:t>
            </w:r>
          </w:p>
          <w:p w14:paraId="449104E3" w14:textId="77777777" w:rsidR="00D207C4" w:rsidRPr="00D207C4" w:rsidRDefault="00D207C4" w:rsidP="00D207C4">
            <w:pPr>
              <w:numPr>
                <w:ilvl w:val="0"/>
                <w:numId w:val="33"/>
              </w:numPr>
              <w:tabs>
                <w:tab w:val="left" w:pos="3952"/>
              </w:tabs>
              <w:spacing w:before="0" w:after="0"/>
              <w:jc w:val="both"/>
              <w:rPr>
                <w:rFonts w:ascii="Arial" w:eastAsia="Calibri" w:hAnsi="Arial" w:cs="Arial"/>
                <w:sz w:val="18"/>
                <w:szCs w:val="18"/>
              </w:rPr>
            </w:pPr>
            <w:r w:rsidRPr="00D207C4">
              <w:rPr>
                <w:rFonts w:ascii="Arial" w:eastAsia="Calibri" w:hAnsi="Arial" w:cs="Arial"/>
                <w:sz w:val="18"/>
                <w:szCs w:val="18"/>
              </w:rPr>
              <w:t>Self-care: 17.9%</w:t>
            </w:r>
          </w:p>
          <w:p w14:paraId="0A755C20" w14:textId="77777777" w:rsidR="00D207C4" w:rsidRPr="00D207C4" w:rsidRDefault="00D207C4" w:rsidP="00D207C4">
            <w:pPr>
              <w:numPr>
                <w:ilvl w:val="0"/>
                <w:numId w:val="33"/>
              </w:numPr>
              <w:tabs>
                <w:tab w:val="left" w:pos="3952"/>
              </w:tabs>
              <w:spacing w:before="0" w:after="0"/>
              <w:jc w:val="both"/>
              <w:rPr>
                <w:rFonts w:ascii="Arial" w:eastAsia="Calibri" w:hAnsi="Arial" w:cs="Arial"/>
                <w:sz w:val="18"/>
                <w:szCs w:val="18"/>
              </w:rPr>
            </w:pPr>
            <w:r w:rsidRPr="00D207C4">
              <w:rPr>
                <w:rFonts w:ascii="Arial" w:eastAsia="Calibri" w:hAnsi="Arial" w:cs="Arial"/>
                <w:sz w:val="18"/>
                <w:szCs w:val="18"/>
              </w:rPr>
              <w:t>Pain/Discomfort: 48.3%</w:t>
            </w:r>
          </w:p>
          <w:p w14:paraId="535BDB11" w14:textId="77777777" w:rsidR="00D207C4" w:rsidRPr="00D207C4" w:rsidRDefault="00D207C4" w:rsidP="00D207C4">
            <w:pPr>
              <w:numPr>
                <w:ilvl w:val="0"/>
                <w:numId w:val="33"/>
              </w:numPr>
              <w:tabs>
                <w:tab w:val="left" w:pos="3952"/>
              </w:tabs>
              <w:spacing w:before="0" w:after="0"/>
              <w:jc w:val="both"/>
              <w:rPr>
                <w:rFonts w:ascii="Arial" w:eastAsia="Calibri" w:hAnsi="Arial" w:cs="Arial"/>
                <w:sz w:val="18"/>
                <w:szCs w:val="18"/>
              </w:rPr>
            </w:pPr>
            <w:r w:rsidRPr="00D207C4">
              <w:rPr>
                <w:rFonts w:ascii="Arial" w:eastAsia="Calibri" w:hAnsi="Arial" w:cs="Arial"/>
                <w:sz w:val="18"/>
                <w:szCs w:val="18"/>
              </w:rPr>
              <w:t>Anxiety/Depression: 23.2%</w:t>
            </w:r>
          </w:p>
          <w:p w14:paraId="05EFF1CC"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EQ-5D-3L index: 0.823 ± 0.197</w:t>
            </w:r>
          </w:p>
          <w:p w14:paraId="611BD1AF"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EQ VAS: 80.0 ± 19.7</w:t>
            </w:r>
          </w:p>
        </w:tc>
      </w:tr>
      <w:tr w:rsidR="00D207C4" w:rsidRPr="00D207C4" w14:paraId="64F2886D" w14:textId="77777777" w:rsidTr="00C739AB">
        <w:trPr>
          <w:trHeight w:val="1614"/>
        </w:trPr>
        <w:tc>
          <w:tcPr>
            <w:tcW w:w="2830" w:type="dxa"/>
          </w:tcPr>
          <w:p w14:paraId="7FC2ABF5" w14:textId="77777777" w:rsidR="00D207C4" w:rsidRPr="00D207C4" w:rsidRDefault="00D207C4" w:rsidP="00D207C4">
            <w:pPr>
              <w:numPr>
                <w:ilvl w:val="0"/>
                <w:numId w:val="22"/>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Medical Outcomes Study 36-item Short Form Health Survey (SF-36)</w:t>
            </w:r>
          </w:p>
          <w:p w14:paraId="6A4BC619" w14:textId="77777777" w:rsidR="00D207C4" w:rsidRPr="00D207C4" w:rsidRDefault="00D207C4" w:rsidP="00D207C4">
            <w:pPr>
              <w:numPr>
                <w:ilvl w:val="0"/>
                <w:numId w:val="22"/>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77FB93CE" w14:textId="77777777" w:rsidR="00D207C4" w:rsidRPr="00D207C4" w:rsidRDefault="00D207C4" w:rsidP="00D207C4">
            <w:pPr>
              <w:numPr>
                <w:ilvl w:val="0"/>
                <w:numId w:val="22"/>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15</w:t>
            </w:r>
          </w:p>
          <w:p w14:paraId="0962472A"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1A50DD84" w14:textId="52EF89E3"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The SF-36 is a 36-item questionnaire that measures generic health status and QoL in eight domains: physical functioning (PF), role limitations due to physical health (RP), bodily pain (BP), general health (GH), vitality (VT), social functioning (SF), role limitations due to emotional health (RE) and mental health (MH). Two summary scores are formed from the 8-domains: the physical component summary (PCS) and mental component summary (MCS)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{"citationItems":[{"id":"ITEM-1","itemData":{"author":[{"dropping-particle":"","family":"Ware","given":"John E","non-dropping-particle":"","parse-names":false,"suffix":""},{"dropping-particle":"","family":"Snow","given":"Kristin K","non-dropping-particle":"","parse-names":false,"suffix":""},{"dropping-particle":"","family":"Kosinski","given":"Mark","non-dropping-particle":"","parse-names":false,"suffix":""},{"dropping-particle":"","family":"Gandek","given":"Barbara","non-dropping-particle":"","parse-names":false,"suffix":""}],"id":"ITEM-1","issued":{"date-parts":[["1993"]]},"number-of-pages":"1-316","publisher":"The Health Institute, New England Medical Center","publisher-place":"Boston, Massachusetts","title":"SF-36 Health Survey : Manual and interpretation guide","type":"book"},"uris":["http://www.mendeley.com/documents/?uuid=bc3eea08-0447-3820-aa50-4cfcf491c073"]}],"mendeley":{"formattedCitation":"[3]","plainTextFormattedCitation":"[3]","previouslyFormattedCitation":"[67]"},"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[3]</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4536" w:type="dxa"/>
          </w:tcPr>
          <w:p w14:paraId="2B4EE0D4" w14:textId="0ECA9632"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The eight domain scores are converted to 0-100 scales where higher scores indicate better functioning or well-being</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{"citationItems":[{"id":"ITEM-1","itemData":{"author":[{"dropping-particle":"","family":"Ware","given":"John E","non-dropping-particle":"","parse-names":false,"suffix":""},{"dropping-particle":"","family":"Snow","given":"Kristin K","non-dropping-particle":"","parse-names":false,"suffix":""},{"dropping-particle":"","family":"Kosinski","given":"Mark","non-dropping-particle":"","parse-names":false,"suffix":""},{"dropping-particle":"","family":"Gandek","given":"Barbara","non-dropping-particle":"","parse-names":false,"suffix":""}],"id":"ITEM-1","issued":{"date-parts":[["1993"]]},"number-of-pages":"1-316","publisher":"The Health Institute, New England Medical Center","publisher-place":"Boston, Massachusetts","title":"SF-36 Health Survey : Manual and interpretation guide","type":"book"},"uris":["http://www.mendeley.com/documents/?uuid=bc3eea08-0447-3820-aa50-4cfcf491c073"]}],"mendeley":{"formattedCitation":"[3]","plainTextFormattedCitation":"[3]","previouslyFormattedCitation":"[67]"},"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[3]</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To form the PCS and MCS scales, the eight subdomain scores are aggregated using norm-based scoring methods (T-score transformation) where the scores are normalized to the U.S. population mean and standard deviation of 50 ± 10</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{"citationItems":[{"id":"ITEM-1","itemData":{"author":[{"dropping-particle":"","family":"Ware","given":"John E","non-dropping-particle":"","parse-names":false,"suffix":""},{"dropping-particle":"","family":"Kosinski","given":"Mark","non-dropping-particle":"","parse-names":false,"suffix":""},{"dropping-particle":"","family":"Keller","given":"Susan D","non-dropping-particle":"","parse-names":false,"suffix":""}],"id":"ITEM-1","issued":{"date-parts":[["1994","12"]]},"number-of-pages":"1-191","publisher":"Health Assessment Lab, New England Medical Center","publisher-place":"Boston, Massachusetts","title":"SF-36 Physical and Mental Health Summary Scales: a User's Manual","type":"book"},"uris":["http://www.mendeley.com/documents/?uuid=7f80c7b7-f5d9-33b8-b45e-01d44e060c45"]}],"mendeley":{"formattedCitation":"[4]","plainTextFormattedCitation":"[4]","previouslyFormattedCitation":"[54]"},"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[4]</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3260" w:type="dxa"/>
          </w:tcPr>
          <w:p w14:paraId="0C13F09F" w14:textId="61E2CA78"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U.S. population (n=2,474)</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{"citationItems":[{"id":"ITEM-1","itemData":{"author":[{"dropping-particle":"","family":"Ware","given":"John E","non-dropping-particle":"","parse-names":false,"suffix":""},{"dropping-particle":"","family":"Kosinski","given":"Mark","non-dropping-particle":"","parse-names":false,"suffix":""},{"dropping-particle":"","family":"Keller","given":"Susan D","non-dropping-particle":"","parse-names":false,"suffix":""}],"id":"ITEM-1","issued":{"date-parts":[["1994","12"]]},"number-of-pages":"1-191","publisher":"Health Assessment Lab, New England Medical Center","publisher-place":"Boston, Massachusetts","title":"SF-36 Physical and Mental Health Summary Scales: a User's Manual","type":"book"},"uris":["http://www.mendeley.com/documents/?uuid=7f80c7b7-f5d9-33b8-b45e-01d44e060c45"]}],"mendeley":{"formattedCitation":"[4]","plainTextFormattedCitation":"[4]","previouslyFormattedCitation":"[54]"},"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[4]</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p w14:paraId="7402C1CD"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PF: 84.5 ± 22.9</w:t>
            </w:r>
          </w:p>
          <w:p w14:paraId="28D1BE99"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RP: 81.2 ± 33.8</w:t>
            </w:r>
          </w:p>
          <w:p w14:paraId="1189C76E"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BP 75.5 ± 23.6</w:t>
            </w:r>
          </w:p>
          <w:p w14:paraId="6DB48440"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GH: 72.2 ± 20.2</w:t>
            </w:r>
          </w:p>
          <w:p w14:paraId="41427B6B"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VT: 61.1 ± 20.9</w:t>
            </w:r>
          </w:p>
          <w:p w14:paraId="2E858E91"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SF: 83.6 ± 22.4</w:t>
            </w:r>
          </w:p>
          <w:p w14:paraId="54BB0A38"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RE: 81.3 ± 33.0</w:t>
            </w:r>
          </w:p>
          <w:p w14:paraId="2683F35E"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MH: 74.8 ± 18.0</w:t>
            </w:r>
          </w:p>
          <w:p w14:paraId="2F1C1BA4"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PCS: 50.0 ± 10</w:t>
            </w:r>
          </w:p>
          <w:p w14:paraId="645D28C9"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MCS: 50.0 ± 10</w:t>
            </w:r>
          </w:p>
        </w:tc>
      </w:tr>
      <w:tr w:rsidR="00D207C4" w:rsidRPr="00D207C4" w14:paraId="4449725C" w14:textId="77777777" w:rsidTr="00C739AB">
        <w:trPr>
          <w:trHeight w:val="1142"/>
        </w:trPr>
        <w:tc>
          <w:tcPr>
            <w:tcW w:w="2830" w:type="dxa"/>
          </w:tcPr>
          <w:p w14:paraId="47689C88" w14:textId="77777777" w:rsidR="00D207C4" w:rsidRPr="00D207C4" w:rsidRDefault="00D207C4" w:rsidP="00D207C4">
            <w:pPr>
              <w:numPr>
                <w:ilvl w:val="0"/>
                <w:numId w:val="23"/>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SF-36 version 2 (SF-36v2)</w:t>
            </w:r>
          </w:p>
          <w:p w14:paraId="1349EC91" w14:textId="77777777" w:rsidR="00D207C4" w:rsidRPr="00D207C4" w:rsidRDefault="00D207C4" w:rsidP="00D207C4">
            <w:pPr>
              <w:numPr>
                <w:ilvl w:val="0"/>
                <w:numId w:val="23"/>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16054461" w14:textId="77777777" w:rsidR="00D207C4" w:rsidRPr="00D207C4" w:rsidRDefault="00D207C4" w:rsidP="00D207C4">
            <w:pPr>
              <w:numPr>
                <w:ilvl w:val="0"/>
                <w:numId w:val="23"/>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 xml:space="preserve">1 </w:t>
            </w:r>
          </w:p>
          <w:p w14:paraId="631CFE93"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6A5F363A" w14:textId="2BF602AD"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This updated version of the SF-36 evaluates </w:t>
            </w:r>
            <w:proofErr w:type="spellStart"/>
            <w:r w:rsidRPr="00D207C4">
              <w:rPr>
                <w:rFonts w:ascii="Arial" w:eastAsia="Times New Roman" w:hAnsi="Arial" w:cs="Arial"/>
                <w:sz w:val="18"/>
                <w:szCs w:val="18"/>
                <w:lang w:eastAsia="en-CA"/>
              </w:rPr>
              <w:t>HRQoL</w:t>
            </w:r>
            <w:proofErr w:type="spellEnd"/>
            <w:r w:rsidRPr="00D207C4">
              <w:rPr>
                <w:rFonts w:ascii="Arial" w:eastAsia="Times New Roman" w:hAnsi="Arial" w:cs="Arial"/>
                <w:sz w:val="18"/>
                <w:szCs w:val="18"/>
                <w:lang w:eastAsia="en-CA"/>
              </w:rPr>
              <w:t xml:space="preserve"> in the same eight domains and provides the same two component summary scores as version 1.0. Compared to version 1.0, version 2.0 includes simpler instructions and questionnaire items, an improved layout for questions and answers, offers greater comparability between translations and cultural adaptations and uses five-level response choices instead of dichotomous responses for the items comprising the two role functioning scales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{"citationItems":[{"id":"ITEM-1","itemData":{"DOI":"10.1097/00007632-200012150-00008","ISSN":"03622436","PMID":"11124729","author":[{"dropping-particle":"","family":"Ware","given":"J. E.","non-dropping-particle":"","parse-names":false,"suffix":""}],"container-title":"Spine","id":"ITEM-1","issue":"24","issued":{"date-parts":[["2000","12","15"]]},"page":"3130-3139","publisher":"Spine (Phila Pa 1976)","title":"SF-36 Health Survey update","type":"article","volume":"25"},"uris":["http://www.mendeley.com/documents/?uuid=1f2d602a-c52a-3dcd-bf90-45dcf869a152"]}],"mendeley":{"formattedCitation":"[5]","plainTextFormattedCitation":"[5]","previouslyFormattedCitation":"[68]"},"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[5]</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4536" w:type="dxa"/>
          </w:tcPr>
          <w:p w14:paraId="61B02D54" w14:textId="2BED9AAC"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Version 2.0 of the SF-36 uses norm-based scoring algorithms (T-score transformations with mean of 50 ± 10 [SD]) for all eight domain scales in addition to the PCS and MCS scores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{"citationItems":[{"id":"ITEM-1","itemData":{"DOI":"10.1097/00007632-200012150-00008","ISSN":"03622436","PMID":"11124729","author":[{"dropping-particle":"","family":"Ware","given":"J. E.","non-dropping-particle":"","parse-names":false,"suffix":""}],"container-title":"Spine","id":"ITEM-1","issue":"24","issued":{"date-parts":[["2000","12","15"]]},"page":"3130-3139","publisher":"Spine (Phila Pa 1976)","title":"SF-36 Health Survey update","type":"article","volume":"25"},"uris":["http://www.mendeley.com/documents/?uuid=1f2d602a-c52a-3dcd-bf90-45dcf869a152"]}],"mendeley":{"formattedCitation":"[5]","plainTextFormattedCitation":"[5]","previouslyFormattedCitation":"[68]"},"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[5]</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3260" w:type="dxa"/>
          </w:tcPr>
          <w:p w14:paraId="3EC7DCB0" w14:textId="60840050"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U.S. population</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{"citationItems":[{"id":"ITEM-1","itemData":{"DOI":"10.1097/00007632-200012150-00008","ISSN":"03622436","PMID":"11124729","author":[{"dropping-particle":"","family":"Ware","given":"J. E.","non-dropping-particle":"","parse-names":false,"suffix":""}],"container-title":"Spine","id":"ITEM-1","issue":"24","issued":{"date-parts":[["2000","12","15"]]},"page":"3130-3139","publisher":"Spine (Phila Pa 1976)","title":"SF-36 Health Survey update","type":"article","volume":"25"},"uris":["http://www.mendeley.com/documents/?uuid=1f2d602a-c52a-3dcd-bf90-45dcf869a152"]}],"mendeley":{"formattedCitation":"[5]","plainTextFormattedCitation":"[5]","previouslyFormattedCitation":"[68]"},"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[5]</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p w14:paraId="146A185E"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PF: 50.0 ± 10</w:t>
            </w:r>
          </w:p>
          <w:p w14:paraId="45358C1D"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RP: 50.0 ± 10</w:t>
            </w:r>
          </w:p>
          <w:p w14:paraId="324D16B1"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BP 50.0 ± 10</w:t>
            </w:r>
          </w:p>
          <w:p w14:paraId="526C5C31"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GH: 50.0 ± 10</w:t>
            </w:r>
          </w:p>
          <w:p w14:paraId="2219A01D"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VT: 50.0 ± 10</w:t>
            </w:r>
          </w:p>
          <w:p w14:paraId="4C2049FB"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SF: 50.0 ± 10</w:t>
            </w:r>
          </w:p>
          <w:p w14:paraId="0DC30D09"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RE: 50.0 ± 10</w:t>
            </w:r>
          </w:p>
          <w:p w14:paraId="0ED7C67F"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MH: 50.0 ± 10</w:t>
            </w:r>
          </w:p>
          <w:p w14:paraId="06E6C0C5"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PCS: 50.0 ± 10</w:t>
            </w:r>
          </w:p>
          <w:p w14:paraId="5D7DF5BE" w14:textId="77777777"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MCS: 50.0 ± 10</w:t>
            </w:r>
          </w:p>
        </w:tc>
      </w:tr>
      <w:tr w:rsidR="00D207C4" w:rsidRPr="00D207C4" w14:paraId="65715220" w14:textId="77777777" w:rsidTr="00C739AB">
        <w:trPr>
          <w:trHeight w:val="1142"/>
        </w:trPr>
        <w:tc>
          <w:tcPr>
            <w:tcW w:w="2830" w:type="dxa"/>
          </w:tcPr>
          <w:p w14:paraId="50B50252" w14:textId="77777777" w:rsidR="00D207C4" w:rsidRPr="00D207C4" w:rsidRDefault="00D207C4" w:rsidP="00D207C4">
            <w:pPr>
              <w:numPr>
                <w:ilvl w:val="0"/>
                <w:numId w:val="31"/>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lastRenderedPageBreak/>
              <w:t xml:space="preserve">Medical Outcomes Study 8-item Short Form Health Survey (SF-8) </w:t>
            </w:r>
          </w:p>
          <w:p w14:paraId="4B26E7E5" w14:textId="77777777" w:rsidR="00D207C4" w:rsidRPr="00D207C4" w:rsidRDefault="00D207C4" w:rsidP="00D207C4">
            <w:pPr>
              <w:numPr>
                <w:ilvl w:val="0"/>
                <w:numId w:val="31"/>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2E9B0972" w14:textId="77777777" w:rsidR="00D207C4" w:rsidRPr="00D207C4" w:rsidRDefault="00D207C4" w:rsidP="00D207C4">
            <w:pPr>
              <w:numPr>
                <w:ilvl w:val="0"/>
                <w:numId w:val="31"/>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1</w:t>
            </w:r>
          </w:p>
          <w:p w14:paraId="0CC6184F"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269F4387" w14:textId="73C9E61F"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An abbreviated, eight-item version of the SF-36. Evaluates </w:t>
            </w:r>
            <w:proofErr w:type="spellStart"/>
            <w:r w:rsidRPr="00D207C4">
              <w:rPr>
                <w:rFonts w:ascii="Arial" w:eastAsia="Times New Roman" w:hAnsi="Arial" w:cs="Arial"/>
                <w:sz w:val="18"/>
                <w:szCs w:val="18"/>
                <w:lang w:eastAsia="en-CA"/>
              </w:rPr>
              <w:t>HRQoL</w:t>
            </w:r>
            <w:proofErr w:type="spellEnd"/>
            <w:r w:rsidRPr="00D207C4">
              <w:rPr>
                <w:rFonts w:ascii="Arial" w:eastAsia="Times New Roman" w:hAnsi="Arial" w:cs="Arial"/>
                <w:sz w:val="18"/>
                <w:szCs w:val="18"/>
                <w:lang w:eastAsia="en-CA"/>
              </w:rPr>
              <w:t xml:space="preserve"> in the same eight domains as the SF-36</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{"citationItems":[{"id":"ITEM-1","itemData":{"author":[{"dropping-particle":"","family":"Ware","given":"John E","non-dropping-particle":"","parse-names":false,"suffix":""},{"dropping-particle":"","family":"Kosinski","given":"Mark","non-dropping-particle":"","parse-names":false,"suffix":""},{"dropping-particle":"","family":"Dewey","given":"James E","non-dropping-particle":"","parse-names":false,"suffix":""},{"dropping-particle":"","family":"Gandek","given":"Barbara","non-dropping-particle":"","parse-names":false,"suffix":""}],"id":"ITEM-1","issued":{"date-parts":[["2001","2"]]},"number-of-pages":"1-220","publisher":"QualityMetric, Inc","publisher-place":"Lincoln, RI","title":"How to Score and Interpret Single-item Health Status Measures: A Manual for Users of the SF-8 Health Survey","type":"book"},"uris":["http://www.mendeley.com/documents/?uuid=b6e80aca-14a9-3212-aa98-efea273f60f8"]}],"mendeley":{"formattedCitation":"[6]","plainTextFormattedCitation":"[6]","previouslyFormattedCitation":"[69]"},"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[6]</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w:t>
            </w:r>
          </w:p>
        </w:tc>
        <w:tc>
          <w:tcPr>
            <w:tcW w:w="4536" w:type="dxa"/>
          </w:tcPr>
          <w:p w14:paraId="46EE47B1" w14:textId="319DDA66"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Similar to the version 2.0 of the SF-36, norm-based scale scores for each domain are calculated and PCS and MCS scores are derived using norm-based scoring methods (T-score transformations with mean of 50 ± 10 [SD])</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{"citationItems":[{"id":"ITEM-1","itemData":{"author":[{"dropping-particle":"","family":"Ware","given":"John E","non-dropping-particle":"","parse-names":false,"suffix":""},{"dropping-particle":"","family":"Kosinski","given":"Mark","non-dropping-particle":"","parse-names":false,"suffix":""},{"dropping-particle":"","family":"Dewey","given":"James E","non-dropping-particle":"","parse-names":false,"suffix":""},{"dropping-particle":"","family":"Gandek","given":"Barbara","non-dropping-particle":"","parse-names":false,"suffix":""}],"id":"ITEM-1","issued":{"date-parts":[["2001","2"]]},"number-of-pages":"1-220","publisher":"QualityMetric, Inc","publisher-place":"Lincoln, RI","title":"How to Score and Interpret Single-item Health Status Measures: A Manual for Users of the SF-8 Health Survey","type":"book"},"uris":["http://www.mendeley.com/documents/?uuid=b6e80aca-14a9-3212-aa98-efea273f60f8"]}],"mendeley":{"formattedCitation":"[6]","plainTextFormattedCitation":"[6]","previouslyFormattedCitation":"[69]"},"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[6]</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3260" w:type="dxa"/>
          </w:tcPr>
          <w:p w14:paraId="3E412D3D"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As for Medical Outcomes Study SF-36 Version 2.0.</w:t>
            </w:r>
          </w:p>
        </w:tc>
      </w:tr>
      <w:tr w:rsidR="00D207C4" w:rsidRPr="00D207C4" w14:paraId="7CF6C9BB" w14:textId="77777777" w:rsidTr="00C739AB">
        <w:trPr>
          <w:trHeight w:val="564"/>
        </w:trPr>
        <w:tc>
          <w:tcPr>
            <w:tcW w:w="2830" w:type="dxa"/>
          </w:tcPr>
          <w:p w14:paraId="47689514" w14:textId="77777777" w:rsidR="00D207C4" w:rsidRPr="00D207C4" w:rsidRDefault="00D207C4" w:rsidP="00D207C4">
            <w:pPr>
              <w:numPr>
                <w:ilvl w:val="0"/>
                <w:numId w:val="24"/>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 xml:space="preserve">RAND 36-item Health Survey (RAND-36) </w:t>
            </w:r>
          </w:p>
          <w:p w14:paraId="122BF8FC" w14:textId="77777777" w:rsidR="00D207C4" w:rsidRPr="00D207C4" w:rsidRDefault="00D207C4" w:rsidP="00D207C4">
            <w:pPr>
              <w:numPr>
                <w:ilvl w:val="0"/>
                <w:numId w:val="24"/>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3BFB916C" w14:textId="77777777" w:rsidR="00D207C4" w:rsidRPr="00D207C4" w:rsidRDefault="00D207C4" w:rsidP="00D207C4">
            <w:pPr>
              <w:numPr>
                <w:ilvl w:val="0"/>
                <w:numId w:val="24"/>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3</w:t>
            </w:r>
          </w:p>
          <w:p w14:paraId="3D06A6B7"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43368316" w14:textId="124C7790"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The RAND-36 health survey evaluates </w:t>
            </w:r>
            <w:proofErr w:type="spellStart"/>
            <w:r w:rsidRPr="00D207C4">
              <w:rPr>
                <w:rFonts w:ascii="Arial" w:eastAsia="Times New Roman" w:hAnsi="Arial" w:cs="Arial"/>
                <w:sz w:val="18"/>
                <w:szCs w:val="18"/>
                <w:lang w:eastAsia="en-CA"/>
              </w:rPr>
              <w:t>HRQoL</w:t>
            </w:r>
            <w:proofErr w:type="spellEnd"/>
            <w:r w:rsidRPr="00D207C4">
              <w:rPr>
                <w:rFonts w:ascii="Arial" w:eastAsia="Times New Roman" w:hAnsi="Arial" w:cs="Arial"/>
                <w:sz w:val="18"/>
                <w:szCs w:val="18"/>
                <w:lang w:eastAsia="en-CA"/>
              </w:rPr>
              <w:t xml:space="preserve"> using the same 36 items as the SF-36 and, similarly, yields two summary scores (PCS and MCS) and eight domains scale scores (physical functioning, role physical, pain, general health, emotional well-being, energy/fatigue, social functioning, role emotional). The RAND-36 uses a scoring algorithm that is different to the SF-36.</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{"citationItems":[{"id":"ITEM-1","itemData":{"DOI":"10.1002/hec.4730020305","ISSN":"10991050","PMID":"8275167","abstract":"Recently, Ware and Sherbourne1 published a new short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form health survey, the MOS 36</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Short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Form Health Survey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consisting of 36 items included in long</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form measures developed for the Medical Outcomes Study.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taps eight health concepts: physical functioning, bodily pain, role limitations due to physical health problems, role limitations due to personal or emotional problems, general mental health, social functioning, energy/fatigue, and general health perceptions. It also includes a single item that provides an indication of perceived change in health.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items and scoring rules are distributed by MOS Trust, Inc. Strict adherence to item wording and scoring recommendations is required in order to use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trademark. The RAND 36</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Health Survey 1.0 (distributed by RAND) includes the same items as those in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but the recommended scoring algorithm is somewhat different from that of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Scoring differences are discussed here and new 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scores are presented for the 8 multi</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scales and two factor analytically</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derived physical and mental health composite scores. Copyright © 1993 John Wiley &amp; Sons, Ltd.","author":[{"dropping-particle":"","family":"Hays","given":"Ron D.","non-dropping-particle":"","parse-names":false,"suffix":""},{"dropping-particle":"","family":"Sherbourne","given":"Cathy Donald","non-dropping-particle":"","parse-names":false,"suffix":""},{"dropping-particle":"","family":"Mazel","given":"Rebecca M.","non-dropping-particle":"","parse-names":false,"suffix":""}],"container-title":"Health Economics","id":"ITEM-1","issue":"3","issued":{"date-parts":[["1993"]]},"page":"217-227","publisher":"Health Econ","title":"The RAND 36</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Health Survey 1.0","type":"article-journal","volume":"2"},"uris":["http://www.mendeley.com/documents/?uuid=342e3844-3aaf-39a4-b728-1c05f7e31526"]}],"mendeley":{"formattedCitation":"[7]","plainTextFormattedCitation":"[7]","previouslyFormattedCitation":"[70]"},"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[7]</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4536" w:type="dxa"/>
          </w:tcPr>
          <w:p w14:paraId="1D4FBD35" w14:textId="3658A4F8"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The eight domain scores are converted to 0-100 scales where higher scores indicate better functioning or well-being; the scoring of the BP and GH domains differ slightly between the SF-36 and RAND-36; BP scores tend to be slightly higher on the RAND-36, but GH scores tend to be similar. PCS and MCS scores are calculated using a similar method to the SF-36, with the exception that there is no assumption in the model that physical and mental health constructs are uncorrelated.</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{"citationItems":[{"id":"ITEM-1","itemData":{"DOI":"10.3109/07853890109002089","ISSN":"07853890","PMID":"11491194","abstract":"The RAND-36 is perhaps the most widely used health-related quality of life (HRQoL) survey instrument in the world today. It is comprised of 36 items that assess eight health concepts: physical functioning, role limitations caused by physical health problems, role limitations caused by emotional problems, social functioning, emotional well-being, energy/fatigue, pain, and general health perceptions. Physical and mental health summary scores are also derived from the eight RAND-36 scales. This paper provides example applications of the RAND-36 cross-sectionally and longitudinally, provides information on what a clinically important difference is for the RAND-36 scales, and provides guidance for summarizing the RAND-36 in a single number. The paper also discusses the availability of the RAND-36 in multiple languages and summarizes changes that are incorporated in the latest version of the survey.","author":[{"dropping-particle":"","family":"Hays","given":"R. D.","non-dropping-particle":"","parse-names":false,"suffix":""},{"dropping-particle":"","family":"Morales","given":"L. S.","non-dropping-particle":"","parse-names":false,"suffix":""}],"container-title":"Annals of Medicine","id":"ITEM-1","issue":"5","issued":{"date-parts":[["2001"]]},"page":"350-357","publisher":"Royal Society of Medicine Press Ltd","title":"The RAND-36 measure of health-related quality of life","type":"paper-conference","volume":"33"},"uris":["http://www.mendeley.com/documents/?uuid=75eb275a-6a5e-33f9-82ec-a4455f5e1db0"]}],"mendeley":{"formattedCitation":"[8]","plainTextFormattedCitation":"[8]","previouslyFormattedCitation":"[71]"},"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[8]</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tc>
        <w:tc>
          <w:tcPr>
            <w:tcW w:w="3260" w:type="dxa"/>
          </w:tcPr>
          <w:p w14:paraId="171A6868" w14:textId="192CEA2F"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U.S. population (n=2471)</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{"citationItems":[{"id":"ITEM-1","itemData":{"DOI":"10.1002/hec.4730020305","ISSN":"10991050","PMID":"8275167","abstract":"Recently, Ware and Sherbourne1 published a new short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form health survey, the MOS 36</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Short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Form Health Survey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consisting of 36 items included in long</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form measures developed for the Medical Outcomes Study.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taps eight health concepts: physical functioning, bodily pain, role limitations due to physical health problems, role limitations due to personal or emotional problems, general mental health, social functioning, energy/fatigue, and general health perceptions. It also includes a single item that provides an indication of perceived change in health.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items and scoring rules are distributed by MOS Trust, Inc. Strict adherence to item wording and scoring recommendations is required in order to use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trademark. The RAND 36</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Health Survey 1.0 (distributed by RAND) includes the same items as those in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but the recommended scoring algorithm is somewhat different from that of the SF</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36. Scoring differences are discussed here and new 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scores are presented for the 8 multi</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scales and two factor analytically</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derived physical and mental health composite scores. Copyright © 1993 John Wiley &amp; Sons, Ltd.","author":[{"dropping-particle":"","family":"Hays","given":"Ron D.","non-dropping-particle":"","parse-names":false,"suffix":""},{"dropping-particle":"","family":"Sherbourne","given":"Cathy Donald","non-dropping-particle":"","parse-names":false,"suffix":""},{"dropping-particle":"","family":"Mazel","given":"Rebecca M.","non-dropping-particle":"","parse-names":false,"suffix":""}],"container-title":"Health Economics","id":"ITEM-1","issue":"3","issued":{"date-parts":[["1993"]]},"page":"217-227","publisher":"Health Econ","title":"The RAND 36</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Item Health Survey 1.0","type":"article-journal","volume":"2"},"uris":["http://www.mendeley.com/documents/?uuid=342e3844-3aaf-39a4-b728-1c05f7e31526"]}],"mendeley":{"formattedCitation":"[7]","plainTextFormattedCitation":"[7]","previouslyFormattedCitation":"[70]"},"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[7]</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xml:space="preserve">: </w:t>
            </w:r>
          </w:p>
          <w:p w14:paraId="6B242290"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Physical functioning: 70.61 ± 27.42</w:t>
            </w:r>
          </w:p>
          <w:p w14:paraId="644EE4C6"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Role physical: 52.97 ± 40.78</w:t>
            </w:r>
          </w:p>
          <w:p w14:paraId="41AB6083"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Pain: 70.77 ± 25.46</w:t>
            </w:r>
          </w:p>
          <w:p w14:paraId="66A26099"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General health: 56.99 ± 21.11</w:t>
            </w:r>
          </w:p>
          <w:p w14:paraId="7E60B3B5"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Emotional well-being: 70.38 ± 21.97</w:t>
            </w:r>
          </w:p>
          <w:p w14:paraId="5EDB16B2"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Energy/fatigue: 52.15 ± 22.39</w:t>
            </w:r>
          </w:p>
          <w:p w14:paraId="160292E4"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Social functioning: 78.77 ± 25.43</w:t>
            </w:r>
          </w:p>
          <w:p w14:paraId="7BCA01B4"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Role emotional: 65.78 ± 40.71</w:t>
            </w:r>
          </w:p>
          <w:p w14:paraId="0FB03E2B"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Physical health composite: 50 ± 10</w:t>
            </w:r>
          </w:p>
          <w:p w14:paraId="774DC11F"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Mental health composite: 50 ± 10</w:t>
            </w:r>
          </w:p>
        </w:tc>
      </w:tr>
      <w:tr w:rsidR="00D207C4" w:rsidRPr="00D207C4" w14:paraId="775E2132" w14:textId="77777777" w:rsidTr="00C739AB">
        <w:trPr>
          <w:trHeight w:val="1142"/>
        </w:trPr>
        <w:tc>
          <w:tcPr>
            <w:tcW w:w="2830" w:type="dxa"/>
          </w:tcPr>
          <w:p w14:paraId="22A5F45C" w14:textId="77777777" w:rsidR="00D207C4" w:rsidRPr="00D207C4" w:rsidRDefault="00D207C4" w:rsidP="00D207C4">
            <w:pPr>
              <w:numPr>
                <w:ilvl w:val="0"/>
                <w:numId w:val="27"/>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Pediatric Quality of Life inventory (</w:t>
            </w:r>
            <w:proofErr w:type="spellStart"/>
            <w:r w:rsidRPr="00D207C4">
              <w:rPr>
                <w:rFonts w:ascii="Arial" w:eastAsia="Calibri" w:hAnsi="Arial" w:cs="Arial"/>
                <w:sz w:val="18"/>
                <w:szCs w:val="18"/>
              </w:rPr>
              <w:t>PedsQL</w:t>
            </w:r>
            <w:proofErr w:type="spellEnd"/>
            <w:r w:rsidRPr="00D207C4">
              <w:rPr>
                <w:rFonts w:ascii="Arial" w:eastAsia="Calibri" w:hAnsi="Arial" w:cs="Arial"/>
                <w:sz w:val="18"/>
                <w:szCs w:val="18"/>
              </w:rPr>
              <w:t>) version 4.0</w:t>
            </w:r>
          </w:p>
          <w:p w14:paraId="539C36C7" w14:textId="77777777" w:rsidR="00D207C4" w:rsidRPr="00D207C4" w:rsidRDefault="00D207C4" w:rsidP="00D207C4">
            <w:pPr>
              <w:numPr>
                <w:ilvl w:val="0"/>
                <w:numId w:val="27"/>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2AEE4377" w14:textId="77777777" w:rsidR="00D207C4" w:rsidRPr="00D207C4" w:rsidRDefault="00D207C4" w:rsidP="00D207C4">
            <w:pPr>
              <w:numPr>
                <w:ilvl w:val="0"/>
                <w:numId w:val="27"/>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3</w:t>
            </w:r>
          </w:p>
          <w:p w14:paraId="119EF789"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1A8B0B4D" w14:textId="63B4B330"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The </w:t>
            </w:r>
            <w:proofErr w:type="spellStart"/>
            <w:r w:rsidRPr="00D207C4">
              <w:rPr>
                <w:rFonts w:ascii="Arial" w:eastAsia="Times New Roman" w:hAnsi="Arial" w:cs="Arial"/>
                <w:sz w:val="18"/>
                <w:szCs w:val="18"/>
                <w:lang w:eastAsia="en-CA"/>
              </w:rPr>
              <w:t>PedsQL</w:t>
            </w:r>
            <w:proofErr w:type="spellEnd"/>
            <w:r w:rsidRPr="00D207C4">
              <w:rPr>
                <w:rFonts w:ascii="Arial" w:eastAsia="Times New Roman" w:hAnsi="Arial" w:cs="Arial"/>
                <w:sz w:val="18"/>
                <w:szCs w:val="18"/>
                <w:lang w:eastAsia="en-CA"/>
              </w:rPr>
              <w:t xml:space="preserve"> Generic Core Scales are 23 item questionnaires designed to evaluate the core health dimensions as delineated by the World Health Organization (physical functioning, emotional functioning, social functioning) and role (school) functioning in children and young adults. The </w:t>
            </w:r>
            <w:proofErr w:type="spellStart"/>
            <w:r w:rsidRPr="00D207C4">
              <w:rPr>
                <w:rFonts w:ascii="Arial" w:eastAsia="Times New Roman" w:hAnsi="Arial" w:cs="Arial"/>
                <w:sz w:val="18"/>
                <w:szCs w:val="18"/>
                <w:lang w:eastAsia="en-CA"/>
              </w:rPr>
              <w:t>PedsQL</w:t>
            </w:r>
            <w:proofErr w:type="spellEnd"/>
            <w:r w:rsidRPr="00D207C4">
              <w:rPr>
                <w:rFonts w:ascii="Arial" w:eastAsia="Times New Roman" w:hAnsi="Arial" w:cs="Arial"/>
                <w:sz w:val="18"/>
                <w:szCs w:val="18"/>
                <w:lang w:eastAsia="en-CA"/>
              </w:rPr>
              <w:t xml:space="preserve"> comprises both child self-report (Ages 5-7, 8-12, 13-18, 18-24 years) and parent proxy-report forms (Ages 2-4, 5-7, 8-12, 13-18, 18-24 years). Question phrasing is adapted for different age groups to ensure questions are developmentally appropriate. Scores are provided for each of the four core scales and three summary scores (the psychosocial health summary score, the physical health summary score and total scale score)</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{"citationItems":[{"id":"ITEM-1","itemData":{"URL":"https://www.pedsql.org/about_pedsql.html","accessed":{"date-parts":[["2021","6","24"]]},"author":[{"dropping-particle":"","family":"Varni","given":"James W","non-dropping-particle":"","parse-names":false,"suffix":""}],"id":"ITEM-1","issued":{"date-parts":[["2021"]]},"title":"PedsQL TM (Pediatric Quality of Life Inventory TM)","type":"webpage"},"uris":["http://www.mendeley.com/documents/?uuid=2d1ab284-74b4-33a0-8561-87b82c0f0ab9"]}],"mendeley":{"formattedCitation":"[9]","plainTextFormattedCitation":"[9]","previouslyFormattedCitation":"[72]"},"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[9]</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w:t>
            </w:r>
          </w:p>
        </w:tc>
        <w:tc>
          <w:tcPr>
            <w:tcW w:w="4536" w:type="dxa"/>
          </w:tcPr>
          <w:p w14:paraId="633D5C37" w14:textId="4E433FEE"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Each item is answered on a Likert scale from 0-4. For scoring, each item is reverse scored on a 0-100 scale and the mean of items comprising each of the four dimensions produce the scale scores. The psychosocial health summary is computed as the mean score of the items comprising the emotional, </w:t>
            </w:r>
            <w:proofErr w:type="gramStart"/>
            <w:r w:rsidRPr="00D207C4">
              <w:rPr>
                <w:rFonts w:ascii="Arial" w:eastAsia="Times New Roman" w:hAnsi="Arial" w:cs="Arial"/>
                <w:sz w:val="18"/>
                <w:szCs w:val="18"/>
                <w:lang w:eastAsia="en-CA"/>
              </w:rPr>
              <w:t>social</w:t>
            </w:r>
            <w:proofErr w:type="gramEnd"/>
            <w:r w:rsidRPr="00D207C4">
              <w:rPr>
                <w:rFonts w:ascii="Arial" w:eastAsia="Times New Roman" w:hAnsi="Arial" w:cs="Arial"/>
                <w:sz w:val="18"/>
                <w:szCs w:val="18"/>
                <w:lang w:eastAsia="en-CA"/>
              </w:rPr>
              <w:t xml:space="preserve"> and school functioning scales. The physical health summary score is the same as the physical functioning score. The total scale score is the mean score of all 23 items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{"citationItems":[{"id":"ITEM-1","itemData":{"DOI":"10.1097/00005650-200108000-00006","ISSN":"00257079","PMID":"11468499","abstract":"BACKGROUND. The PedsQL (Pediatric Quality of Life Inventory) (Children's Hospital and Health Center, San Diego, California) is a modular instrument for measuring health-related quality of life (HRQOL) in children and adolescents ages 2 to 18. The PedsQL 4.0 Generic Core Scales are multidimensional child self-report and parent proxy-report scales developed as the generic core measure to be integrated with the PedsQL Disease-Specific Modules. The PedsQL 4.0 Generic Core Scales consist of 23 items applicable for healthy school and community populations, as well as pediatric populations with acute and chronic health conditions. METHODS. The 4 PedsQL 4.0 Generic Core Scales (Physical, Emotional, Social, School) were administered to 963 children and 1,629 parents (1,677 subjects accrued overall) recruited from pediatric health care settings. Item-level and scale-level measurement properties were computed. RESULTS. Internal consistency reliability for the Total Scale Score (α = 0.88 child, 0.90 parent report), Physical Health Summary Score (α = 0.80 child, 0.88 parent), and Psychosocial Health Summary Score (α = 0.83 child, 0.86 parent) were acceptable for group comparisons. Validity was demonstrated using the known-groups method, correlations with indicators of morbidity and illness burden, and factor analysis. The PedsQL distinguished between healthy children and pediatric patients with acute or chronic health conditions, was related to indicators of morbidity and illness burden, and displayed a factor-derived solution largely consistent with the a priori conceptually-derived scales. CONCLUSION. The results demonstrate the reliability and validity of the PedsQL 4.0 Generic Core Scales. The PedsQL 4.0 Generic Core Scales may be applicable in clinical trials, research, clinical practice, school health settings, and community populations.","author":[{"dropping-particle":"","family":"Varni","given":"James W.","non-dropping-particle":"","parse-names":false,"suffix":""},{"dropping-particle":"","family":"Seid","given":"Michael","non-dropping-particle":"","parse-names":false,"suffix":""},{"dropping-particle":"","family":"Kurtin","given":"Paul S.","non-dropping-particle":"","parse-names":false,"suffix":""}],"container-title":"Medical Care","id":"ITEM-1","issue":"8","issued":{"date-parts":[["2001","8"]]},"page":"800-812","title":"PedsQL™ 4.0: Reliability and Validity of the Pediatric Quality of Life Inventory™ Version 4.0 Generic Core Scales in Healthy and Patient Populations","type":"article-journal","volume":"39"},"uris":["http://www.mendeley.com/documents/?uuid=b64b9676-31a9-379f-833e-6b79d17996ee"]}],"mendeley":{"formattedCitation":"[10]","plainTextFormattedCitation":"[10]","previouslyFormattedCitation":"[56]"},"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[10]</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w:t>
            </w:r>
          </w:p>
        </w:tc>
        <w:tc>
          <w:tcPr>
            <w:tcW w:w="3260" w:type="dxa"/>
          </w:tcPr>
          <w:p w14:paraId="4407A29D" w14:textId="5CDBD8E9"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U.S population</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{"citationItems":[{"id":"ITEM-1","itemData":{"DOI":"10.1097/00005650-200108000-00006","ISSN":"00257079","PMID":"11468499","abstract":"BACKGROUND. The PedsQL (Pediatric Quality of Life Inventory) (Children's Hospital and Health Center, San Diego, California) is a modular instrument for measuring health-related quality of life (HRQOL) in children and adolescents ages 2 to 18. The PedsQL 4.0 Generic Core Scales are multidimensional child self-report and parent proxy-report scales developed as the generic core measure to be integrated with the PedsQL Disease-Specific Modules. The PedsQL 4.0 Generic Core Scales consist of 23 items applicable for healthy school and community populations, as well as pediatric populations with acute and chronic health conditions. METHODS. The 4 PedsQL 4.0 Generic Core Scales (Physical, Emotional, Social, School) were administered to 963 children and 1,629 parents (1,677 subjects accrued overall) recruited from pediatric health care settings. Item-level and scale-level measurement properties were computed. RESULTS. Internal consistency reliability for the Total Scale Score (α = 0.88 child, 0.90 parent report), Physical Health Summary Score (α = 0.80 child, 0.88 parent), and Psychosocial Health Summary Score (α = 0.83 child, 0.86 parent) were acceptable for group comparisons. Validity was demonstrated using the known-groups method, correlations with indicators of morbidity and illness burden, and factor analysis. The PedsQL distinguished between healthy children and pediatric patients with acute or chronic health conditions, was related to indicators of morbidity and illness burden, and displayed a factor-derived solution largely consistent with the a priori conceptually-derived scales. CONCLUSION. The results demonstrate the reliability and validity of the PedsQL 4.0 Generic Core Scales. The PedsQL 4.0 Generic Core Scales may be applicable in clinical trials, research, clinical practice, school health settings, and community populations.","author":[{"dropping-particle":"","family":"Varni","given":"James W.","non-dropping-particle":"","parse-names":false,"suffix":""},{"dropping-particle":"","family":"Seid","given":"Michael","non-dropping-particle":"","parse-names":false,"suffix":""},{"dropping-particle":"","family":"Kurtin","given":"Paul S.","non-dropping-particle":"","parse-names":false,"suffix":""}],"container-title":"Medical Care","id":"ITEM-1","issue":"8","issued":{"date-parts":[["2001","8"]]},"page":"800-812","title":"PedsQL™ 4.0: Reliability and Validity of the Pediatric Quality of Life Inventory™ Version 4.0 Generic Core Scales in Healthy and Patient Populations","type":"article-journal","volume":"39"},"uris":["http://www.mendeley.com/documents/?uuid=b64b9676-31a9-379f-833e-6b79d17996ee"]}],"mendeley":{"formattedCitation":"[10]","plainTextFormattedCitation":"[10]","previouslyFormattedCitation":"[56]"},"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[10]</w:t>
            </w:r>
            <w:r w:rsidRPr="00D207C4">
              <w:rPr>
                <w:rFonts w:ascii="Arial" w:eastAsia="Times New Roman" w:hAnsi="Arial" w:cs="Arial"/>
                <w:sz w:val="18"/>
                <w:szCs w:val="18"/>
                <w:lang w:eastAsia="en-CA"/>
              </w:rPr>
              <w:fldChar w:fldCharType="end"/>
            </w:r>
          </w:p>
          <w:p w14:paraId="73F64BCE" w14:textId="77777777" w:rsidR="00D207C4" w:rsidRPr="00D207C4" w:rsidRDefault="00D207C4" w:rsidP="00D207C4">
            <w:pPr>
              <w:tabs>
                <w:tab w:val="left" w:pos="3952"/>
              </w:tabs>
              <w:spacing w:before="0" w:after="0"/>
              <w:jc w:val="both"/>
              <w:rPr>
                <w:rFonts w:ascii="Arial" w:eastAsia="Times New Roman" w:hAnsi="Arial" w:cs="Arial"/>
                <w:i/>
                <w:iCs/>
                <w:sz w:val="18"/>
                <w:szCs w:val="18"/>
                <w:lang w:eastAsia="en-CA"/>
              </w:rPr>
            </w:pPr>
            <w:r w:rsidRPr="00D207C4">
              <w:rPr>
                <w:rFonts w:ascii="Arial" w:eastAsia="Times New Roman" w:hAnsi="Arial" w:cs="Arial"/>
                <w:i/>
                <w:iCs/>
                <w:sz w:val="18"/>
                <w:szCs w:val="18"/>
                <w:lang w:eastAsia="en-CA"/>
              </w:rPr>
              <w:t xml:space="preserve">Child self report scores (n=933-960; age 5-18 years): </w:t>
            </w:r>
          </w:p>
          <w:p w14:paraId="4AC717D2"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Total score: 79.62 ± 15.26</w:t>
            </w:r>
          </w:p>
          <w:p w14:paraId="52E9A20A"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Physical health: 80.19 ± 19.30</w:t>
            </w:r>
          </w:p>
          <w:p w14:paraId="67FA2FCC"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Psychosocial health: 79.37 ± 15.70</w:t>
            </w:r>
          </w:p>
          <w:p w14:paraId="0408A0F8"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Emotional functioning: 78.10 ± 20.66</w:t>
            </w:r>
          </w:p>
          <w:p w14:paraId="5A14073C"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Social functioning: 84.09 ± 18.50</w:t>
            </w:r>
          </w:p>
          <w:p w14:paraId="4D666B07"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School functioning: 75.87 ± 19.71</w:t>
            </w:r>
          </w:p>
          <w:p w14:paraId="6D24CA66" w14:textId="77777777" w:rsidR="00D207C4" w:rsidRPr="00D207C4" w:rsidRDefault="00D207C4" w:rsidP="00D207C4">
            <w:pPr>
              <w:tabs>
                <w:tab w:val="left" w:pos="3952"/>
              </w:tabs>
              <w:spacing w:before="0" w:after="0"/>
              <w:jc w:val="both"/>
              <w:rPr>
                <w:rFonts w:ascii="Arial" w:eastAsia="Times New Roman" w:hAnsi="Arial" w:cs="Arial"/>
                <w:i/>
                <w:iCs/>
                <w:sz w:val="18"/>
                <w:szCs w:val="18"/>
                <w:lang w:eastAsia="en-CA"/>
              </w:rPr>
            </w:pPr>
            <w:r w:rsidRPr="00D207C4">
              <w:rPr>
                <w:rFonts w:ascii="Arial" w:eastAsia="Times New Roman" w:hAnsi="Arial" w:cs="Arial"/>
                <w:i/>
                <w:iCs/>
                <w:sz w:val="18"/>
                <w:szCs w:val="18"/>
                <w:lang w:eastAsia="en-CA"/>
              </w:rPr>
              <w:t xml:space="preserve">Proxy report scores (n=1417-1622; age 2-18 years): </w:t>
            </w:r>
          </w:p>
          <w:p w14:paraId="3775A99C"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Total score: 80.87± 16.73</w:t>
            </w:r>
          </w:p>
          <w:p w14:paraId="37F89792"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Physical health: 81.38 ± 23.18</w:t>
            </w:r>
          </w:p>
          <w:p w14:paraId="56DB83F8"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Psychosocial health: 80.58 ± 16.52</w:t>
            </w:r>
          </w:p>
          <w:p w14:paraId="3E62A952"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Emotional functioning: 77.95 ± 20.67</w:t>
            </w:r>
          </w:p>
          <w:p w14:paraId="6A067BAA"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Social functioning: 85.38 ± 19.17</w:t>
            </w:r>
          </w:p>
          <w:p w14:paraId="15C31089"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School functioning: 77.80 ± 22.00</w:t>
            </w:r>
          </w:p>
        </w:tc>
      </w:tr>
      <w:tr w:rsidR="00D207C4" w:rsidRPr="00D207C4" w14:paraId="18978F52" w14:textId="77777777" w:rsidTr="00C739AB">
        <w:trPr>
          <w:trHeight w:val="1142"/>
        </w:trPr>
        <w:tc>
          <w:tcPr>
            <w:tcW w:w="2830" w:type="dxa"/>
          </w:tcPr>
          <w:p w14:paraId="712C7BAA" w14:textId="77777777" w:rsidR="00D207C4" w:rsidRPr="00D207C4" w:rsidRDefault="00D207C4" w:rsidP="00D207C4">
            <w:pPr>
              <w:numPr>
                <w:ilvl w:val="0"/>
                <w:numId w:val="25"/>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World Health Organization Brief Quality of Life Questionnaire (WHOQOL-BREF)</w:t>
            </w:r>
          </w:p>
          <w:p w14:paraId="52911661" w14:textId="77777777" w:rsidR="00D207C4" w:rsidRPr="00D207C4" w:rsidRDefault="00D207C4" w:rsidP="00D207C4">
            <w:pPr>
              <w:numPr>
                <w:ilvl w:val="0"/>
                <w:numId w:val="25"/>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23145730" w14:textId="77777777" w:rsidR="00D207C4" w:rsidRPr="00D207C4" w:rsidRDefault="00D207C4" w:rsidP="00D207C4">
            <w:pPr>
              <w:numPr>
                <w:ilvl w:val="0"/>
                <w:numId w:val="25"/>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2</w:t>
            </w:r>
          </w:p>
        </w:tc>
        <w:tc>
          <w:tcPr>
            <w:tcW w:w="4253" w:type="dxa"/>
          </w:tcPr>
          <w:p w14:paraId="5E619F02" w14:textId="0EA8CF80"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color w:val="000000"/>
                <w:sz w:val="18"/>
                <w:szCs w:val="18"/>
                <w:lang w:eastAsia="en-CA"/>
              </w:rPr>
              <w:t>An abbreviated 26 item version of WHOQOL-100. Produces scores in 4 domains of QoL: Physical Health, Psychological, Social Relationships, and Environment, and separate scores evaluating overall QoL and general health</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{"citationItems":[{"id":"ITEM-1","itemData":{"author":[{"dropping-particle":"","family":"WHOQOL group","given":"","non-dropping-particle":"","parse-names":false,"suffix":""}],"id":"ITEM-1","issued":{"date-parts":[["1996","12"]]},"number-of-pages":"1-16","publisher-place":"Geneva, Switzerland","title":"WHOQOL-BREF : introduction, administration, scoring and generic version of the assessment : field trial version","type":"report"},"uris":["http://www.mendeley.com/documents/?uuid=c3fa4445-8ed0-3434-a1ec-052b6c2d7347"]}],"mendeley":{"formattedCitation":"[11]","plainTextFormattedCitation":"[11]","previouslyFormattedCitation":"[73]"},"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[11]</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w:t>
            </w:r>
          </w:p>
        </w:tc>
        <w:tc>
          <w:tcPr>
            <w:tcW w:w="4536" w:type="dxa"/>
          </w:tcPr>
          <w:p w14:paraId="621DF002" w14:textId="0345C018" w:rsidR="00D207C4" w:rsidRPr="00D207C4" w:rsidRDefault="00D207C4" w:rsidP="00D207C4">
            <w:pPr>
              <w:tabs>
                <w:tab w:val="left" w:pos="3952"/>
              </w:tabs>
              <w:spacing w:before="0" w:after="0"/>
              <w:jc w:val="both"/>
              <w:rPr>
                <w:rFonts w:ascii="Arial" w:eastAsia="Times New Roman" w:hAnsi="Arial" w:cs="Arial"/>
                <w:lang w:eastAsia="en-CA"/>
              </w:rPr>
            </w:pPr>
            <w:r w:rsidRPr="00D207C4">
              <w:rPr>
                <w:rFonts w:ascii="Arial" w:eastAsia="Times New Roman" w:hAnsi="Arial" w:cs="Arial"/>
                <w:color w:val="000000"/>
                <w:sz w:val="18"/>
                <w:szCs w:val="18"/>
                <w:lang w:eastAsia="en-CA"/>
              </w:rPr>
              <w:t>Each question is answered on a Likert scale of 1-5. To calculate domain scores, the mean of the items making up each domain is multiplied by 4 (to make scores comparable to the WHOQOL-100), then transformed to a 0-100 scale, where 0 is worst possible, and 100 is best possible QoL in that domain. Two questions are analyzed separately: "How would you rate your quality of life?" and "How satisfied are you with your health?”.</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{"citationItems":[{"id":"ITEM-1","itemData":{"author":[{"dropping-particle":"","family":"WHOQOL group","given":"","non-dropping-particle":"","parse-names":false,"suffix":""}],"id":"ITEM-1","issued":{"date-parts":[["1996","12"]]},"number-of-pages":"1-16","publisher-place":"Geneva, Switzerland","title":"WHOQOL-BREF : introduction, administration, scoring and generic version of the assessment : field trial version","type":"report"},"uris":["http://www.mendeley.com/documents/?uuid=c3fa4445-8ed0-3434-a1ec-052b6c2d7347"]}],"mendeley":{"formattedCitation":"[11]","plainTextFormattedCitation":"[11]","previouslyFormattedCitation":"[73]"},"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[11]</w:t>
            </w:r>
            <w:r w:rsidRPr="00D207C4">
              <w:rPr>
                <w:rFonts w:ascii="Arial" w:eastAsia="Times New Roman" w:hAnsi="Arial" w:cs="Arial"/>
                <w:color w:val="000000"/>
                <w:sz w:val="18"/>
                <w:szCs w:val="18"/>
                <w:lang w:eastAsia="en-CA"/>
              </w:rPr>
              <w:fldChar w:fldCharType="end"/>
            </w:r>
          </w:p>
        </w:tc>
        <w:tc>
          <w:tcPr>
            <w:tcW w:w="3260" w:type="dxa"/>
          </w:tcPr>
          <w:p w14:paraId="318D663A"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 xml:space="preserve">North American population normative data not available. </w:t>
            </w:r>
          </w:p>
        </w:tc>
      </w:tr>
      <w:tr w:rsidR="00D207C4" w:rsidRPr="00D207C4" w14:paraId="18A1ACC5" w14:textId="77777777" w:rsidTr="00C739AB">
        <w:trPr>
          <w:trHeight w:val="1144"/>
        </w:trPr>
        <w:tc>
          <w:tcPr>
            <w:tcW w:w="2830" w:type="dxa"/>
          </w:tcPr>
          <w:p w14:paraId="096204E0" w14:textId="77777777" w:rsidR="00D207C4" w:rsidRPr="00D207C4" w:rsidRDefault="00D207C4" w:rsidP="00D207C4">
            <w:pPr>
              <w:numPr>
                <w:ilvl w:val="0"/>
                <w:numId w:val="26"/>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Quality of Life Systemic Inventory (QLSI)</w:t>
            </w:r>
          </w:p>
          <w:p w14:paraId="1061AED0" w14:textId="77777777" w:rsidR="00D207C4" w:rsidRPr="00D207C4" w:rsidRDefault="00D207C4" w:rsidP="00D207C4">
            <w:pPr>
              <w:numPr>
                <w:ilvl w:val="0"/>
                <w:numId w:val="26"/>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QoL</w:t>
            </w:r>
          </w:p>
          <w:p w14:paraId="0E7C2633" w14:textId="77777777" w:rsidR="00D207C4" w:rsidRPr="00D207C4" w:rsidRDefault="00D207C4" w:rsidP="00D207C4">
            <w:pPr>
              <w:numPr>
                <w:ilvl w:val="0"/>
                <w:numId w:val="26"/>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 xml:space="preserve">2 </w:t>
            </w:r>
          </w:p>
          <w:p w14:paraId="4BD234B0"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5A3C2CB0" w14:textId="3D7A1489"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The QLSI assesses the individual’s capacity to achieve their goals in 28 domains of their life (</w:t>
            </w:r>
            <w:proofErr w:type="gramStart"/>
            <w:r w:rsidRPr="00D207C4">
              <w:rPr>
                <w:rFonts w:ascii="Arial" w:eastAsia="Times New Roman" w:hAnsi="Arial" w:cs="Arial"/>
                <w:color w:val="000000"/>
                <w:sz w:val="18"/>
                <w:szCs w:val="18"/>
                <w:lang w:eastAsia="en-CA"/>
              </w:rPr>
              <w:t>e.g.</w:t>
            </w:r>
            <w:proofErr w:type="gramEnd"/>
            <w:r w:rsidRPr="00D207C4">
              <w:rPr>
                <w:rFonts w:ascii="Arial" w:eastAsia="Times New Roman" w:hAnsi="Arial" w:cs="Arial"/>
                <w:color w:val="000000"/>
                <w:sz w:val="18"/>
                <w:szCs w:val="18"/>
                <w:lang w:eastAsia="en-CA"/>
              </w:rPr>
              <w:t xml:space="preserve"> family life, work, leisure). These domains are classified into 9 sub-scales: health, cognitions, social, marital relationships, leisure times, work, household chores, affectivity, spirituality</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{"citationItems":[{"id":"ITEM-1","itemData":{"DOI":"10.1007/s11482-009-9058-x","ISSN":"18712576","abstract":"Health-related quality of life (QoL) is reduced in patients with recurrent vasovagal (VVS) or unexplained (US) syncope. Little is known regarding these patients' QoL as pertains to their capacity to attain their life goals. Factors influencing QoL, such as sex, syncope type and illness representations have not been studied. Our objective is to examine the relationship between illness representations and QoL, as well as possible sex and syncope type differences. One hundred and four patients undergoing tilt-table testing (TTT) for recurrent syncope were interviewed one month before TTT, using questionnaires. Data were analysed using ANCOVAs, a-priori Helmert contrasts for illness representations, and regressions. Patients with US had a poor QoL compared to those with VVS [F(1, 91)</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10.46; p</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&lt;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0.01], particularly in men (p</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&lt;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0.01). Patients with higher perceived syncope severity showed an impoverished QoL relative to those with less severe perceptions [F(1, 91)</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5.47; p</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&lt;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0.05]. A hierarchical regression revealed that illness representations mediate the impact of lifetime number of syncope on QoL. In conclusion, QoL is reduced in these patients, and is influenced by illness representations. Helping patients change their perceptions about their syncope may be an efficient way to promote QoL. © 2009 Springer Science+Business Media B.V./The International Society for Quality-of-Life Studies (ISQOLS).","author":[{"dropping-particle":"","family":"St-Jean","given":"Karine","non-dropping-particle":"","parse-names":false,"suffix":""},{"dropping-particle":"","family":"Kus","given":"Teresa","non-dropping-particle":"","parse-names":false,"suffix":""},{"dropping-particle":"","family":"Dupuis","given":"Gilles","non-dropping-particle":"","parse-names":false,"suffix":""},{"dropping-particle":"","family":"Lévesque","given":"Karine","non-dropping-particle":"","parse-names":false,"suffix":""},{"dropping-particle":"","family":"Thibault","given":"Bernard","non-dropping-particle":"","parse-names":false,"suffix":""},{"dropping-particle":"","family":"Guerra","given":"Peter G.","non-dropping-particle":"","parse-names":false,"suffix":""},{"dropping-particle":"","family":"Nadeau","given":"Reginald","non-dropping-particle":"","parse-names":false,"suffix":""},{"dropping-particle":"","family":"D'Antono","given":"Bianca","non-dropping-particle":"","parse-names":false,"suffix":""}],"container-title":"Applied Research in Quality of Life","id":"ITEM-1","issue":"4","issued":{"date-parts":[["2008","4","18"]]},"page":"235-249","publisher":"Springer Netherlands","title":"Quality of life in patients with recurrent vasovagal or unexplained syncope: Influence of sex, syncope type and illness representations","type":"article-journal","volume":"3"},"uris":["http://www.mendeley.com/documents/?uuid=25707638-507d-370a-88ff-4b7497b7b6e0"]}],"mendeley":{"formattedCitation":"[12]","plainTextFormattedCitation":"[12]","previouslyFormattedCitation":"[41]"},"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[12]</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 xml:space="preserve">. </w:t>
            </w:r>
          </w:p>
        </w:tc>
        <w:tc>
          <w:tcPr>
            <w:tcW w:w="4536" w:type="dxa"/>
          </w:tcPr>
          <w:p w14:paraId="518B333A" w14:textId="35633E7A"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Scores are provided for each of the nine sub-scales which are then used to calculate a global QoL score. Scores correspond to the gap between goals the individual has set for themselves, and their actual situation; increased scores reflect a larger gap and thus poorer quality of life</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{"citationItems":[{"id":"ITEM-1","itemData":{"DOI":"10.1007/s11482-009-9058-x","ISSN":"18712576","abstract":"Health-related quality of life (QoL) is reduced in patients with recurrent vasovagal (VVS) or unexplained (US) syncope. Little is known regarding these patients' QoL as pertains to their capacity to attain their life goals. Factors influencing QoL, such as sex, syncope type and illness representations have not been studied. Our objective is to examine the relationship between illness representations and QoL, as well as possible sex and syncope type differences. One hundred and four patients undergoing tilt-table testing (TTT) for recurrent syncope were interviewed one month before TTT, using questionnaires. Data were analysed using ANCOVAs, a-priori Helmert contrasts for illness representations, and regressions. Patients with US had a poor QoL compared to those with VVS [F(1, 91)</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10.46; p</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&lt;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0.01], particularly in men (p</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&lt;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0.01). Patients with higher perceived syncope severity showed an impoverished QoL relative to those with less severe perceptions [F(1, 91)</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5.47; p</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&lt;</w:instrText>
            </w:r>
            <w:r w:rsidR="00753C0A">
              <w:rPr>
                <w:rFonts w:ascii="Cambria Math" w:eastAsia="Times New Roman" w:hAnsi="Cambria Math" w:cs="Cambria Math"/>
                <w:color w:val="000000"/>
                <w:sz w:val="18"/>
                <w:szCs w:val="18"/>
                <w:lang w:eastAsia="en-CA"/>
              </w:rPr>
              <w:instrText>∈</w:instrText>
            </w:r>
            <w:r w:rsidR="00753C0A">
              <w:rPr>
                <w:rFonts w:ascii="Arial" w:eastAsia="Times New Roman" w:hAnsi="Arial" w:cs="Arial"/>
                <w:color w:val="000000"/>
                <w:sz w:val="18"/>
                <w:szCs w:val="18"/>
                <w:lang w:eastAsia="en-CA"/>
              </w:rPr>
              <w:instrText>0.05]. A hierarchical regression revealed that illness representations mediate the impact of lifetime number of syncope on QoL. In conclusion, QoL is reduced in these patients, and is influenced by illness representations. Helping patients change their perceptions about their syncope may be an efficient way to promote QoL. © 2009 Springer Science+Business Media B.V./The International Society for Quality-of-Life Studies (ISQOLS).","author":[{"dropping-particle":"","family":"St-Jean","given":"Karine","non-dropping-particle":"","parse-names":false,"suffix":""},{"dropping-particle":"","family":"Kus","given":"Teresa","non-dropping-particle":"","parse-names":false,"suffix":""},{"dropping-particle":"","family":"Dupuis","given":"Gilles","non-dropping-particle":"","parse-names":false,"suffix":""},{"dropping-particle":"","family":"Lévesque","given":"Karine","non-dropping-particle":"","parse-names":false,"suffix":""},{"dropping-particle":"","family":"Thibault","given":"Bernard","non-dropping-particle":"","parse-names":false,"suffix":""},{"dropping-particle":"","family":"Guerra","given":"Peter G.","non-dropping-particle":"","parse-names":false,"suffix":""},{"dropping-particle":"","family":"Nadeau","given":"Reginald","non-dropping-particle":"","parse-names":false,"suffix":""},{"dropping-particle":"","family":"D'Antono","given":"Bianca","non-dropping-particle":"","parse-names":false,"suffix":""}],"container-title":"Applied Research in Quality of Life","id":"ITEM-1","issue":"4","issued":{"date-parts":[["2008","4","18"]]},"page":"235-249","publisher":"Springer Netherlands","title":"Quality of life in patients with recurrent vasovagal or unexplained syncope: Influence of sex, syncope type and illness representations","type":"article-journal","volume":"3"},"uris":["http://www.mendeley.com/documents/?uuid=25707638-507d-370a-88ff-4b7497b7b6e0"]},{"id":"ITEM-2","itemData":{"PMID":"8111664","author":[{"dropping-particle":"","family":"Duquette","given":"RL","non-dropping-particle":"","parse-names":false,"suffix":""},{"dropping-particle":"","family":"Dupuis","given":"G","non-dropping-particle":"","parse-names":false,"suffix":""},{"dropping-particle":"","family":"Perrault","given":"J","non-dropping-particle":"","parse-names":false,"suffix":""}],"container-title":"Canadian Journal of Cardiology","id":"ITEM-2","issue":"1","issued":{"date-parts":[["1994","2"]]},"page":"106-112","title":"A new approach for quality of life assessment in cardiac patients: rationale and validation of the Quality of Life Systemic Inventory - PubMed","type":"article-journal","volume":"10"},"uris":["http://www.mendeley.com/documents/?uuid=eaecac24-d563-3e69-9a2a-15a647242729"]}],"mendeley":{"formattedCitation":"[12, 13]","plainTextFormattedCitation":"[12, 13]","previouslyFormattedCitation":"[41, 74]"},"properties":{"noteIndex":0},"schema":"https://github.com/citation-style-language/schema/raw/master/csl-citation.json"}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[12, 13]</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 xml:space="preserve">. </w:t>
            </w:r>
          </w:p>
        </w:tc>
        <w:tc>
          <w:tcPr>
            <w:tcW w:w="3260" w:type="dxa"/>
          </w:tcPr>
          <w:p w14:paraId="6439295C" w14:textId="668938FB"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Canadian population</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{"citationItems":[{"id":"ITEM-1","itemData":{"DOI":"10.1007/s11482-009-9058-x","ISSN":"18712576","abstract":"Health-related quality of life (QoL) is reduced in patients with recurrent vasovagal (VVS) or unexplained (US) syncope. Little is known regarding these patients' QoL as pertains to their capacity to attain their life goals. Factors influencing QoL, such as sex, syncope type and illness representations have not been studied. Our objective is to examine the relationship between illness representations and QoL, as well as possible sex and syncope type differences. One hundred and four patients undergoing tilt-table testing (TTT) for recurrent syncope were interviewed one month before TTT, using questionnaires. Data were analysed using ANCOVAs, a-priori Helmert contrasts for illness representations, and regressions. Patients with US had a poor QoL compared to those with VVS [F(1, 91)</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10.46; p</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&lt;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0.01], particularly in men (p</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&lt;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0.01). Patients with higher perceived syncope severity showed an impoverished QoL relative to those with less severe perceptions [F(1, 91)</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5.47; p</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&lt;</w:instrText>
            </w:r>
            <w:r w:rsidR="00753C0A">
              <w:rPr>
                <w:rFonts w:ascii="Cambria Math" w:eastAsia="Times New Roman" w:hAnsi="Cambria Math" w:cs="Cambria Math"/>
                <w:sz w:val="18"/>
                <w:szCs w:val="18"/>
                <w:lang w:eastAsia="en-CA"/>
              </w:rPr>
              <w:instrText>∈</w:instrText>
            </w:r>
            <w:r w:rsidR="00753C0A">
              <w:rPr>
                <w:rFonts w:ascii="Arial" w:eastAsia="Times New Roman" w:hAnsi="Arial" w:cs="Arial"/>
                <w:sz w:val="18"/>
                <w:szCs w:val="18"/>
                <w:lang w:eastAsia="en-CA"/>
              </w:rPr>
              <w:instrText>0.05]. A hierarchical regression revealed that illness representations mediate the impact of lifetime number of syncope on QoL. In conclusion, QoL is reduced in these patients, and is influenced by illness representations. Helping patients change their perceptions about their syncope may be an efficient way to promote QoL. © 2009 Springer Science+Business Media B.V./The International Society for Quality-of-Life Studies (ISQOLS).","author":[{"dropping-particle":"","family":"St-Jean","given":"Karine","non-dropping-particle":"","parse-names":false,"suffix":""},{"dropping-particle":"","family":"Kus","given":"Teresa","non-dropping-particle":"","parse-names":false,"suffix":""},{"dropping-particle":"","family":"Dupuis","given":"Gilles","non-dropping-particle":"","parse-names":false,"suffix":""},{"dropping-particle":"","family":"Lévesque","given":"Karine","non-dropping-particle":"","parse-names":false,"suffix":""},{"dropping-particle":"","family":"Thibault","given":"Bernard","non-dropping-particle":"","parse-names":false,"suffix":""},{"dropping-particle":"","family":"Guerra","given":"Peter G.","non-dropping-particle":"","parse-names":false,"suffix":""},{"dropping-particle":"","family":"Nadeau","given":"Reginald","non-dropping-particle":"","parse-names":false,"suffix":""},{"dropping-particle":"","family":"D'Antono","given":"Bianca","non-dropping-particle":"","parse-names":false,"suffix":""}],"container-title":"Applied Research in Quality of Life","id":"ITEM-1","issue":"4","issued":{"date-parts":[["2008","4","18"]]},"page":"235-249","publisher":"Springer Netherlands","title":"Quality of life in patients with recurrent vasovagal or unexplained syncope: Influence of sex, syncope type and illness representations","type":"article-journal","volume":"3"},"uris":["http://www.mendeley.com/documents/?uuid=25707638-507d-370a-88ff-4b7497b7b6e0"]}],"mendeley":{"formattedCitation":"[12]","plainTextFormattedCitation":"[12]","previouslyFormattedCitation":"[41]"},"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[12]</w:t>
            </w:r>
            <w:r w:rsidRPr="00D207C4">
              <w:rPr>
                <w:rFonts w:ascii="Arial" w:eastAsia="Times New Roman" w:hAnsi="Arial" w:cs="Arial"/>
                <w:sz w:val="18"/>
                <w:szCs w:val="18"/>
                <w:lang w:eastAsia="en-CA"/>
              </w:rPr>
              <w:fldChar w:fldCharType="end"/>
            </w:r>
          </w:p>
          <w:p w14:paraId="7FF4A0D5"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Global score = 3.8 </w:t>
            </w:r>
            <w:r w:rsidRPr="00D207C4">
              <w:rPr>
                <w:rFonts w:ascii="Arial" w:eastAsia="Times New Roman" w:hAnsi="Arial" w:cs="Arial"/>
                <w:sz w:val="18"/>
                <w:szCs w:val="18"/>
                <w:lang w:eastAsia="en-CA"/>
              </w:rPr>
              <w:t>±</w:t>
            </w:r>
            <w:r w:rsidRPr="00D207C4">
              <w:rPr>
                <w:rFonts w:ascii="Arial" w:eastAsia="Times New Roman" w:hAnsi="Arial" w:cs="Arial"/>
                <w:color w:val="000000"/>
                <w:sz w:val="18"/>
                <w:szCs w:val="18"/>
                <w:lang w:eastAsia="en-CA"/>
              </w:rPr>
              <w:t xml:space="preserve"> 3.9</w:t>
            </w:r>
          </w:p>
          <w:p w14:paraId="66CB1997"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Subscales range from .85 </w:t>
            </w:r>
            <w:r w:rsidRPr="00D207C4">
              <w:rPr>
                <w:rFonts w:ascii="Arial" w:eastAsia="Times New Roman" w:hAnsi="Arial" w:cs="Arial"/>
                <w:sz w:val="18"/>
                <w:szCs w:val="18"/>
                <w:lang w:eastAsia="en-CA"/>
              </w:rPr>
              <w:t>± 3.9 for the spirituality domain to 5.22 ± 7 for the leisure times domain.</w:t>
            </w:r>
          </w:p>
        </w:tc>
      </w:tr>
      <w:tr w:rsidR="00D207C4" w:rsidRPr="00D207C4" w14:paraId="54E72CC6" w14:textId="77777777" w:rsidTr="00C739AB">
        <w:trPr>
          <w:trHeight w:val="1144"/>
        </w:trPr>
        <w:tc>
          <w:tcPr>
            <w:tcW w:w="2830" w:type="dxa"/>
          </w:tcPr>
          <w:p w14:paraId="0D6DBF29" w14:textId="77777777" w:rsidR="00D207C4" w:rsidRPr="00D207C4" w:rsidRDefault="00D207C4" w:rsidP="00D207C4">
            <w:pPr>
              <w:numPr>
                <w:ilvl w:val="0"/>
                <w:numId w:val="28"/>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lastRenderedPageBreak/>
              <w:t>Healthy Days Core Module (CDC HRQOL-14)</w:t>
            </w:r>
          </w:p>
          <w:p w14:paraId="464B4735" w14:textId="77777777" w:rsidR="00D207C4" w:rsidRPr="00D207C4" w:rsidRDefault="00D207C4" w:rsidP="00D207C4">
            <w:pPr>
              <w:numPr>
                <w:ilvl w:val="0"/>
                <w:numId w:val="28"/>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50F7A8C0" w14:textId="77777777" w:rsidR="00D207C4" w:rsidRPr="00D207C4" w:rsidRDefault="00D207C4" w:rsidP="00D207C4">
            <w:pPr>
              <w:numPr>
                <w:ilvl w:val="0"/>
                <w:numId w:val="28"/>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 xml:space="preserve">1 </w:t>
            </w:r>
          </w:p>
          <w:p w14:paraId="4811A830"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686E1C7E" w14:textId="7AEE44C1"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The CDC HRQOL-14 is a 14-item questionnaire that is divided into three modules where </w:t>
            </w:r>
            <w:proofErr w:type="spellStart"/>
            <w:r w:rsidRPr="00D207C4">
              <w:rPr>
                <w:rFonts w:ascii="Arial" w:eastAsia="Times New Roman" w:hAnsi="Arial" w:cs="Arial"/>
                <w:color w:val="000000"/>
                <w:sz w:val="18"/>
                <w:szCs w:val="18"/>
                <w:lang w:eastAsia="en-CA"/>
              </w:rPr>
              <w:t>HRQoL</w:t>
            </w:r>
            <w:proofErr w:type="spellEnd"/>
            <w:r w:rsidRPr="00D207C4">
              <w:rPr>
                <w:rFonts w:ascii="Arial" w:eastAsia="Times New Roman" w:hAnsi="Arial" w:cs="Arial"/>
                <w:color w:val="000000"/>
                <w:sz w:val="18"/>
                <w:szCs w:val="18"/>
                <w:lang w:eastAsia="en-CA"/>
              </w:rPr>
              <w:t xml:space="preserve"> is assessed based on the number of days affected in the past month. The Healthy days Core Module asks about general, </w:t>
            </w:r>
            <w:proofErr w:type="gramStart"/>
            <w:r w:rsidRPr="00D207C4">
              <w:rPr>
                <w:rFonts w:ascii="Arial" w:eastAsia="Times New Roman" w:hAnsi="Arial" w:cs="Arial"/>
                <w:color w:val="000000"/>
                <w:sz w:val="18"/>
                <w:szCs w:val="18"/>
                <w:lang w:eastAsia="en-CA"/>
              </w:rPr>
              <w:t>physical</w:t>
            </w:r>
            <w:proofErr w:type="gramEnd"/>
            <w:r w:rsidRPr="00D207C4">
              <w:rPr>
                <w:rFonts w:ascii="Arial" w:eastAsia="Times New Roman" w:hAnsi="Arial" w:cs="Arial"/>
                <w:color w:val="000000"/>
                <w:sz w:val="18"/>
                <w:szCs w:val="18"/>
                <w:lang w:eastAsia="en-CA"/>
              </w:rPr>
              <w:t xml:space="preserve"> and mental health, and the number of days the respondent experienced poor physical or mental health. The Activity Limitations Module evaluates health related limitations, including the type of health problem, duration of limitation and need for assistance in daily activities. The Healthy Days Symptoms Module assesses symptoms, their frequency and impact on daily activities</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{"citationItems":[{"id":"ITEM-1","itemData":{"ISBN":"7704885464","author":[{"dropping-particle":"","family":"Centers for Disease Control and Prevention","given":"","non-dropping-particle":"","parse-names":false,"suffix":""}],"id":"ITEM-1","issued":{"date-parts":[["2000","11"]]},"publisher-place":"Atlanta, Georgia","title":"Measuring Healthy Days.","type":"report"},"uris":["http://www.mendeley.com/documents/?uuid=e5912f5b-430a-3798-8b2d-06283c1b3ddd"]},{"id":"ITEM-2","itemData":{"URL":"https://www.cdc.gov/hrqol/hrqol14_measure.htm","accessed":{"date-parts":[["2021","7","1"]]},"author":[{"dropping-particle":"","family":"Center for Disease Control","given":"","non-dropping-particle":"","parse-names":false,"suffix":""}],"id":"ITEM-2","issued":{"date-parts":[["0"]]},"title":"Healthy Days Core Module: HRQOL-14 Measure ","type":"webpage"},"uris":["http://www.mendeley.com/documents/?uuid=c6d4cc36-24ce-36b7-9461-b9095f63a2c5"]}],"mendeley":{"formattedCitation":"[14, 15]","plainTextFormattedCitation":"[14, 15]","previouslyFormattedCitation":"[75, 76]"},"properties":{"noteIndex":0},"schema":"https://github.com/citation-style-language/schema/raw/master/csl-citation.json"}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[14, 15]</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w:t>
            </w:r>
          </w:p>
        </w:tc>
        <w:tc>
          <w:tcPr>
            <w:tcW w:w="4536" w:type="dxa"/>
          </w:tcPr>
          <w:p w14:paraId="6347EC8E" w14:textId="1B039800"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The CDC HRQOL-14 does not use summary scales or scores, individual items were designed to be individual global indicators of </w:t>
            </w:r>
            <w:proofErr w:type="spellStart"/>
            <w:r w:rsidRPr="00D207C4">
              <w:rPr>
                <w:rFonts w:ascii="Arial" w:eastAsia="Times New Roman" w:hAnsi="Arial" w:cs="Arial"/>
                <w:color w:val="000000"/>
                <w:sz w:val="18"/>
                <w:szCs w:val="18"/>
                <w:lang w:eastAsia="en-CA"/>
              </w:rPr>
              <w:t>HRQoL</w:t>
            </w:r>
            <w:proofErr w:type="spellEnd"/>
            <w:r w:rsidRPr="00D207C4">
              <w:rPr>
                <w:rFonts w:ascii="Arial" w:eastAsia="Times New Roman" w:hAnsi="Arial" w:cs="Arial"/>
                <w:color w:val="000000"/>
                <w:sz w:val="18"/>
                <w:szCs w:val="18"/>
                <w:lang w:eastAsia="en-CA"/>
              </w:rPr>
              <w:t xml:space="preserve"> and activity limitations. The only calculated measure is the “unhealthy days” index which is calculated by adding unhealthy days due to mental health and physical health, with a maximum of 30 days</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{"citationItems":[{"id":"ITEM-1","itemData":{"ISBN":"7704885464","author":[{"dropping-particle":"","family":"Centers for Disease Control and Prevention","given":"","non-dropping-particle":"","parse-names":false,"suffix":""}],"id":"ITEM-1","issued":{"date-parts":[["2000","11"]]},"publisher-place":"Atlanta, Georgia","title":"Measuring Healthy Days.","type":"report"},"uris":["http://www.mendeley.com/documents/?uuid=e5912f5b-430a-3798-8b2d-06283c1b3ddd"]},{"id":"ITEM-2","itemData":{"URL":"https://www.cdc.gov/hrqol/hrqol14_measure.htm","accessed":{"date-parts":[["2021","7","1"]]},"author":[{"dropping-particle":"","family":"Center for Disease Control","given":"","non-dropping-particle":"","parse-names":false,"suffix":""}],"id":"ITEM-2","issued":{"date-parts":[["0"]]},"title":"Healthy Days Core Module: HRQOL-14 Measure ","type":"webpage"},"uris":["http://www.mendeley.com/documents/?uuid=c6d4cc36-24ce-36b7-9461-b9095f63a2c5"]}],"mendeley":{"formattedCitation":"[14, 15]","plainTextFormattedCitation":"[14, 15]","previouslyFormattedCitation":"[75, 76]"},"properties":{"noteIndex":0},"schema":"https://github.com/citation-style-language/schema/raw/master/csl-citation.json"}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[14, 15]</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 xml:space="preserve">. </w:t>
            </w:r>
          </w:p>
        </w:tc>
        <w:tc>
          <w:tcPr>
            <w:tcW w:w="3260" w:type="dxa"/>
          </w:tcPr>
          <w:p w14:paraId="594AFB2C" w14:textId="315FDE4E"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U.S. population (n=198,508)</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{"citationItems":[{"id":"ITEM-1","itemData":{"author":[{"dropping-particle":"","family":"Zahran","given":"Hatice S.","non-dropping-particle":"","parse-names":false,"suffix":""},{"dropping-particle":"","family":"Kobau","given":"Rosemarie","non-dropping-particle":"","parse-names":false,"suffix":""},{"dropping-particle":"","family":"Moriarty","given":"David G.","non-dropping-particle":"","parse-names":false,"suffix":""},{"dropping-particle":"","family":"Zack","given":"Matthew M.","non-dropping-particle":"","parse-names":false,"suffix":""},{"dropping-particle":"","family":"Holt","given":"James","non-dropping-particle":"","parse-names":false,"suffix":""},{"dropping-particle":"","family":"Donehoo","given":"Ralph","non-dropping-particle":"","parse-names":false,"suffix":""}],"id":"ITEM-1","issued":{"date-parts":[["0"]]},"title":"Health-Related Quality of Life Surveillance --- United States, 1993--2002","type":"report"},"uris":["http://www.mendeley.com/documents/?uuid=3b990f14-939c-3cc9-b81c-0239ef7173f1"]}],"mendeley":{"formattedCitation":"[16]","plainTextFormattedCitation":"[16]","previouslyFormattedCitation":"[77]"},"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[16]</w:t>
            </w:r>
            <w:r w:rsidRPr="00D207C4">
              <w:rPr>
                <w:rFonts w:ascii="Arial" w:eastAsia="Times New Roman" w:hAnsi="Arial" w:cs="Arial"/>
                <w:color w:val="000000"/>
                <w:sz w:val="18"/>
                <w:szCs w:val="18"/>
                <w:lang w:eastAsia="en-CA"/>
              </w:rPr>
              <w:fldChar w:fldCharType="end"/>
            </w:r>
          </w:p>
          <w:p w14:paraId="2C929CEE"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Mean number of days in past 30 days: </w:t>
            </w:r>
          </w:p>
          <w:p w14:paraId="0F9B170D"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Healthy days: 24.7</w:t>
            </w:r>
          </w:p>
          <w:p w14:paraId="4BD0173A"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Unhealthy days: 6.0±0.1</w:t>
            </w:r>
          </w:p>
          <w:p w14:paraId="0917ED2E"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Poor physical health: 3.5±0.1</w:t>
            </w:r>
          </w:p>
          <w:p w14:paraId="75F2C0C5"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Poor mental health: 3.4±0.1</w:t>
            </w:r>
          </w:p>
          <w:p w14:paraId="7CDA3535"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Activity limitations: 2.0±0.1</w:t>
            </w:r>
          </w:p>
          <w:p w14:paraId="5A3824F8"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Pain: 2.6</w:t>
            </w:r>
          </w:p>
          <w:p w14:paraId="36EF1B88"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Sad, blue, depressed:3.0</w:t>
            </w:r>
          </w:p>
          <w:p w14:paraId="0DFFF74B"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Anxious: 5.2</w:t>
            </w:r>
          </w:p>
          <w:p w14:paraId="2FBEA548"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Sleepless: 7.6</w:t>
            </w:r>
          </w:p>
          <w:p w14:paraId="3FD77500"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Full of energy: 19.0</w:t>
            </w:r>
          </w:p>
          <w:p w14:paraId="47B06388"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6"/>
                <w:szCs w:val="16"/>
                <w:lang w:eastAsia="en-CA"/>
              </w:rPr>
              <w:t>*No measure of error reported for mean number or days with pain, sad/blue/depressed, anxious, or sleepless.</w:t>
            </w:r>
          </w:p>
        </w:tc>
      </w:tr>
      <w:tr w:rsidR="00D207C4" w:rsidRPr="00D207C4" w14:paraId="12E0D62D" w14:textId="77777777" w:rsidTr="00C739AB">
        <w:trPr>
          <w:trHeight w:val="1144"/>
        </w:trPr>
        <w:tc>
          <w:tcPr>
            <w:tcW w:w="2830" w:type="dxa"/>
          </w:tcPr>
          <w:p w14:paraId="43AD9600" w14:textId="77777777" w:rsidR="00D207C4" w:rsidRPr="00D207C4" w:rsidRDefault="00D207C4" w:rsidP="00D207C4">
            <w:pPr>
              <w:numPr>
                <w:ilvl w:val="0"/>
                <w:numId w:val="29"/>
              </w:numPr>
              <w:tabs>
                <w:tab w:val="left" w:pos="3952"/>
              </w:tabs>
              <w:spacing w:before="0" w:after="0"/>
              <w:ind w:left="306"/>
              <w:rPr>
                <w:rFonts w:ascii="Arial" w:eastAsia="Calibri" w:hAnsi="Arial" w:cs="Arial"/>
                <w:sz w:val="18"/>
                <w:szCs w:val="18"/>
              </w:rPr>
            </w:pPr>
            <w:bookmarkStart w:id="0" w:name="_Hlk85186562"/>
            <w:r w:rsidRPr="00D207C4">
              <w:rPr>
                <w:rFonts w:ascii="Arial" w:eastAsia="Calibri" w:hAnsi="Arial" w:cs="Arial"/>
                <w:sz w:val="18"/>
                <w:szCs w:val="18"/>
              </w:rPr>
              <w:t>Personal Well-being Index – Adult form (PWI-A)</w:t>
            </w:r>
          </w:p>
          <w:bookmarkEnd w:id="0"/>
          <w:p w14:paraId="75605151" w14:textId="77777777" w:rsidR="00D207C4" w:rsidRPr="00D207C4" w:rsidRDefault="00D207C4" w:rsidP="00D207C4">
            <w:pPr>
              <w:numPr>
                <w:ilvl w:val="0"/>
                <w:numId w:val="29"/>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QoL</w:t>
            </w:r>
          </w:p>
          <w:p w14:paraId="0B1C9008" w14:textId="77777777" w:rsidR="00D207C4" w:rsidRPr="00D207C4" w:rsidRDefault="00D207C4" w:rsidP="00D207C4">
            <w:pPr>
              <w:numPr>
                <w:ilvl w:val="0"/>
                <w:numId w:val="29"/>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 xml:space="preserve">1 </w:t>
            </w:r>
          </w:p>
          <w:p w14:paraId="61CE4345" w14:textId="77777777" w:rsidR="00D207C4" w:rsidRPr="00D207C4" w:rsidRDefault="00D207C4" w:rsidP="00D207C4">
            <w:pPr>
              <w:tabs>
                <w:tab w:val="left" w:pos="3952"/>
              </w:tabs>
              <w:spacing w:before="0" w:after="0"/>
              <w:ind w:left="306"/>
              <w:rPr>
                <w:rFonts w:ascii="Arial" w:eastAsia="Calibri" w:hAnsi="Arial" w:cs="Arial"/>
                <w:sz w:val="18"/>
                <w:szCs w:val="18"/>
              </w:rPr>
            </w:pPr>
          </w:p>
        </w:tc>
        <w:tc>
          <w:tcPr>
            <w:tcW w:w="4253" w:type="dxa"/>
          </w:tcPr>
          <w:p w14:paraId="40F78908" w14:textId="2F4D1B5D"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A seven-item questionnaire where respondents are asked to rate their satisfaction in seven domains of well-being: standard of living, health, achieving in life, personal relationships, safety, community connectedness and future security. There are two additional optional items, one that assesses general life satisfaction and one that assesses satisfaction in the domain of spirituality and religion</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{"citationItems":[{"id":"ITEM-1","itemData":{"ISBN":"978-1-74156-177-7","author":[{"dropping-particle":"","family":"International Wellbeing Group","given":"","non-dropping-particle":"","parse-names":false,"suffix":""}],"edition":"5th edition","id":"ITEM-1","issued":{"date-parts":[["2013"]]},"publisher":"Australian Centre on Quality of Life, Deakin University","publisher-place":"Melbourne, Australia","title":"Personal Wellbeing Index: 5th Edition","type":"report"},"uris":["http://www.mendeley.com/documents/?uuid=b336da48-131a-3bce-a905-2d8b112023aa"]}],"mendeley":{"formattedCitation":"[17]","plainTextFormattedCitation":"[17]","previouslyFormattedCitation":"[78]"},"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[17]</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w:t>
            </w:r>
          </w:p>
        </w:tc>
        <w:tc>
          <w:tcPr>
            <w:tcW w:w="4536" w:type="dxa"/>
          </w:tcPr>
          <w:p w14:paraId="7350BF03" w14:textId="072D37C0"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Each item is rated on an 11-point End-Defined Response Scale (0-10): 0 represents complete dissatisfaction and 10 represents complete satisfaction. Items are linearly converted to a 0-100 scale. Each domain can be analyzed as a separate variable, or the domain scores can be summed to yield an average score with represents “Subjective Wellbeing”. The spirituality or religion item can be included in this index, but the general life satisfaction item should be analyzed as a separate variable</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{"citationItems":[{"id":"ITEM-1","itemData":{"ISBN":"978-1-74156-177-7","author":[{"dropping-particle":"","family":"International Wellbeing Group","given":"","non-dropping-particle":"","parse-names":false,"suffix":""}],"edition":"5th edition","id":"ITEM-1","issued":{"date-parts":[["2013"]]},"publisher":"Australian Centre on Quality of Life, Deakin University","publisher-place":"Melbourne, Australia","title":"Personal Wellbeing Index: 5th Edition","type":"report"},"uris":["http://www.mendeley.com/documents/?uuid=b336da48-131a-3bce-a905-2d8b112023aa"]}],"mendeley":{"formattedCitation":"[17]","plainTextFormattedCitation":"[17]","previouslyFormattedCitation":"[78]"},"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[17]</w:t>
            </w:r>
            <w:r w:rsidRPr="00D207C4">
              <w:rPr>
                <w:rFonts w:ascii="Arial" w:eastAsia="Times New Roman" w:hAnsi="Arial" w:cs="Arial"/>
                <w:color w:val="000000"/>
                <w:sz w:val="18"/>
                <w:szCs w:val="18"/>
                <w:lang w:eastAsia="en-CA"/>
              </w:rPr>
              <w:fldChar w:fldCharType="end"/>
            </w:r>
            <w:r w:rsidRPr="00D207C4">
              <w:rPr>
                <w:rFonts w:ascii="Arial" w:eastAsia="Times New Roman" w:hAnsi="Arial" w:cs="Arial"/>
                <w:color w:val="000000"/>
                <w:sz w:val="18"/>
                <w:szCs w:val="18"/>
                <w:lang w:eastAsia="en-CA"/>
              </w:rPr>
              <w:t>.</w:t>
            </w:r>
          </w:p>
        </w:tc>
        <w:tc>
          <w:tcPr>
            <w:tcW w:w="3260" w:type="dxa"/>
          </w:tcPr>
          <w:p w14:paraId="7BBCBE63" w14:textId="77777777"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sz w:val="18"/>
                <w:szCs w:val="18"/>
                <w:lang w:eastAsia="en-CA"/>
              </w:rPr>
              <w:t>North American population normative data not available.</w:t>
            </w:r>
          </w:p>
        </w:tc>
      </w:tr>
      <w:tr w:rsidR="00D207C4" w:rsidRPr="00D207C4" w14:paraId="6CCB05EF" w14:textId="77777777" w:rsidTr="00C739AB">
        <w:trPr>
          <w:trHeight w:val="1142"/>
        </w:trPr>
        <w:tc>
          <w:tcPr>
            <w:tcW w:w="2830" w:type="dxa"/>
          </w:tcPr>
          <w:p w14:paraId="568539B6" w14:textId="77777777" w:rsidR="00D207C4" w:rsidRPr="00D207C4" w:rsidRDefault="00D207C4" w:rsidP="00D207C4">
            <w:pPr>
              <w:numPr>
                <w:ilvl w:val="0"/>
                <w:numId w:val="30"/>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Sickness Impact Profile (SIP)</w:t>
            </w:r>
          </w:p>
          <w:p w14:paraId="5003F241" w14:textId="77777777" w:rsidR="00D207C4" w:rsidRPr="00D207C4" w:rsidRDefault="00D207C4" w:rsidP="00D207C4">
            <w:pPr>
              <w:numPr>
                <w:ilvl w:val="0"/>
                <w:numId w:val="30"/>
              </w:numPr>
              <w:tabs>
                <w:tab w:val="left" w:pos="3952"/>
              </w:tabs>
              <w:spacing w:before="0" w:after="0"/>
              <w:ind w:left="313"/>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42717A1C" w14:textId="77777777" w:rsidR="00D207C4" w:rsidRPr="00D207C4" w:rsidRDefault="00D207C4" w:rsidP="00D207C4">
            <w:pPr>
              <w:numPr>
                <w:ilvl w:val="0"/>
                <w:numId w:val="30"/>
              </w:numPr>
              <w:tabs>
                <w:tab w:val="left" w:pos="3952"/>
              </w:tabs>
              <w:spacing w:before="0" w:after="0"/>
              <w:ind w:left="313"/>
              <w:rPr>
                <w:rFonts w:ascii="Arial" w:eastAsia="Calibri" w:hAnsi="Arial" w:cs="Arial"/>
                <w:sz w:val="18"/>
                <w:szCs w:val="18"/>
              </w:rPr>
            </w:pPr>
            <w:r w:rsidRPr="00D207C4">
              <w:rPr>
                <w:rFonts w:ascii="Arial" w:eastAsia="Calibri" w:hAnsi="Arial" w:cs="Arial"/>
                <w:sz w:val="18"/>
                <w:szCs w:val="18"/>
              </w:rPr>
              <w:t>1</w:t>
            </w:r>
          </w:p>
          <w:p w14:paraId="16665D7D" w14:textId="77777777" w:rsidR="00D207C4" w:rsidRPr="00D207C4" w:rsidRDefault="00D207C4" w:rsidP="00D207C4">
            <w:pPr>
              <w:tabs>
                <w:tab w:val="left" w:pos="3952"/>
              </w:tabs>
              <w:spacing w:before="0" w:after="0"/>
              <w:ind w:left="306"/>
              <w:rPr>
                <w:rFonts w:ascii="Arial" w:eastAsia="Calibri" w:hAnsi="Arial" w:cs="Arial"/>
                <w:sz w:val="18"/>
                <w:szCs w:val="18"/>
              </w:rPr>
            </w:pPr>
          </w:p>
        </w:tc>
        <w:tc>
          <w:tcPr>
            <w:tcW w:w="4253" w:type="dxa"/>
          </w:tcPr>
          <w:p w14:paraId="701D4BAA" w14:textId="1B02378F"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A 136-item questionnaire evaluating the impact of sickness on 12 domains of activities of daily living (ambulation, mobility, body care and movement, social interaction, communication, alertness behaviour, emotional behaviour, sleep and rest, eating, work, home management, and recreation and pass-times). The respondent is asked to check only the statements that describe them on a given day and are related to their health.</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{"citationItems":[{"id":"ITEM-1","itemData":{"DOI":"10.1097/00005650-198108000-00001","ISSN":"15371948","PMID":"7278416","abstract":"The final development of the Sickness Impact Profile (SIP), a behaviorally based measure of health status, is presented. A large field trial on a random sample of prepaid group practice enrollees and smaller trials on samples of patients with hyperthyroidism, rheumatoid arthritis and hip replacements were undertaken to assess reliability and validity of the SIP and provide data for category and item analyses. Test-retest reliability (r = 0.92) and internal consistency (r = 0.94) were high. Convergent and discriminant validity was evaluated using the multitrait-multimethod technique. Clinical validity was assessed by determining the relationship between clinical measures of disease and the SIP scores. The relationship between the SIP and criterion measures were moderate to high and in the direction hypotheszed. A technique for describing and assessing similarities and differences among groups was developed using profile and pattern analysis. The final SIP contains 136 items in 12 categories. Overall, category, and dimension scores may be calculated. © J. B. Lippincott Co.","author":[{"dropping-particle":"","family":"Bergner","given":"Marilyn","non-dropping-particle":"","parse-names":false,"suffix":""},{"dropping-particle":"","family":"Bobbitt","given":"Ruth A.","non-dropping-particle":"","parse-names":false,"suffix":""},{"dropping-particle":"","family":"Carter","given":"William B.","non-dropping-particle":"","parse-names":false,"suffix":""},{"dropping-particle":"","family":"Gilson","given":"Betty S.","non-dropping-particle":"","parse-names":false,"suffix":""}],"container-title":"Medical Care","id":"ITEM-1","issue":"8","issued":{"date-parts":[["1981"]]},"page":"787-805","publisher":"Med Care","title":"The sickness impact profile: Development and final revision of a health status measure","type":"article-journal","volume":"19"},"uris":["http://www.mendeley.com/documents/?uuid=4548e00d-ad07-3da7-a28f-7279dfe4e3b7"]}],"mendeley":{"formattedCitation":"[18]","plainTextFormattedCitation":"[18]","previouslyFormattedCitation":"[79]"},"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[18]</w:t>
            </w:r>
            <w:r w:rsidRPr="00D207C4">
              <w:rPr>
                <w:rFonts w:ascii="Arial" w:eastAsia="Times New Roman" w:hAnsi="Arial" w:cs="Arial"/>
                <w:color w:val="000000"/>
                <w:sz w:val="18"/>
                <w:szCs w:val="18"/>
                <w:lang w:eastAsia="en-CA"/>
              </w:rPr>
              <w:fldChar w:fldCharType="end"/>
            </w:r>
          </w:p>
        </w:tc>
        <w:tc>
          <w:tcPr>
            <w:tcW w:w="4536" w:type="dxa"/>
          </w:tcPr>
          <w:p w14:paraId="2EECAEFF" w14:textId="6FFB0779"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The SIP yields a total score (overall measure of function), two-dimension scores (physical and psychosocial dimensions of function) and 12 category scores. Each of these scores is calculated as a percentage of the # of items checked by the respondent in the given category or dimension over the total number of items in the category or dimension. </w:t>
            </w:r>
            <w:r w:rsidRPr="00D207C4">
              <w:rPr>
                <w:rFonts w:ascii="Arial" w:eastAsia="Times New Roman" w:hAnsi="Arial" w:cs="Arial"/>
                <w:color w:val="000000"/>
                <w:sz w:val="18"/>
                <w:szCs w:val="18"/>
                <w:lang w:eastAsia="en-CA"/>
              </w:rPr>
              <w:fldChar w:fldCharType="begin" w:fldLock="1"/>
            </w:r>
            <w:r w:rsidR="00753C0A">
              <w:rPr>
                <w:rFonts w:ascii="Arial" w:eastAsia="Times New Roman" w:hAnsi="Arial" w:cs="Arial"/>
                <w:color w:val="000000"/>
                <w:sz w:val="18"/>
                <w:szCs w:val="18"/>
                <w:lang w:eastAsia="en-CA"/>
              </w:rPr>
              <w:instrText>ADDIN CSL_CITATION {"citationItems":[{"id":"ITEM-1","itemData":{"DOI":"10.1097/00005650-198108000-00001","ISSN":"15371948","PMID":"7278416","abstract":"The final development of the Sickness Impact Profile (SIP), a behaviorally based measure of health status, is presented. A large field trial on a random sample of prepaid group practice enrollees and smaller trials on samples of patients with hyperthyroidism, rheumatoid arthritis and hip replacements were undertaken to assess reliability and validity of the SIP and provide data for category and item analyses. Test-retest reliability (r = 0.92) and internal consistency (r = 0.94) were high. Convergent and discriminant validity was evaluated using the multitrait-multimethod technique. Clinical validity was assessed by determining the relationship between clinical measures of disease and the SIP scores. The relationship between the SIP and criterion measures were moderate to high and in the direction hypotheszed. A technique for describing and assessing similarities and differences among groups was developed using profile and pattern analysis. The final SIP contains 136 items in 12 categories. Overall, category, and dimension scores may be calculated. © J. B. Lippincott Co.","author":[{"dropping-particle":"","family":"Bergner","given":"Marilyn","non-dropping-particle":"","parse-names":false,"suffix":""},{"dropping-particle":"","family":"Bobbitt","given":"Ruth A.","non-dropping-particle":"","parse-names":false,"suffix":""},{"dropping-particle":"","family":"Carter","given":"William B.","non-dropping-particle":"","parse-names":false,"suffix":""},{"dropping-particle":"","family":"Gilson","given":"Betty S.","non-dropping-particle":"","parse-names":false,"suffix":""}],"container-title":"Medical Care","id":"ITEM-1","issue":"8","issued":{"date-parts":[["1981"]]},"page":"787-805","publisher":"Med Care","title":"The sickness impact profile: Development and final revision of a health status measure","type":"article-journal","volume":"19"},"uris":["http://www.mendeley.com/documents/?uuid=4548e00d-ad07-3da7-a28f-7279dfe4e3b7"]}],"mendeley":{"formattedCitation":"[18]","plainTextFormattedCitation":"[18]","previouslyFormattedCitation":"[79]"},"properties":{"noteIndex":0},"schema":"https://github.com/citation-style-language/schema/raw/master/csl-citation.json"}</w:instrText>
            </w:r>
            <w:r w:rsidRPr="00D207C4">
              <w:rPr>
                <w:rFonts w:ascii="Arial" w:eastAsia="Times New Roman" w:hAnsi="Arial" w:cs="Arial"/>
                <w:color w:val="000000"/>
                <w:sz w:val="18"/>
                <w:szCs w:val="18"/>
                <w:lang w:eastAsia="en-CA"/>
              </w:rPr>
              <w:fldChar w:fldCharType="separate"/>
            </w:r>
            <w:r w:rsidR="00753C0A" w:rsidRPr="00753C0A">
              <w:rPr>
                <w:rFonts w:ascii="Arial" w:eastAsia="Times New Roman" w:hAnsi="Arial" w:cs="Arial"/>
                <w:noProof/>
                <w:color w:val="000000"/>
                <w:sz w:val="18"/>
                <w:szCs w:val="18"/>
                <w:lang w:eastAsia="en-CA"/>
              </w:rPr>
              <w:t>[18]</w:t>
            </w:r>
            <w:r w:rsidRPr="00D207C4">
              <w:rPr>
                <w:rFonts w:ascii="Arial" w:eastAsia="Times New Roman" w:hAnsi="Arial" w:cs="Arial"/>
                <w:color w:val="000000"/>
                <w:sz w:val="18"/>
                <w:szCs w:val="18"/>
                <w:lang w:eastAsia="en-CA"/>
              </w:rPr>
              <w:fldChar w:fldCharType="end"/>
            </w:r>
          </w:p>
        </w:tc>
        <w:tc>
          <w:tcPr>
            <w:tcW w:w="3260" w:type="dxa"/>
          </w:tcPr>
          <w:p w14:paraId="49023864" w14:textId="38236359"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color w:val="000000"/>
                <w:sz w:val="18"/>
                <w:szCs w:val="18"/>
                <w:lang w:eastAsia="en-CA"/>
              </w:rPr>
              <w:t xml:space="preserve">U.S. population (n=696) </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{"citationItems":[{"id":"ITEM-1","itemData":{"DOI":"10.1097/00005650-198108000-00001","ISSN":"15371948","PMID":"7278416","abstract":"The final development of the Sickness Impact Profile (SIP), a behaviorally based measure of health status, is presented. A large field trial on a random sample of prepaid group practice enrollees and smaller trials on samples of patients with hyperthyroidism, rheumatoid arthritis and hip replacements were undertaken to assess reliability and validity of the SIP and provide data for category and item analyses. Test-retest reliability (r = 0.92) and internal consistency (r = 0.94) were high. Convergent and discriminant validity was evaluated using the multitrait-multimethod technique. Clinical validity was assessed by determining the relationship between clinical measures of disease and the SIP scores. The relationship between the SIP and criterion measures were moderate to high and in the direction hypotheszed. A technique for describing and assessing similarities and differences among groups was developed using profile and pattern analysis. The final SIP contains 136 items in 12 categories. Overall, category, and dimension scores may be calculated. © J. B. Lippincott Co.","author":[{"dropping-particle":"","family":"Bergner","given":"Marilyn","non-dropping-particle":"","parse-names":false,"suffix":""},{"dropping-particle":"","family":"Bobbitt","given":"Ruth A.","non-dropping-particle":"","parse-names":false,"suffix":""},{"dropping-particle":"","family":"Carter","given":"William B.","non-dropping-particle":"","parse-names":false,"suffix":""},{"dropping-particle":"","family":"Gilson","given":"Betty S.","non-dropping-particle":"","parse-names":false,"suffix":""}],"container-title":"Medical Care","id":"ITEM-1","issue":"8","issued":{"date-parts":[["1981"]]},"page":"787-805","publisher":"Med Care","title":"The sickness impact profile: Development and final revision of a health status measure","type":"article-journal","volume":"19"},"uris":["http://www.mendeley.com/documents/?uuid=4548e00d-ad07-3da7-a28f-7279dfe4e3b7"]}],"mendeley":{"formattedCitation":"[18]","plainTextFormattedCitation":"[18]","previouslyFormattedCitation":"[79]"},"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[18]</w:t>
            </w:r>
            <w:r w:rsidRPr="00D207C4">
              <w:rPr>
                <w:rFonts w:ascii="Arial" w:eastAsia="Times New Roman" w:hAnsi="Arial" w:cs="Arial"/>
                <w:sz w:val="18"/>
                <w:szCs w:val="18"/>
                <w:lang w:eastAsia="en-CA"/>
              </w:rPr>
              <w:fldChar w:fldCharType="end"/>
            </w:r>
          </w:p>
          <w:p w14:paraId="753A204D" w14:textId="77777777" w:rsidR="00D207C4" w:rsidRPr="00D207C4" w:rsidRDefault="00D207C4" w:rsidP="00D207C4">
            <w:pPr>
              <w:spacing w:before="0" w:after="0"/>
              <w:jc w:val="both"/>
              <w:rPr>
                <w:rFonts w:ascii="Arial" w:eastAsia="Times New Roman" w:hAnsi="Arial" w:cs="Arial"/>
                <w:sz w:val="18"/>
                <w:szCs w:val="18"/>
                <w:lang w:eastAsia="en-CA"/>
              </w:rPr>
            </w:pPr>
            <w:r w:rsidRPr="00D207C4">
              <w:rPr>
                <w:rFonts w:ascii="Arial" w:eastAsia="Times New Roman" w:hAnsi="Arial" w:cs="Arial"/>
                <w:color w:val="000000"/>
                <w:sz w:val="18"/>
                <w:szCs w:val="18"/>
                <w:lang w:eastAsia="en-CA"/>
              </w:rPr>
              <w:t xml:space="preserve">Total score: 3.6 </w:t>
            </w:r>
            <w:r w:rsidRPr="00D207C4">
              <w:rPr>
                <w:rFonts w:ascii="Arial" w:eastAsia="Times New Roman" w:hAnsi="Arial" w:cs="Arial"/>
                <w:sz w:val="18"/>
                <w:szCs w:val="18"/>
                <w:lang w:eastAsia="en-CA"/>
              </w:rPr>
              <w:t xml:space="preserve">± 5.3 </w:t>
            </w:r>
          </w:p>
          <w:p w14:paraId="51F63138" w14:textId="24B3C9C1" w:rsidR="00D207C4" w:rsidRPr="00D207C4" w:rsidRDefault="00D207C4" w:rsidP="00D207C4">
            <w:pPr>
              <w:spacing w:before="0" w:after="0"/>
              <w:jc w:val="both"/>
              <w:rPr>
                <w:rFonts w:ascii="Arial" w:eastAsia="Times New Roman" w:hAnsi="Arial" w:cs="Arial"/>
                <w:color w:val="000000"/>
                <w:sz w:val="18"/>
                <w:szCs w:val="18"/>
                <w:lang w:eastAsia="en-CA"/>
              </w:rPr>
            </w:pPr>
            <w:r w:rsidRPr="00D207C4">
              <w:rPr>
                <w:rFonts w:ascii="Arial" w:eastAsia="Times New Roman" w:hAnsi="Arial" w:cs="Arial"/>
                <w:sz w:val="18"/>
                <w:szCs w:val="18"/>
                <w:lang w:eastAsia="en-CA"/>
              </w:rPr>
              <w:t>No normative data otherwise available</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{"citationItems":[{"id":"ITEM-1","itemData":{"DOI":"10.1007/978-94-007-0753-5_2702","ISBN":"978-94-007-0753-5","author":[{"dropping-particle":"","family":"Wu","given":"Albert W","non-dropping-particle":"","parse-names":false,"suffix":""},{"dropping-particle":"","family":"Skinner","given":"Elizabeth A","non-dropping-particle":"","parse-names":false,"suffix":""},{"dropping-particle":"","family":"Pfoh","given":"Elizabeth","non-dropping-particle":"","parse-names":false,"suffix":""},{"dropping-particle":"","family":"Steinwachs","given":"Donald M","non-dropping-particle":"","parse-names":false,"suffix":""}],"container-title":"Encyclopedia of Quality of Life and Well-Being Research","editor":[{"dropping-particle":"","family":"Michalos","given":"Alex C","non-dropping-particle":"","parse-names":false,"suffix":""}],"id":"ITEM-1","issued":{"date-parts":[["2014"]]},"page":"5959-5963","publisher":"Springer Netherlands","publisher-place":"Dordrecht","title":"Sickness Impact Profile (SIP)","type":"chapter"},"uris":["http://www.mendeley.com/documents/?uuid=b4b2daa0-6c27-43e8-943f-63cc985bd4f8"]}],"mendeley":{"formattedCitation":"[19]","plainTextFormattedCitation":"[19]","previouslyFormattedCitation":"[80]"},"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[19]</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w:t>
            </w:r>
          </w:p>
        </w:tc>
      </w:tr>
      <w:tr w:rsidR="00D207C4" w:rsidRPr="00D207C4" w14:paraId="5158333C" w14:textId="77777777" w:rsidTr="00C739AB">
        <w:tc>
          <w:tcPr>
            <w:tcW w:w="2830" w:type="dxa"/>
          </w:tcPr>
          <w:p w14:paraId="43AFA4CD" w14:textId="77777777" w:rsidR="00D207C4" w:rsidRPr="00D207C4" w:rsidRDefault="00D207C4" w:rsidP="00D207C4">
            <w:pPr>
              <w:numPr>
                <w:ilvl w:val="0"/>
                <w:numId w:val="32"/>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Patient-Reported Outcomes Measurement Information System, short form (PROMIS-10 global)</w:t>
            </w:r>
          </w:p>
          <w:p w14:paraId="4452136E" w14:textId="77777777" w:rsidR="00D207C4" w:rsidRPr="00D207C4" w:rsidRDefault="00D207C4" w:rsidP="00D207C4">
            <w:pPr>
              <w:numPr>
                <w:ilvl w:val="0"/>
                <w:numId w:val="32"/>
              </w:numPr>
              <w:tabs>
                <w:tab w:val="left" w:pos="3952"/>
              </w:tabs>
              <w:spacing w:before="0" w:after="0"/>
              <w:ind w:left="306"/>
              <w:rPr>
                <w:rFonts w:ascii="Arial" w:eastAsia="Calibri" w:hAnsi="Arial" w:cs="Arial"/>
                <w:sz w:val="18"/>
                <w:szCs w:val="18"/>
              </w:rPr>
            </w:pPr>
            <w:proofErr w:type="spellStart"/>
            <w:r w:rsidRPr="00D207C4">
              <w:rPr>
                <w:rFonts w:ascii="Arial" w:eastAsia="Calibri" w:hAnsi="Arial" w:cs="Arial"/>
                <w:sz w:val="18"/>
                <w:szCs w:val="18"/>
              </w:rPr>
              <w:t>HRQoL</w:t>
            </w:r>
            <w:proofErr w:type="spellEnd"/>
          </w:p>
          <w:p w14:paraId="1BC03D54" w14:textId="77777777" w:rsidR="00D207C4" w:rsidRPr="00D207C4" w:rsidRDefault="00D207C4" w:rsidP="00D207C4">
            <w:pPr>
              <w:numPr>
                <w:ilvl w:val="0"/>
                <w:numId w:val="32"/>
              </w:numPr>
              <w:tabs>
                <w:tab w:val="left" w:pos="3952"/>
              </w:tabs>
              <w:spacing w:before="0" w:after="0"/>
              <w:ind w:left="306"/>
              <w:rPr>
                <w:rFonts w:ascii="Arial" w:eastAsia="Calibri" w:hAnsi="Arial" w:cs="Arial"/>
                <w:sz w:val="18"/>
                <w:szCs w:val="18"/>
              </w:rPr>
            </w:pPr>
            <w:r w:rsidRPr="00D207C4">
              <w:rPr>
                <w:rFonts w:ascii="Arial" w:eastAsia="Calibri" w:hAnsi="Arial" w:cs="Arial"/>
                <w:sz w:val="18"/>
                <w:szCs w:val="18"/>
              </w:rPr>
              <w:t>1</w:t>
            </w:r>
          </w:p>
          <w:p w14:paraId="38FD753D"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p>
        </w:tc>
        <w:tc>
          <w:tcPr>
            <w:tcW w:w="4253" w:type="dxa"/>
          </w:tcPr>
          <w:p w14:paraId="6E878810" w14:textId="6289D246"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A 10-item questionnaire that evaluates global domains of health and functioning. (Overall health, quality of life, physical health, mental health, social activities and relationships, everyday physical activities, pain, fatigue, usual social activities and roles, emotional problems)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{"citationItems":[{"id":"ITEM-1","itemData":{"DOI":"10.1007/s11136-009-9496-9","ISSN":"09629343","PMID":"19543809","abstract":"Background: The use of global health items permits an efficient way of gathering general perceptions of health. These items provide useful summary information about health and are predictive of health care utilization and subsequent mortality. Methods: Analyses of 10 self-reported global health items obtained from an internet survey as part of the Patient-Reported Outcome Measurement Information System (PROMIS) project. We derived summary scores from the global health items. We estimated the associations of the summary scores with the EQ-5D index score and the PROMIS physical function, pain, fatigue, emotional distress, and social health domain scores. Results: Exploratory and confirmatory factor analyses supported a two-factor model. Global physical health (GPH; 4 items on overall physical health, physical function, pain, and fatigue) and global mental health (GMH; 4 items on quality of life, mental health, satisfaction with social activities, and emotional problems) scales were created. The scales had internal consistency reliability coefficients of 0.81 and 0.86, respectively. GPH correlated more strongly with the EQ-5D than did GMH (r = 0.76 vs. 0.59). GPH correlated most strongly with pain impact (r = -0.75) whereas GMH correlated most strongly with depressive symptoms (r = -0.71). Conclusions: Two dimensions representing physical and mental health underlie the global health items in PROMIS. These global health scales can be used to efficiently summarize physical and mental health in patient-reported outcome studies. © 2009 The Author(s).","author":[{"dropping-particle":"","family":"Hays","given":"Ron D.","non-dropping-particle":"","parse-names":false,"suffix":""},{"dropping-particle":"","family":"Bjorner","given":"Jakob B.","non-dropping-particle":"","parse-names":false,"suffix":""},{"dropping-particle":"","family":"Revicki","given":"Dennis A.","non-dropping-particle":"","parse-names":false,"suffix":""},{"dropping-particle":"","family":"Spritzer","given":"Karen L.","non-dropping-particle":"","parse-names":false,"suffix":""},{"dropping-particle":"","family":"Cella","given":"David","non-dropping-particle":"","parse-names":false,"suffix":""}],"container-title":"Quality of Life Research","id":"ITEM-1","issue":"7","issued":{"date-parts":[["2009","9"]]},"page":"873-880","publisher":"Springer","title":"Development of physical and mental health summary scores from the patient-reported outcomes measurement information system (PROMIS) global items","type":"article-journal","volume":"18"},"uris":["http://www.mendeley.com/documents/?uuid=29b9f4c4-b086-3377-a5ca-432fb90cb95c"]}],"mendeley":{"formattedCitation":"[20]","plainTextFormattedCitation":"[20]","previouslyFormattedCitation":"[81]"},"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[20]</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w:t>
            </w:r>
          </w:p>
        </w:tc>
        <w:tc>
          <w:tcPr>
            <w:tcW w:w="4536" w:type="dxa"/>
          </w:tcPr>
          <w:p w14:paraId="607BC506" w14:textId="29510A92" w:rsidR="00D207C4" w:rsidRPr="00D207C4" w:rsidRDefault="00D207C4" w:rsidP="00D207C4">
            <w:pPr>
              <w:tabs>
                <w:tab w:val="left" w:pos="3952"/>
              </w:tabs>
              <w:spacing w:before="0" w:after="0"/>
              <w:jc w:val="both"/>
              <w:rPr>
                <w:rFonts w:ascii="Arial" w:eastAsia="Times New Roman" w:hAnsi="Arial" w:cs="Arial"/>
                <w:sz w:val="18"/>
                <w:szCs w:val="18"/>
                <w:lang w:eastAsia="en-CA"/>
              </w:rPr>
            </w:pPr>
            <w:r w:rsidRPr="00D207C4">
              <w:rPr>
                <w:rFonts w:ascii="Arial" w:eastAsia="Times New Roman" w:hAnsi="Arial" w:cs="Arial"/>
                <w:sz w:val="18"/>
                <w:szCs w:val="18"/>
                <w:lang w:eastAsia="en-CA"/>
              </w:rPr>
              <w:t>Nine items are rated on five-point scales, while pain is rated from 0 to 10. The global health physical (physical health, physical function, pain, fatigue) and global health mental scores (quality of life, mental health, emotional problems and satisfaction with discretionary social activities) summary scores are each calculated as the sum of four PROMIS-10 items</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{"citationItems":[{"id":"ITEM-1","itemData":{"DOI":"10.1007/s11136-009-9496-9","ISSN":"09629343","PMID":"19543809","abstract":"Background: The use of global health items permits an efficient way of gathering general perceptions of health. These items provide useful summary information about health and are predictive of health care utilization and subsequent mortality. Methods: Analyses of 10 self-reported global health items obtained from an internet survey as part of the Patient-Reported Outcome Measurement Information System (PROMIS) project. We derived summary scores from the global health items. We estimated the associations of the summary scores with the EQ-5D index score and the PROMIS physical function, pain, fatigue, emotional distress, and social health domain scores. Results: Exploratory and confirmatory factor analyses supported a two-factor model. Global physical health (GPH; 4 items on overall physical health, physical function, pain, and fatigue) and global mental health (GMH; 4 items on quality of life, mental health, satisfaction with social activities, and emotional problems) scales were created. The scales had internal consistency reliability coefficients of 0.81 and 0.86, respectively. GPH correlated more strongly with the EQ-5D than did GMH (r = 0.76 vs. 0.59). GPH correlated most strongly with pain impact (r = -0.75) whereas GMH correlated most strongly with depressive symptoms (r = -0.71). Conclusions: Two dimensions representing physical and mental health underlie the global health items in PROMIS. These global health scales can be used to efficiently summarize physical and mental health in patient-reported outcome studies. © 2009 The Author(s).","author":[{"dropping-particle":"","family":"Hays","given":"Ron D.","non-dropping-particle":"","parse-names":false,"suffix":""},{"dropping-particle":"","family":"Bjorner","given":"Jakob B.","non-dropping-particle":"","parse-names":false,"suffix":""},{"dropping-particle":"","family":"Revicki","given":"Dennis A.","non-dropping-particle":"","parse-names":false,"suffix":""},{"dropping-particle":"","family":"Spritzer","given":"Karen L.","non-dropping-particle":"","parse-names":false,"suffix":""},{"dropping-particle":"","family":"Cella","given":"David","non-dropping-particle":"","parse-names":false,"suffix":""}],"container-title":"Quality of Life Research","id":"ITEM-1","issue":"7","issued":{"date-parts":[["2009","9"]]},"page":"873-880","publisher":"Springer","title":"Development of physical and mental health summary scores from the patient-reported outcomes measurement information system (PROMIS) global items","type":"article-journal","volume":"18"},"uris":["http://www.mendeley.com/documents/?uuid=29b9f4c4-b086-3377-a5ca-432fb90cb95c"]}],"mendeley":{"formattedCitation":"[20]","plainTextFormattedCitation":"[20]","previouslyFormattedCitation":"[81]"},"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[20]</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 Raw summed scores undergo norm-based T-score transformations to normalize scores to a U.S. population mean and standard deviation of 50 ± 10</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URL":"https://www.healthmeasures.net/score-and-interpret/interpret-scores/promis/reference-populations","accessed":{"date-parts":[["2021","7","1"]]},"author":[{"dropping-particle":"","family":"HealthMeasures","given":"","non-dropping-particle":"","parse-names":false,"suffix":""}],"container-title":"Northwestern University","id":"ITEM-1","issued":{"date-parts":[["2021"]]},"title":"PROMIS Reference Populations","type":"webpage"},"uris":["http://www.mendeley.com/documents/?uuid=757492b0-5a82-31ee-b066-5b728d1b8007"]}],"mendeley":{"formattedCitation":"[21]","plainTextFormattedCitation":"[21]","previouslyFormattedCitation":"[82]"},"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[21]</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t>.</w:t>
            </w:r>
          </w:p>
        </w:tc>
        <w:tc>
          <w:tcPr>
            <w:tcW w:w="3260" w:type="dxa"/>
          </w:tcPr>
          <w:p w14:paraId="074250B9" w14:textId="47202A46"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U.S. population</w:t>
            </w:r>
            <w:r w:rsidRPr="00D207C4">
              <w:rPr>
                <w:rFonts w:ascii="Arial" w:eastAsia="Times New Roman" w:hAnsi="Arial" w:cs="Arial"/>
                <w:sz w:val="18"/>
                <w:szCs w:val="18"/>
                <w:lang w:eastAsia="en-CA"/>
              </w:rPr>
              <w:fldChar w:fldCharType="begin" w:fldLock="1"/>
            </w:r>
            <w:r w:rsidR="00753C0A">
              <w:rPr>
                <w:rFonts w:ascii="Arial" w:eastAsia="Times New Roman" w:hAnsi="Arial" w:cs="Arial"/>
                <w:sz w:val="18"/>
                <w:szCs w:val="18"/>
                <w:lang w:eastAsia="en-CA"/>
              </w:rPr>
              <w:instrText>ADDIN CSL_CITATION {"citationItems":[{"id":"ITEM-1","itemData":{"URL":"https://www.healthmeasures.net/score-and-interpret/interpret-scores/promis/reference-populations","accessed":{"date-parts":[["2021","7","1"]]},"author":[{"dropping-particle":"","family":"HealthMeasures","given":"","non-dropping-particle":"","parse-names":false,"suffix":""}],"container-title":"Northwestern University","id":"ITEM-1","issued":{"date-parts":[["2021"]]},"title":"PROMIS Reference Populations","type":"webpage"},"uris":["http://www.mendeley.com/documents/?uuid=757492b0-5a82-31ee-b066-5b728d1b8007"]}],"mendeley":{"formattedCitation":"[21]","plainTextFormattedCitation":"[21]","previouslyFormattedCitation":"[82]"},"properties":{"noteIndex":0},"schema":"https://github.com/citation-style-language/schema/raw/master/csl-citation.json"}</w:instrText>
            </w:r>
            <w:r w:rsidRPr="00D207C4">
              <w:rPr>
                <w:rFonts w:ascii="Arial" w:eastAsia="Times New Roman" w:hAnsi="Arial" w:cs="Arial"/>
                <w:sz w:val="18"/>
                <w:szCs w:val="18"/>
                <w:lang w:eastAsia="en-CA"/>
              </w:rPr>
              <w:fldChar w:fldCharType="separate"/>
            </w:r>
            <w:r w:rsidR="00753C0A" w:rsidRPr="00753C0A">
              <w:rPr>
                <w:rFonts w:ascii="Arial" w:eastAsia="Times New Roman" w:hAnsi="Arial" w:cs="Arial"/>
                <w:noProof/>
                <w:sz w:val="18"/>
                <w:szCs w:val="18"/>
                <w:lang w:eastAsia="en-CA"/>
              </w:rPr>
              <w:t>[21]</w:t>
            </w:r>
            <w:r w:rsidRPr="00D207C4">
              <w:rPr>
                <w:rFonts w:ascii="Arial" w:eastAsia="Times New Roman" w:hAnsi="Arial" w:cs="Arial"/>
                <w:sz w:val="18"/>
                <w:szCs w:val="18"/>
                <w:lang w:eastAsia="en-CA"/>
              </w:rPr>
              <w:fldChar w:fldCharType="end"/>
            </w:r>
            <w:r w:rsidRPr="00D207C4">
              <w:rPr>
                <w:rFonts w:ascii="Arial" w:eastAsia="Times New Roman" w:hAnsi="Arial" w:cs="Arial"/>
                <w:sz w:val="18"/>
                <w:szCs w:val="18"/>
                <w:lang w:eastAsia="en-CA"/>
              </w:rPr>
              <w:br/>
              <w:t>Global health physical: 50 ± 10</w:t>
            </w:r>
          </w:p>
          <w:p w14:paraId="161F7F02" w14:textId="77777777" w:rsidR="00D207C4" w:rsidRPr="00D207C4" w:rsidRDefault="00D207C4" w:rsidP="00D207C4">
            <w:pPr>
              <w:tabs>
                <w:tab w:val="left" w:pos="3952"/>
              </w:tabs>
              <w:spacing w:before="0" w:after="0"/>
              <w:rPr>
                <w:rFonts w:ascii="Arial" w:eastAsia="Times New Roman" w:hAnsi="Arial" w:cs="Arial"/>
                <w:sz w:val="18"/>
                <w:szCs w:val="18"/>
                <w:lang w:eastAsia="en-CA"/>
              </w:rPr>
            </w:pPr>
            <w:r w:rsidRPr="00D207C4">
              <w:rPr>
                <w:rFonts w:ascii="Arial" w:eastAsia="Times New Roman" w:hAnsi="Arial" w:cs="Arial"/>
                <w:sz w:val="18"/>
                <w:szCs w:val="18"/>
                <w:lang w:eastAsia="en-CA"/>
              </w:rPr>
              <w:t>Global health mental: 50 ± 10</w:t>
            </w:r>
          </w:p>
        </w:tc>
      </w:tr>
    </w:tbl>
    <w:p w14:paraId="4B070567" w14:textId="77777777" w:rsidR="00753C0A" w:rsidRDefault="00D207C4" w:rsidP="00D207C4">
      <w:pPr>
        <w:spacing w:after="0"/>
        <w:rPr>
          <w:rFonts w:eastAsia="Times New Roman" w:cs="Times New Roman"/>
          <w:szCs w:val="24"/>
          <w:lang w:eastAsia="en-CA"/>
        </w:rPr>
        <w:sectPr w:rsidR="00753C0A" w:rsidSect="00D207C4">
          <w:pgSz w:w="15840" w:h="12240" w:orient="landscape"/>
          <w:pgMar w:top="720" w:right="720" w:bottom="720" w:left="720" w:header="720" w:footer="720" w:gutter="0"/>
          <w:cols w:space="720"/>
          <w:titlePg/>
          <w:docGrid w:linePitch="360"/>
        </w:sectPr>
      </w:pPr>
      <w:r w:rsidRPr="00BC5DF1">
        <w:rPr>
          <w:rFonts w:eastAsia="Times New Roman" w:cs="Times New Roman"/>
          <w:szCs w:val="24"/>
          <w:lang w:eastAsia="en-CA"/>
        </w:rPr>
        <w:t>Abbreviations: Quality of life (QoL), health-related quality of life (</w:t>
      </w:r>
      <w:proofErr w:type="spellStart"/>
      <w:r w:rsidRPr="00BC5DF1">
        <w:rPr>
          <w:rFonts w:eastAsia="Times New Roman" w:cs="Times New Roman"/>
          <w:szCs w:val="24"/>
          <w:lang w:eastAsia="en-CA"/>
        </w:rPr>
        <w:t>HRQoL</w:t>
      </w:r>
      <w:proofErr w:type="spellEnd"/>
      <w:r w:rsidRPr="00BC5DF1">
        <w:rPr>
          <w:rFonts w:eastAsia="Times New Roman" w:cs="Times New Roman"/>
          <w:szCs w:val="24"/>
          <w:lang w:eastAsia="en-CA"/>
        </w:rPr>
        <w:t>)</w:t>
      </w:r>
    </w:p>
    <w:p w14:paraId="7B65BC41" w14:textId="1D59686A" w:rsidR="00DE23E8" w:rsidRDefault="00753C0A" w:rsidP="00753C0A">
      <w:pPr>
        <w:pStyle w:val="Heading1"/>
        <w:rPr>
          <w:lang w:eastAsia="en-CA"/>
        </w:rPr>
      </w:pPr>
      <w:r>
        <w:rPr>
          <w:lang w:eastAsia="en-CA"/>
        </w:rPr>
        <w:lastRenderedPageBreak/>
        <w:t>References</w:t>
      </w:r>
    </w:p>
    <w:p w14:paraId="14EAE186" w14:textId="5B842CA4" w:rsidR="00753C0A" w:rsidRPr="00753C0A" w:rsidRDefault="00753C0A" w:rsidP="00753C0A">
      <w:pPr>
        <w:widowControl w:val="0"/>
        <w:autoSpaceDE w:val="0"/>
        <w:autoSpaceDN w:val="0"/>
        <w:adjustRightInd w:val="0"/>
        <w:ind w:left="640" w:hanging="640"/>
        <w:rPr>
          <w:rFonts w:cs="Times New Roman"/>
          <w:noProof/>
          <w:szCs w:val="24"/>
        </w:rPr>
      </w:pPr>
      <w:r>
        <w:rPr>
          <w:lang w:eastAsia="en-CA"/>
        </w:rPr>
        <w:fldChar w:fldCharType="begin" w:fldLock="1"/>
      </w:r>
      <w:r>
        <w:rPr>
          <w:lang w:eastAsia="en-CA"/>
        </w:rPr>
        <w:instrText xml:space="preserve">ADDIN Mendeley Bibliography CSL_BIBLIOGRAPHY </w:instrText>
      </w:r>
      <w:r>
        <w:rPr>
          <w:lang w:eastAsia="en-CA"/>
        </w:rPr>
        <w:fldChar w:fldCharType="separate"/>
      </w:r>
      <w:r w:rsidRPr="00753C0A">
        <w:rPr>
          <w:rFonts w:cs="Times New Roman"/>
          <w:noProof/>
          <w:szCs w:val="24"/>
        </w:rPr>
        <w:t xml:space="preserve">1. </w:t>
      </w:r>
      <w:r w:rsidRPr="00753C0A">
        <w:rPr>
          <w:rFonts w:cs="Times New Roman"/>
          <w:noProof/>
          <w:szCs w:val="24"/>
        </w:rPr>
        <w:tab/>
        <w:t>EuroQol Research Foundation (2018) EQ-5D-3L User Guide</w:t>
      </w:r>
    </w:p>
    <w:p w14:paraId="11DA9498"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2. </w:t>
      </w:r>
      <w:r w:rsidRPr="00753C0A">
        <w:rPr>
          <w:rFonts w:cs="Times New Roman"/>
          <w:noProof/>
          <w:szCs w:val="24"/>
        </w:rPr>
        <w:tab/>
        <w:t>Szende A, Janssen B, Cabasés J (2014) Self-reported population health: An international perspective based on EQ-5D. Springer Netherlands</w:t>
      </w:r>
    </w:p>
    <w:p w14:paraId="09834691"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3. </w:t>
      </w:r>
      <w:r w:rsidRPr="00753C0A">
        <w:rPr>
          <w:rFonts w:cs="Times New Roman"/>
          <w:noProof/>
          <w:szCs w:val="24"/>
        </w:rPr>
        <w:tab/>
        <w:t>Ware JE, Snow KK, Kosinski M, Gandek B (1993) SF-36 Health Survey : Manual and interpretation guide. The Health Institute, New England Medical Center, Boston, Massachusetts</w:t>
      </w:r>
    </w:p>
    <w:p w14:paraId="0C36D6C3"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4. </w:t>
      </w:r>
      <w:r w:rsidRPr="00753C0A">
        <w:rPr>
          <w:rFonts w:cs="Times New Roman"/>
          <w:noProof/>
          <w:szCs w:val="24"/>
        </w:rPr>
        <w:tab/>
        <w:t>Ware JE, Kosinski M, Keller SD (1994) SF-36 Physical and Mental Health Summary Scales: a User’s Manual. Health Assessment Lab, New England Medical Center, Boston, Massachusetts</w:t>
      </w:r>
    </w:p>
    <w:p w14:paraId="2ED99F27"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5. </w:t>
      </w:r>
      <w:r w:rsidRPr="00753C0A">
        <w:rPr>
          <w:rFonts w:cs="Times New Roman"/>
          <w:noProof/>
          <w:szCs w:val="24"/>
        </w:rPr>
        <w:tab/>
        <w:t>Ware JE (2000) SF-36 Health Survey update. Spine (Phila. Pa. 1976). 25:3130–3139</w:t>
      </w:r>
    </w:p>
    <w:p w14:paraId="6DBB6A5D"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6. </w:t>
      </w:r>
      <w:r w:rsidRPr="00753C0A">
        <w:rPr>
          <w:rFonts w:cs="Times New Roman"/>
          <w:noProof/>
          <w:szCs w:val="24"/>
        </w:rPr>
        <w:tab/>
        <w:t>Ware JE, Kosinski M, Dewey JE, Gandek B (2001) How to Score and Interpret Single-item Health Status Measures: A Manual for Users of the SF-8 Health Survey. QualityMetric, Inc, Lincoln, RI</w:t>
      </w:r>
    </w:p>
    <w:p w14:paraId="49EC71C3"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7. </w:t>
      </w:r>
      <w:r w:rsidRPr="00753C0A">
        <w:rPr>
          <w:rFonts w:cs="Times New Roman"/>
          <w:noProof/>
          <w:szCs w:val="24"/>
        </w:rPr>
        <w:tab/>
        <w:t>Hays RD, Sherbourne CD, Mazel RM (1993) The RAND 36‐Item Health Survey 1.0. Health Econ 2:217–227. https://doi.org/10.1002/hec.4730020305</w:t>
      </w:r>
    </w:p>
    <w:p w14:paraId="0ED528F9"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8. </w:t>
      </w:r>
      <w:r w:rsidRPr="00753C0A">
        <w:rPr>
          <w:rFonts w:cs="Times New Roman"/>
          <w:noProof/>
          <w:szCs w:val="24"/>
        </w:rPr>
        <w:tab/>
        <w:t>Hays RD, Morales LS (2001) The RAND-36 measure of health-related quality of life. In: Annals of Medicine. Royal Society of Medicine Press Ltd, pp 350–357</w:t>
      </w:r>
    </w:p>
    <w:p w14:paraId="229197D9"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9. </w:t>
      </w:r>
      <w:r w:rsidRPr="00753C0A">
        <w:rPr>
          <w:rFonts w:cs="Times New Roman"/>
          <w:noProof/>
          <w:szCs w:val="24"/>
        </w:rPr>
        <w:tab/>
        <w:t>Varni JW (2021) PedsQL TM (Pediatric Quality of Life Inventory TM). https://www.pedsql.org/about_pedsql.html. Accessed 24 Jun 2021</w:t>
      </w:r>
    </w:p>
    <w:p w14:paraId="467B2CEF"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10. </w:t>
      </w:r>
      <w:r w:rsidRPr="00753C0A">
        <w:rPr>
          <w:rFonts w:cs="Times New Roman"/>
          <w:noProof/>
          <w:szCs w:val="24"/>
        </w:rPr>
        <w:tab/>
        <w:t>Varni JW, Seid M, Kurtin PS (2001) PedsQL</w:t>
      </w:r>
      <w:r w:rsidRPr="00753C0A">
        <w:rPr>
          <w:rFonts w:cs="Times New Roman"/>
          <w:noProof/>
          <w:szCs w:val="24"/>
          <w:vertAlign w:val="superscript"/>
        </w:rPr>
        <w:t>TM</w:t>
      </w:r>
      <w:r w:rsidRPr="00753C0A">
        <w:rPr>
          <w:rFonts w:cs="Times New Roman"/>
          <w:noProof/>
          <w:szCs w:val="24"/>
        </w:rPr>
        <w:t xml:space="preserve"> 4.0: Reliability and Validity of the Pediatric Quality of Life Inventory</w:t>
      </w:r>
      <w:r w:rsidRPr="00753C0A">
        <w:rPr>
          <w:rFonts w:cs="Times New Roman"/>
          <w:noProof/>
          <w:szCs w:val="24"/>
          <w:vertAlign w:val="superscript"/>
        </w:rPr>
        <w:t>TM</w:t>
      </w:r>
      <w:r w:rsidRPr="00753C0A">
        <w:rPr>
          <w:rFonts w:cs="Times New Roman"/>
          <w:noProof/>
          <w:szCs w:val="24"/>
        </w:rPr>
        <w:t xml:space="preserve"> Version 4.0 Generic Core Scales in Healthy and Patient Populations. Med Care 39:800–812. https://doi.org/10.1097/00005650-200108000-00006</w:t>
      </w:r>
    </w:p>
    <w:p w14:paraId="7E77A323"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11. </w:t>
      </w:r>
      <w:r w:rsidRPr="00753C0A">
        <w:rPr>
          <w:rFonts w:cs="Times New Roman"/>
          <w:noProof/>
          <w:szCs w:val="24"/>
        </w:rPr>
        <w:tab/>
        <w:t>WHOQOL group (1996) WHOQOL-BREF : introduction, administration, scoring and generic version of the assessment : field trial version. Geneva, Switzerland</w:t>
      </w:r>
    </w:p>
    <w:p w14:paraId="4EBA7F82"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12. </w:t>
      </w:r>
      <w:r w:rsidRPr="00753C0A">
        <w:rPr>
          <w:rFonts w:cs="Times New Roman"/>
          <w:noProof/>
          <w:szCs w:val="24"/>
        </w:rPr>
        <w:tab/>
        <w:t>St-Jean K, Kus T, Dupuis G, et al (2008) Quality of life in patients with recurrent vasovagal or unexplained syncope: Influence of sex, syncope type and illness representations. Appl Res Qual Life 3:235–249. https://doi.org/10.1007/s11482-009-9058-x</w:t>
      </w:r>
    </w:p>
    <w:p w14:paraId="63BA7990"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13. </w:t>
      </w:r>
      <w:r w:rsidRPr="00753C0A">
        <w:rPr>
          <w:rFonts w:cs="Times New Roman"/>
          <w:noProof/>
          <w:szCs w:val="24"/>
        </w:rPr>
        <w:tab/>
        <w:t>Duquette R, Dupuis G, Perrault J (1994) A new approach for quality of life assessment in cardiac patients: rationale and validation of the Quality of Life Systemic Inventory - PubMed. Can J Cardiol 10:106–112</w:t>
      </w:r>
    </w:p>
    <w:p w14:paraId="03D67344"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14. </w:t>
      </w:r>
      <w:r w:rsidRPr="00753C0A">
        <w:rPr>
          <w:rFonts w:cs="Times New Roman"/>
          <w:noProof/>
          <w:szCs w:val="24"/>
        </w:rPr>
        <w:tab/>
        <w:t>Centers for Disease Control and Prevention (2000) Measuring Healthy Days. Atlanta, Georgia</w:t>
      </w:r>
    </w:p>
    <w:p w14:paraId="5510A509"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15. </w:t>
      </w:r>
      <w:r w:rsidRPr="00753C0A">
        <w:rPr>
          <w:rFonts w:cs="Times New Roman"/>
          <w:noProof/>
          <w:szCs w:val="24"/>
        </w:rPr>
        <w:tab/>
        <w:t>Center for Disease Control Healthy Days Core Module: HRQOL-14 Measure . https://www.cdc.gov/hrqol/hrqol14_measure.htm. Accessed 1 Jul 2021</w:t>
      </w:r>
    </w:p>
    <w:p w14:paraId="7A981FFC"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16. </w:t>
      </w:r>
      <w:r w:rsidRPr="00753C0A">
        <w:rPr>
          <w:rFonts w:cs="Times New Roman"/>
          <w:noProof/>
          <w:szCs w:val="24"/>
        </w:rPr>
        <w:tab/>
        <w:t>Zahran HS, Kobau R, Moriarty DG, et al Health-Related Quality of Life Surveillance --- United States, 1993--2002</w:t>
      </w:r>
    </w:p>
    <w:p w14:paraId="390FFEF5"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lastRenderedPageBreak/>
        <w:t xml:space="preserve">17. </w:t>
      </w:r>
      <w:r w:rsidRPr="00753C0A">
        <w:rPr>
          <w:rFonts w:cs="Times New Roman"/>
          <w:noProof/>
          <w:szCs w:val="24"/>
        </w:rPr>
        <w:tab/>
        <w:t>International Wellbeing Group (2013) Personal Wellbeing Index: 5th Edition. Australian Centre on Quality of Life, Deakin University, Melbourne, Australia</w:t>
      </w:r>
    </w:p>
    <w:p w14:paraId="35B4D2F3"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18. </w:t>
      </w:r>
      <w:r w:rsidRPr="00753C0A">
        <w:rPr>
          <w:rFonts w:cs="Times New Roman"/>
          <w:noProof/>
          <w:szCs w:val="24"/>
        </w:rPr>
        <w:tab/>
        <w:t>Bergner M, Bobbitt RA, Carter WB, Gilson BS (1981) The sickness impact profile: Development and final revision of a health status measure. Med Care 19:787–805. https://doi.org/10.1097/00005650-198108000-00001</w:t>
      </w:r>
    </w:p>
    <w:p w14:paraId="750D74DD"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19. </w:t>
      </w:r>
      <w:r w:rsidRPr="00753C0A">
        <w:rPr>
          <w:rFonts w:cs="Times New Roman"/>
          <w:noProof/>
          <w:szCs w:val="24"/>
        </w:rPr>
        <w:tab/>
        <w:t>Wu AW, Skinner EA, Pfoh E, Steinwachs DM (2014) Sickness Impact Profile (SIP). In: Michalos AC (ed) Encyclopedia of Quality of Life and Well-Being Research. Springer Netherlands, Dordrecht, pp 5959–5963</w:t>
      </w:r>
    </w:p>
    <w:p w14:paraId="20493228" w14:textId="77777777" w:rsidR="00753C0A" w:rsidRPr="00753C0A" w:rsidRDefault="00753C0A" w:rsidP="00753C0A">
      <w:pPr>
        <w:widowControl w:val="0"/>
        <w:autoSpaceDE w:val="0"/>
        <w:autoSpaceDN w:val="0"/>
        <w:adjustRightInd w:val="0"/>
        <w:ind w:left="640" w:hanging="640"/>
        <w:rPr>
          <w:rFonts w:cs="Times New Roman"/>
          <w:noProof/>
          <w:szCs w:val="24"/>
        </w:rPr>
      </w:pPr>
      <w:r w:rsidRPr="00753C0A">
        <w:rPr>
          <w:rFonts w:cs="Times New Roman"/>
          <w:noProof/>
          <w:szCs w:val="24"/>
        </w:rPr>
        <w:t xml:space="preserve">20. </w:t>
      </w:r>
      <w:r w:rsidRPr="00753C0A">
        <w:rPr>
          <w:rFonts w:cs="Times New Roman"/>
          <w:noProof/>
          <w:szCs w:val="24"/>
        </w:rPr>
        <w:tab/>
        <w:t>Hays RD, Bjorner JB, Revicki DA, et al (2009) Development of physical and mental health summary scores from the patient-reported outcomes measurement information system (PROMIS) global items. Qual Life Res 18:873–880. https://doi.org/10.1007/s11136-009-9496-9</w:t>
      </w:r>
    </w:p>
    <w:p w14:paraId="3315E35A" w14:textId="77777777" w:rsidR="00753C0A" w:rsidRPr="00753C0A" w:rsidRDefault="00753C0A" w:rsidP="00753C0A">
      <w:pPr>
        <w:widowControl w:val="0"/>
        <w:autoSpaceDE w:val="0"/>
        <w:autoSpaceDN w:val="0"/>
        <w:adjustRightInd w:val="0"/>
        <w:ind w:left="640" w:hanging="640"/>
        <w:rPr>
          <w:rFonts w:cs="Times New Roman"/>
          <w:noProof/>
        </w:rPr>
      </w:pPr>
      <w:r w:rsidRPr="00753C0A">
        <w:rPr>
          <w:rFonts w:cs="Times New Roman"/>
          <w:noProof/>
          <w:szCs w:val="24"/>
        </w:rPr>
        <w:t xml:space="preserve">21. </w:t>
      </w:r>
      <w:r w:rsidRPr="00753C0A">
        <w:rPr>
          <w:rFonts w:cs="Times New Roman"/>
          <w:noProof/>
          <w:szCs w:val="24"/>
        </w:rPr>
        <w:tab/>
        <w:t>HealthMeasures (2021) PROMIS Reference Populations. In: Northwest. Univ. https://www.healthmeasures.net/score-and-interpret/interpret-scores/promis/reference-populations. Accessed 1 Jul 2021</w:t>
      </w:r>
    </w:p>
    <w:p w14:paraId="0A076149" w14:textId="1A58CB83" w:rsidR="00753C0A" w:rsidRPr="00753C0A" w:rsidRDefault="00753C0A" w:rsidP="00753C0A">
      <w:pPr>
        <w:rPr>
          <w:lang w:eastAsia="en-CA"/>
        </w:rPr>
      </w:pPr>
      <w:r>
        <w:rPr>
          <w:lang w:eastAsia="en-CA"/>
        </w:rPr>
        <w:fldChar w:fldCharType="end"/>
      </w:r>
    </w:p>
    <w:sectPr w:rsidR="00753C0A" w:rsidRPr="00753C0A" w:rsidSect="00753C0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1153" w14:textId="77777777" w:rsidR="00DA1AF5" w:rsidRDefault="00DA1AF5" w:rsidP="00117666">
      <w:pPr>
        <w:spacing w:after="0"/>
      </w:pPr>
      <w:r>
        <w:separator/>
      </w:r>
    </w:p>
  </w:endnote>
  <w:endnote w:type="continuationSeparator" w:id="0">
    <w:p w14:paraId="0762F8F7" w14:textId="77777777" w:rsidR="00DA1AF5" w:rsidRDefault="00DA1AF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219" w14:textId="77777777" w:rsidR="00DA1AF5" w:rsidRDefault="00DA1AF5" w:rsidP="00117666">
      <w:pPr>
        <w:spacing w:after="0"/>
      </w:pPr>
      <w:r>
        <w:separator/>
      </w:r>
    </w:p>
  </w:footnote>
  <w:footnote w:type="continuationSeparator" w:id="0">
    <w:p w14:paraId="38851BE2" w14:textId="77777777" w:rsidR="00DA1AF5" w:rsidRDefault="00DA1AF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9677A"/>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37670D"/>
    <w:multiLevelType w:val="hybridMultilevel"/>
    <w:tmpl w:val="672EAD4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31F5"/>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265849"/>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B2A8F"/>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900F43"/>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2D7FC0"/>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54F60"/>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F1074A"/>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6" w15:restartNumberingAfterBreak="0">
    <w:nsid w:val="6F0B3684"/>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36954A9"/>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3D6609"/>
    <w:multiLevelType w:val="hybridMultilevel"/>
    <w:tmpl w:val="B66E1B98"/>
    <w:lvl w:ilvl="0" w:tplc="4FF02AFE">
      <w:start w:val="1"/>
      <w:numFmt w:val="upperLetter"/>
      <w:lvlText w:val="(%1)"/>
      <w:lvlJc w:val="left"/>
      <w:pPr>
        <w:ind w:left="3054" w:hanging="360"/>
      </w:pPr>
      <w:rPr>
        <w:rFonts w:hint="default"/>
      </w:rPr>
    </w:lvl>
    <w:lvl w:ilvl="1" w:tplc="10090019" w:tentative="1">
      <w:start w:val="1"/>
      <w:numFmt w:val="lowerLetter"/>
      <w:lvlText w:val="%2."/>
      <w:lvlJc w:val="left"/>
      <w:pPr>
        <w:ind w:left="3774" w:hanging="360"/>
      </w:pPr>
    </w:lvl>
    <w:lvl w:ilvl="2" w:tplc="1009001B" w:tentative="1">
      <w:start w:val="1"/>
      <w:numFmt w:val="lowerRoman"/>
      <w:lvlText w:val="%3."/>
      <w:lvlJc w:val="right"/>
      <w:pPr>
        <w:ind w:left="4494" w:hanging="180"/>
      </w:pPr>
    </w:lvl>
    <w:lvl w:ilvl="3" w:tplc="1009000F" w:tentative="1">
      <w:start w:val="1"/>
      <w:numFmt w:val="decimal"/>
      <w:lvlText w:val="%4."/>
      <w:lvlJc w:val="left"/>
      <w:pPr>
        <w:ind w:left="5214" w:hanging="360"/>
      </w:pPr>
    </w:lvl>
    <w:lvl w:ilvl="4" w:tplc="10090019" w:tentative="1">
      <w:start w:val="1"/>
      <w:numFmt w:val="lowerLetter"/>
      <w:lvlText w:val="%5."/>
      <w:lvlJc w:val="left"/>
      <w:pPr>
        <w:ind w:left="5934" w:hanging="360"/>
      </w:pPr>
    </w:lvl>
    <w:lvl w:ilvl="5" w:tplc="1009001B" w:tentative="1">
      <w:start w:val="1"/>
      <w:numFmt w:val="lowerRoman"/>
      <w:lvlText w:val="%6."/>
      <w:lvlJc w:val="right"/>
      <w:pPr>
        <w:ind w:left="6654" w:hanging="180"/>
      </w:pPr>
    </w:lvl>
    <w:lvl w:ilvl="6" w:tplc="1009000F" w:tentative="1">
      <w:start w:val="1"/>
      <w:numFmt w:val="decimal"/>
      <w:lvlText w:val="%7."/>
      <w:lvlJc w:val="left"/>
      <w:pPr>
        <w:ind w:left="7374" w:hanging="360"/>
      </w:pPr>
    </w:lvl>
    <w:lvl w:ilvl="7" w:tplc="10090019" w:tentative="1">
      <w:start w:val="1"/>
      <w:numFmt w:val="lowerLetter"/>
      <w:lvlText w:val="%8."/>
      <w:lvlJc w:val="left"/>
      <w:pPr>
        <w:ind w:left="8094" w:hanging="360"/>
      </w:pPr>
    </w:lvl>
    <w:lvl w:ilvl="8" w:tplc="1009001B" w:tentative="1">
      <w:start w:val="1"/>
      <w:numFmt w:val="lowerRoman"/>
      <w:lvlText w:val="%9."/>
      <w:lvlJc w:val="right"/>
      <w:pPr>
        <w:ind w:left="8814" w:hanging="180"/>
      </w:pPr>
    </w:lvl>
  </w:abstractNum>
  <w:abstractNum w:abstractNumId="19" w15:restartNumberingAfterBreak="0">
    <w:nsid w:val="773D37FF"/>
    <w:multiLevelType w:val="hybridMultilevel"/>
    <w:tmpl w:val="9000DCEC"/>
    <w:lvl w:ilvl="0" w:tplc="3A58D5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E01BAF"/>
    <w:multiLevelType w:val="hybridMultilevel"/>
    <w:tmpl w:val="9000DCEC"/>
    <w:lvl w:ilvl="0" w:tplc="3A58D582">
      <w:start w:val="1"/>
      <w:numFmt w:val="upp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2"/>
  </w:num>
  <w:num w:numId="21">
    <w:abstractNumId w:val="18"/>
  </w:num>
  <w:num w:numId="22">
    <w:abstractNumId w:val="4"/>
  </w:num>
  <w:num w:numId="23">
    <w:abstractNumId w:val="10"/>
  </w:num>
  <w:num w:numId="24">
    <w:abstractNumId w:val="16"/>
  </w:num>
  <w:num w:numId="25">
    <w:abstractNumId w:val="17"/>
  </w:num>
  <w:num w:numId="26">
    <w:abstractNumId w:val="1"/>
  </w:num>
  <w:num w:numId="27">
    <w:abstractNumId w:val="5"/>
  </w:num>
  <w:num w:numId="28">
    <w:abstractNumId w:val="19"/>
  </w:num>
  <w:num w:numId="29">
    <w:abstractNumId w:val="13"/>
  </w:num>
  <w:num w:numId="30">
    <w:abstractNumId w:val="8"/>
  </w:num>
  <w:num w:numId="31">
    <w:abstractNumId w:val="9"/>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974BC"/>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53C0A"/>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207C4"/>
    <w:rsid w:val="00DA1AF5"/>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D207C4"/>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07C4"/>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6</Pages>
  <Words>11551</Words>
  <Characters>65842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Brooke Hockin</cp:lastModifiedBy>
  <cp:revision>3</cp:revision>
  <cp:lastPrinted>2013-10-03T12:51:00Z</cp:lastPrinted>
  <dcterms:created xsi:type="dcterms:W3CDTF">2021-12-13T19:13:00Z</dcterms:created>
  <dcterms:modified xsi:type="dcterms:W3CDTF">2021-12-13T19:14:00Z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http://www.zotero.org/styles/circulation</vt:lpwstr>
  </property>
  <property fmtid="{D5CDD505-2E9C-101B-9397-08002B2CF9AE}" pid="9" name="Mendeley Recent Style Name 3_1">
    <vt:lpwstr>Circulation</vt:lpwstr>
  </property>
  <property fmtid="{D5CDD505-2E9C-101B-9397-08002B2CF9AE}" pid="10" name="Mendeley Recent Style Id 4_1">
    <vt:lpwstr>http://www.zotero.org/styles/clinical-autonomic-research</vt:lpwstr>
  </property>
  <property fmtid="{D5CDD505-2E9C-101B-9397-08002B2CF9AE}" pid="11" name="Mendeley Recent Style Name 4_1">
    <vt:lpwstr>Clinical Autonomic Research</vt:lpwstr>
  </property>
  <property fmtid="{D5CDD505-2E9C-101B-9397-08002B2CF9AE}" pid="12" name="Mendeley Recent Style Id 5_1">
    <vt:lpwstr>http://www.zotero.org/styles/frontiers-in-physiology</vt:lpwstr>
  </property>
  <property fmtid="{D5CDD505-2E9C-101B-9397-08002B2CF9AE}" pid="13" name="Mendeley Recent Style Name 5_1">
    <vt:lpwstr>Frontiers in Physiology</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04cc2c10-6f29-372a-b5c4-ae53511d2cdf</vt:lpwstr>
  </property>
  <property fmtid="{D5CDD505-2E9C-101B-9397-08002B2CF9AE}" pid="24" name="Mendeley Citation Style_1">
    <vt:lpwstr>http://www.zotero.org/styles/clinical-autonomic-research</vt:lpwstr>
  </property>
</Properties>
</file>