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F031" w14:textId="77777777" w:rsidR="00DF1F9F" w:rsidRPr="0060170B" w:rsidRDefault="00DF1F9F" w:rsidP="00DF1F9F">
      <w:pPr>
        <w:spacing w:before="0" w:after="160" w:line="259" w:lineRule="auto"/>
        <w:rPr>
          <w:rFonts w:eastAsia="Calibri" w:cs="Times New Roman"/>
          <w:b/>
          <w:bCs/>
          <w:szCs w:val="24"/>
        </w:rPr>
      </w:pPr>
      <w:bookmarkStart w:id="0" w:name="_Hlk93608618"/>
      <w:r w:rsidRPr="0060170B">
        <w:rPr>
          <w:rFonts w:eastAsia="Calibri" w:cs="Times New Roman"/>
          <w:b/>
          <w:bCs/>
          <w:szCs w:val="24"/>
        </w:rPr>
        <w:t xml:space="preserve">Appendix Table 1.  Healthcare outcomes for patients residing </w:t>
      </w:r>
      <w:r>
        <w:rPr>
          <w:rFonts w:eastAsia="Calibri" w:cs="Times New Roman"/>
          <w:b/>
          <w:bCs/>
          <w:szCs w:val="24"/>
        </w:rPr>
        <w:t>with</w:t>
      </w:r>
      <w:r w:rsidRPr="0060170B">
        <w:rPr>
          <w:rFonts w:eastAsia="Calibri" w:cs="Times New Roman"/>
          <w:b/>
          <w:bCs/>
          <w:szCs w:val="24"/>
        </w:rPr>
        <w:t>in Franklin County</w:t>
      </w:r>
      <w:r>
        <w:rPr>
          <w:rFonts w:eastAsia="Calibri" w:cs="Times New Roman"/>
          <w:b/>
          <w:bCs/>
          <w:szCs w:val="24"/>
        </w:rPr>
        <w:t xml:space="preserve"> only</w:t>
      </w:r>
    </w:p>
    <w:bookmarkEnd w:id="0"/>
    <w:p w14:paraId="569A8036" w14:textId="77777777" w:rsidR="00DF1F9F" w:rsidRPr="0060170B" w:rsidRDefault="00DF1F9F" w:rsidP="00DF1F9F">
      <w:pPr>
        <w:spacing w:before="0" w:after="160" w:line="259" w:lineRule="auto"/>
        <w:rPr>
          <w:rFonts w:eastAsia="Calibri" w:cs="Times New Roman"/>
          <w:b/>
          <w:bCs/>
          <w:szCs w:val="24"/>
        </w:rPr>
      </w:pPr>
    </w:p>
    <w:tbl>
      <w:tblPr>
        <w:tblStyle w:val="TableGrid4"/>
        <w:tblW w:w="9984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954"/>
        <w:gridCol w:w="1418"/>
        <w:gridCol w:w="1710"/>
        <w:gridCol w:w="1710"/>
        <w:gridCol w:w="2070"/>
      </w:tblGrid>
      <w:tr w:rsidR="00DF1F9F" w:rsidRPr="008C449D" w14:paraId="212EA7C3" w14:textId="77777777" w:rsidTr="009270CB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00356D90" w14:textId="77777777" w:rsidR="00DF1F9F" w:rsidRPr="00D15A0D" w:rsidRDefault="00DF1F9F" w:rsidP="009270CB">
            <w:pPr>
              <w:spacing w:before="0" w:after="0"/>
              <w:rPr>
                <w:rFonts w:eastAsia="Calibri" w:cs="Times New Roman"/>
                <w:b/>
                <w:bCs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8EDE7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0"/>
              </w:rPr>
            </w:pPr>
            <w:r w:rsidRPr="00D15A0D">
              <w:rPr>
                <w:rFonts w:eastAsia="Calibri" w:cs="Times New Roman"/>
                <w:b/>
                <w:bCs/>
                <w:sz w:val="20"/>
              </w:rPr>
              <w:t>Number of events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B806C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0"/>
              </w:rPr>
            </w:pPr>
            <w:r w:rsidRPr="00D15A0D">
              <w:rPr>
                <w:rFonts w:eastAsia="Calibri" w:cs="Times New Roman"/>
                <w:b/>
                <w:bCs/>
                <w:sz w:val="20"/>
              </w:rPr>
              <w:t xml:space="preserve">Total person-years of exposure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A9EBA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0"/>
              </w:rPr>
            </w:pPr>
            <w:r w:rsidRPr="00D15A0D">
              <w:rPr>
                <w:rFonts w:eastAsia="Calibri" w:cs="Times New Roman"/>
                <w:b/>
                <w:bCs/>
                <w:sz w:val="20"/>
              </w:rPr>
              <w:t xml:space="preserve">Events per-person-year </w:t>
            </w:r>
          </w:p>
          <w:p w14:paraId="57382A33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0"/>
              </w:rPr>
            </w:pPr>
            <w:r w:rsidRPr="00D15A0D">
              <w:rPr>
                <w:rFonts w:eastAsia="Calibri" w:cs="Times New Roman"/>
                <w:b/>
                <w:bCs/>
                <w:sz w:val="20"/>
              </w:rPr>
              <w:t>(95% CI)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7BE45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0"/>
              </w:rPr>
            </w:pPr>
            <w:r w:rsidRPr="00D15A0D">
              <w:rPr>
                <w:rFonts w:eastAsia="Calibri" w:cs="Times New Roman"/>
                <w:b/>
                <w:bCs/>
                <w:sz w:val="20"/>
              </w:rPr>
              <w:t xml:space="preserve">Relative risk </w:t>
            </w:r>
          </w:p>
          <w:p w14:paraId="440B2B71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0"/>
              </w:rPr>
            </w:pPr>
            <w:r w:rsidRPr="00D15A0D">
              <w:rPr>
                <w:rFonts w:eastAsia="Calibri" w:cs="Times New Roman"/>
                <w:b/>
                <w:bCs/>
                <w:sz w:val="20"/>
              </w:rPr>
              <w:t>(95% CI)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E67BD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b/>
                <w:bCs/>
                <w:sz w:val="20"/>
              </w:rPr>
            </w:pPr>
            <w:r w:rsidRPr="00D15A0D">
              <w:rPr>
                <w:rFonts w:eastAsia="Calibri" w:cs="Times New Roman"/>
                <w:b/>
                <w:bCs/>
                <w:sz w:val="20"/>
              </w:rPr>
              <w:t>Adjusted relative risk (95% CI)</w:t>
            </w:r>
            <w:r w:rsidRPr="00D15A0D">
              <w:rPr>
                <w:rFonts w:eastAsia="Calibri" w:cs="Times New Roman"/>
                <w:b/>
                <w:bCs/>
                <w:sz w:val="20"/>
                <w:vertAlign w:val="superscript"/>
              </w:rPr>
              <w:t>1</w:t>
            </w:r>
          </w:p>
        </w:tc>
      </w:tr>
      <w:tr w:rsidR="00DF1F9F" w:rsidRPr="008C449D" w14:paraId="53CCAF38" w14:textId="77777777" w:rsidTr="009270CB">
        <w:tc>
          <w:tcPr>
            <w:tcW w:w="2122" w:type="dxa"/>
            <w:tcBorders>
              <w:top w:val="single" w:sz="4" w:space="0" w:color="auto"/>
            </w:tcBorders>
          </w:tcPr>
          <w:p w14:paraId="15E69F1C" w14:textId="77777777" w:rsidR="00DF1F9F" w:rsidRPr="00D15A0D" w:rsidRDefault="00DF1F9F" w:rsidP="009270CB">
            <w:pPr>
              <w:spacing w:before="0" w:after="0"/>
              <w:rPr>
                <w:rFonts w:eastAsia="Calibri" w:cs="Times New Roman"/>
                <w:b/>
                <w:bCs/>
                <w:sz w:val="20"/>
              </w:rPr>
            </w:pPr>
            <w:r w:rsidRPr="00D15A0D">
              <w:rPr>
                <w:rFonts w:eastAsia="Calibri" w:cs="Times New Roman"/>
                <w:b/>
                <w:bCs/>
                <w:sz w:val="20"/>
              </w:rPr>
              <w:t xml:space="preserve">ICU </w:t>
            </w:r>
            <w:r>
              <w:rPr>
                <w:rFonts w:eastAsia="Calibri" w:cs="Times New Roman"/>
                <w:b/>
                <w:bCs/>
                <w:sz w:val="20"/>
              </w:rPr>
              <w:t>admissions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14:paraId="4B72C2A6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CA22D1B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4A90D45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46EED34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4E8EB543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DF1F9F" w:rsidRPr="008C449D" w14:paraId="26884740" w14:textId="77777777" w:rsidTr="009270CB">
        <w:tc>
          <w:tcPr>
            <w:tcW w:w="2122" w:type="dxa"/>
          </w:tcPr>
          <w:p w14:paraId="6E6AD60D" w14:textId="77777777" w:rsidR="00DF1F9F" w:rsidRPr="00D15A0D" w:rsidRDefault="00DF1F9F" w:rsidP="009270CB">
            <w:pPr>
              <w:spacing w:before="0" w:after="0"/>
              <w:rPr>
                <w:rFonts w:eastAsia="Calibri" w:cs="Times New Roman"/>
                <w:i/>
                <w:iCs/>
                <w:sz w:val="20"/>
              </w:rPr>
            </w:pPr>
            <w:r w:rsidRPr="00D15A0D">
              <w:rPr>
                <w:rFonts w:eastAsia="Calibri" w:cs="Times New Roman"/>
                <w:i/>
                <w:iCs/>
                <w:sz w:val="20"/>
              </w:rPr>
              <w:t xml:space="preserve">    Pre-cohort</w:t>
            </w:r>
          </w:p>
        </w:tc>
        <w:tc>
          <w:tcPr>
            <w:tcW w:w="954" w:type="dxa"/>
            <w:vAlign w:val="center"/>
          </w:tcPr>
          <w:p w14:paraId="13A2A158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27</w:t>
            </w:r>
          </w:p>
        </w:tc>
        <w:tc>
          <w:tcPr>
            <w:tcW w:w="1418" w:type="dxa"/>
            <w:vAlign w:val="center"/>
          </w:tcPr>
          <w:p w14:paraId="611460BE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51.6</w:t>
            </w:r>
          </w:p>
        </w:tc>
        <w:tc>
          <w:tcPr>
            <w:tcW w:w="1710" w:type="dxa"/>
            <w:vAlign w:val="center"/>
          </w:tcPr>
          <w:p w14:paraId="65D04691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0.52 (0.34-0.76)</w:t>
            </w:r>
          </w:p>
        </w:tc>
        <w:tc>
          <w:tcPr>
            <w:tcW w:w="1710" w:type="dxa"/>
            <w:vAlign w:val="center"/>
          </w:tcPr>
          <w:p w14:paraId="023017F3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Reference</w:t>
            </w:r>
          </w:p>
        </w:tc>
        <w:tc>
          <w:tcPr>
            <w:tcW w:w="2070" w:type="dxa"/>
            <w:vAlign w:val="center"/>
          </w:tcPr>
          <w:p w14:paraId="0A136EA4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Reference</w:t>
            </w:r>
          </w:p>
        </w:tc>
      </w:tr>
      <w:tr w:rsidR="00DF1F9F" w:rsidRPr="008C449D" w14:paraId="186BD470" w14:textId="77777777" w:rsidTr="009270CB">
        <w:tc>
          <w:tcPr>
            <w:tcW w:w="2122" w:type="dxa"/>
            <w:tcBorders>
              <w:bottom w:val="single" w:sz="4" w:space="0" w:color="auto"/>
            </w:tcBorders>
          </w:tcPr>
          <w:p w14:paraId="5522192A" w14:textId="77777777" w:rsidR="00DF1F9F" w:rsidRPr="00D15A0D" w:rsidRDefault="00DF1F9F" w:rsidP="009270CB">
            <w:pPr>
              <w:spacing w:before="0" w:after="0"/>
              <w:rPr>
                <w:rFonts w:eastAsia="Calibri" w:cs="Times New Roman"/>
                <w:i/>
                <w:iCs/>
                <w:sz w:val="20"/>
              </w:rPr>
            </w:pPr>
            <w:r w:rsidRPr="00D15A0D">
              <w:rPr>
                <w:rFonts w:eastAsia="Calibri" w:cs="Times New Roman"/>
                <w:i/>
                <w:iCs/>
                <w:sz w:val="20"/>
              </w:rPr>
              <w:t xml:space="preserve">    Post-cohort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182C3052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4683AA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60.0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163614B6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0.35 (0.22-0.53)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3C538A6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0.67 (0.35-1.27)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01B0A6D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0.73 (0.37-1.42)</w:t>
            </w:r>
          </w:p>
        </w:tc>
      </w:tr>
      <w:tr w:rsidR="00DF1F9F" w:rsidRPr="008C449D" w14:paraId="097DC7E4" w14:textId="77777777" w:rsidTr="009270CB">
        <w:tc>
          <w:tcPr>
            <w:tcW w:w="2122" w:type="dxa"/>
            <w:tcBorders>
              <w:top w:val="single" w:sz="4" w:space="0" w:color="auto"/>
            </w:tcBorders>
          </w:tcPr>
          <w:p w14:paraId="7BC1822F" w14:textId="77777777" w:rsidR="00DF1F9F" w:rsidRPr="00D15A0D" w:rsidRDefault="00DF1F9F" w:rsidP="009270CB">
            <w:pPr>
              <w:spacing w:before="0" w:after="0"/>
              <w:rPr>
                <w:rFonts w:eastAsia="Calibri" w:cs="Times New Roman"/>
                <w:b/>
                <w:bCs/>
                <w:sz w:val="20"/>
                <w:vertAlign w:val="superscript"/>
              </w:rPr>
            </w:pPr>
            <w:r w:rsidRPr="00D15A0D">
              <w:rPr>
                <w:rFonts w:eastAsia="Calibri" w:cs="Times New Roman"/>
                <w:b/>
                <w:bCs/>
                <w:sz w:val="20"/>
              </w:rPr>
              <w:t>ED visits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14:paraId="49AC3970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F245AF8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0C2E1C4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F5BF7D7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763FD290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DF1F9F" w:rsidRPr="008C449D" w14:paraId="2A11BF8B" w14:textId="77777777" w:rsidTr="009270CB">
        <w:tc>
          <w:tcPr>
            <w:tcW w:w="2122" w:type="dxa"/>
          </w:tcPr>
          <w:p w14:paraId="396A26C2" w14:textId="77777777" w:rsidR="00DF1F9F" w:rsidRPr="00D15A0D" w:rsidRDefault="00DF1F9F" w:rsidP="009270CB">
            <w:pPr>
              <w:spacing w:before="0" w:after="0"/>
              <w:rPr>
                <w:rFonts w:eastAsia="Calibri" w:cs="Times New Roman"/>
                <w:i/>
                <w:iCs/>
                <w:sz w:val="20"/>
              </w:rPr>
            </w:pPr>
            <w:r w:rsidRPr="00D15A0D">
              <w:rPr>
                <w:rFonts w:eastAsia="Calibri" w:cs="Times New Roman"/>
                <w:i/>
                <w:iCs/>
                <w:sz w:val="20"/>
              </w:rPr>
              <w:t xml:space="preserve">    Pre-cohort</w:t>
            </w:r>
          </w:p>
        </w:tc>
        <w:tc>
          <w:tcPr>
            <w:tcW w:w="954" w:type="dxa"/>
            <w:vAlign w:val="center"/>
          </w:tcPr>
          <w:p w14:paraId="385DAB68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194</w:t>
            </w:r>
          </w:p>
        </w:tc>
        <w:tc>
          <w:tcPr>
            <w:tcW w:w="1418" w:type="dxa"/>
            <w:vAlign w:val="center"/>
          </w:tcPr>
          <w:p w14:paraId="7C8580D5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51.6</w:t>
            </w:r>
          </w:p>
        </w:tc>
        <w:tc>
          <w:tcPr>
            <w:tcW w:w="1710" w:type="dxa"/>
            <w:vAlign w:val="center"/>
          </w:tcPr>
          <w:p w14:paraId="28AC533B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3.76 (3.25-4.33)</w:t>
            </w:r>
          </w:p>
        </w:tc>
        <w:tc>
          <w:tcPr>
            <w:tcW w:w="1710" w:type="dxa"/>
            <w:vAlign w:val="center"/>
          </w:tcPr>
          <w:p w14:paraId="7601CEFB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Reference</w:t>
            </w:r>
          </w:p>
        </w:tc>
        <w:tc>
          <w:tcPr>
            <w:tcW w:w="2070" w:type="dxa"/>
            <w:vAlign w:val="center"/>
          </w:tcPr>
          <w:p w14:paraId="3E6E5723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Reference</w:t>
            </w:r>
          </w:p>
        </w:tc>
      </w:tr>
      <w:tr w:rsidR="00DF1F9F" w:rsidRPr="008C449D" w14:paraId="3298CDC0" w14:textId="77777777" w:rsidTr="009270CB">
        <w:tc>
          <w:tcPr>
            <w:tcW w:w="2122" w:type="dxa"/>
            <w:tcBorders>
              <w:bottom w:val="single" w:sz="4" w:space="0" w:color="auto"/>
            </w:tcBorders>
          </w:tcPr>
          <w:p w14:paraId="05EE0B92" w14:textId="77777777" w:rsidR="00DF1F9F" w:rsidRPr="00D15A0D" w:rsidRDefault="00DF1F9F" w:rsidP="009270CB">
            <w:pPr>
              <w:spacing w:before="0" w:after="0"/>
              <w:rPr>
                <w:rFonts w:eastAsia="Calibri" w:cs="Times New Roman"/>
                <w:i/>
                <w:iCs/>
                <w:sz w:val="20"/>
              </w:rPr>
            </w:pPr>
            <w:r w:rsidRPr="00D15A0D">
              <w:rPr>
                <w:rFonts w:eastAsia="Calibri" w:cs="Times New Roman"/>
                <w:i/>
                <w:iCs/>
                <w:sz w:val="20"/>
              </w:rPr>
              <w:t xml:space="preserve">    Post-cohort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183E8BE0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172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88CDD1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60.0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54CA2AB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2.87 (2.45-3.33)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809487F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0.76 (0.57-1.02)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72F09D4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0.76 (0.57-1.01)</w:t>
            </w:r>
          </w:p>
        </w:tc>
      </w:tr>
      <w:tr w:rsidR="00DF1F9F" w:rsidRPr="008C449D" w14:paraId="303B2F0E" w14:textId="77777777" w:rsidTr="009270CB">
        <w:tc>
          <w:tcPr>
            <w:tcW w:w="2122" w:type="dxa"/>
            <w:tcBorders>
              <w:top w:val="single" w:sz="4" w:space="0" w:color="auto"/>
            </w:tcBorders>
          </w:tcPr>
          <w:p w14:paraId="2B1A2062" w14:textId="77777777" w:rsidR="00DF1F9F" w:rsidRPr="00D15A0D" w:rsidRDefault="00DF1F9F" w:rsidP="009270CB">
            <w:pPr>
              <w:spacing w:before="0" w:after="0"/>
              <w:rPr>
                <w:rFonts w:eastAsia="Calibri" w:cs="Times New Roman"/>
                <w:b/>
                <w:bCs/>
                <w:sz w:val="20"/>
              </w:rPr>
            </w:pPr>
            <w:r w:rsidRPr="00D15A0D">
              <w:rPr>
                <w:rFonts w:eastAsia="Calibri" w:cs="Times New Roman"/>
                <w:b/>
                <w:bCs/>
                <w:sz w:val="20"/>
              </w:rPr>
              <w:t>Hospital Admissions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14:paraId="24591D14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9BD5B11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05B43A3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83EA15B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65C0CB11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DF1F9F" w:rsidRPr="008C449D" w14:paraId="7F6AF66D" w14:textId="77777777" w:rsidTr="009270CB">
        <w:tc>
          <w:tcPr>
            <w:tcW w:w="2122" w:type="dxa"/>
          </w:tcPr>
          <w:p w14:paraId="69890ACB" w14:textId="77777777" w:rsidR="00DF1F9F" w:rsidRPr="00D15A0D" w:rsidRDefault="00DF1F9F" w:rsidP="009270CB">
            <w:pPr>
              <w:spacing w:before="0" w:after="0"/>
              <w:rPr>
                <w:rFonts w:eastAsia="Calibri" w:cs="Times New Roman"/>
                <w:i/>
                <w:iCs/>
                <w:sz w:val="20"/>
              </w:rPr>
            </w:pPr>
            <w:r w:rsidRPr="00D15A0D">
              <w:rPr>
                <w:rFonts w:eastAsia="Calibri" w:cs="Times New Roman"/>
                <w:i/>
                <w:iCs/>
                <w:sz w:val="20"/>
              </w:rPr>
              <w:t xml:space="preserve">    Pre-cohort</w:t>
            </w:r>
          </w:p>
        </w:tc>
        <w:tc>
          <w:tcPr>
            <w:tcW w:w="954" w:type="dxa"/>
            <w:vAlign w:val="center"/>
          </w:tcPr>
          <w:p w14:paraId="496FFE5D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239</w:t>
            </w:r>
          </w:p>
        </w:tc>
        <w:tc>
          <w:tcPr>
            <w:tcW w:w="1418" w:type="dxa"/>
            <w:vAlign w:val="center"/>
          </w:tcPr>
          <w:p w14:paraId="687E0FD9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51.6</w:t>
            </w:r>
          </w:p>
        </w:tc>
        <w:tc>
          <w:tcPr>
            <w:tcW w:w="1710" w:type="dxa"/>
            <w:vAlign w:val="center"/>
          </w:tcPr>
          <w:p w14:paraId="4732DE69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4.63 (4.06-5.26)</w:t>
            </w:r>
          </w:p>
        </w:tc>
        <w:tc>
          <w:tcPr>
            <w:tcW w:w="1710" w:type="dxa"/>
            <w:vAlign w:val="center"/>
          </w:tcPr>
          <w:p w14:paraId="058B2F2D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Reference</w:t>
            </w:r>
          </w:p>
        </w:tc>
        <w:tc>
          <w:tcPr>
            <w:tcW w:w="2070" w:type="dxa"/>
            <w:vAlign w:val="center"/>
          </w:tcPr>
          <w:p w14:paraId="479D7A55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Reference</w:t>
            </w:r>
          </w:p>
        </w:tc>
      </w:tr>
      <w:tr w:rsidR="00DF1F9F" w:rsidRPr="008C449D" w14:paraId="1020EC69" w14:textId="77777777" w:rsidTr="009270CB">
        <w:tc>
          <w:tcPr>
            <w:tcW w:w="2122" w:type="dxa"/>
            <w:tcBorders>
              <w:bottom w:val="single" w:sz="4" w:space="0" w:color="auto"/>
            </w:tcBorders>
          </w:tcPr>
          <w:p w14:paraId="457CB4D9" w14:textId="77777777" w:rsidR="00DF1F9F" w:rsidRPr="00D15A0D" w:rsidRDefault="00DF1F9F" w:rsidP="009270CB">
            <w:pPr>
              <w:spacing w:before="0" w:after="0"/>
              <w:rPr>
                <w:rFonts w:eastAsia="Calibri" w:cs="Times New Roman"/>
                <w:i/>
                <w:iCs/>
                <w:sz w:val="20"/>
              </w:rPr>
            </w:pPr>
            <w:r w:rsidRPr="00D15A0D">
              <w:rPr>
                <w:rFonts w:eastAsia="Calibri" w:cs="Times New Roman"/>
                <w:i/>
                <w:iCs/>
                <w:sz w:val="20"/>
              </w:rPr>
              <w:t xml:space="preserve">    Post-cohort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5C32CF68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228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44BBC2C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60.0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87EB356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3.80 (3.32-4.33)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FB2AB6D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0.82 (0.65-1.04)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46775DA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0.82 (0.65-1.04)</w:t>
            </w:r>
          </w:p>
        </w:tc>
      </w:tr>
      <w:tr w:rsidR="00DF1F9F" w:rsidRPr="008C449D" w14:paraId="7A57D955" w14:textId="77777777" w:rsidTr="009270CB">
        <w:tc>
          <w:tcPr>
            <w:tcW w:w="2122" w:type="dxa"/>
            <w:tcBorders>
              <w:top w:val="single" w:sz="4" w:space="0" w:color="auto"/>
            </w:tcBorders>
          </w:tcPr>
          <w:p w14:paraId="5A1A452B" w14:textId="77777777" w:rsidR="00DF1F9F" w:rsidRPr="00D15A0D" w:rsidRDefault="00DF1F9F" w:rsidP="009270CB">
            <w:pPr>
              <w:spacing w:before="0" w:after="0"/>
              <w:rPr>
                <w:rFonts w:eastAsia="Calibri" w:cs="Times New Roman"/>
                <w:b/>
                <w:bCs/>
                <w:sz w:val="20"/>
              </w:rPr>
            </w:pPr>
            <w:r w:rsidRPr="00D15A0D">
              <w:rPr>
                <w:rFonts w:eastAsia="Calibri" w:cs="Times New Roman"/>
                <w:b/>
                <w:bCs/>
                <w:sz w:val="20"/>
              </w:rPr>
              <w:t>30-day readmissions</w:t>
            </w:r>
            <w:r w:rsidRPr="00D15A0D">
              <w:rPr>
                <w:rFonts w:eastAsia="Calibri" w:cs="Times New Roman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14:paraId="3CDC7855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1013C6D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77822D9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6DDC569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74EB1A2B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DF1F9F" w:rsidRPr="008C449D" w14:paraId="6DDC6C8A" w14:textId="77777777" w:rsidTr="009270CB">
        <w:tc>
          <w:tcPr>
            <w:tcW w:w="2122" w:type="dxa"/>
          </w:tcPr>
          <w:p w14:paraId="17397982" w14:textId="77777777" w:rsidR="00DF1F9F" w:rsidRPr="00D15A0D" w:rsidRDefault="00DF1F9F" w:rsidP="009270CB">
            <w:pPr>
              <w:spacing w:before="0" w:after="0"/>
              <w:rPr>
                <w:rFonts w:eastAsia="Calibri" w:cs="Times New Roman"/>
                <w:i/>
                <w:iCs/>
                <w:sz w:val="20"/>
              </w:rPr>
            </w:pPr>
            <w:r w:rsidRPr="00D15A0D">
              <w:rPr>
                <w:rFonts w:eastAsia="Calibri" w:cs="Times New Roman"/>
                <w:i/>
                <w:iCs/>
                <w:sz w:val="20"/>
              </w:rPr>
              <w:t xml:space="preserve">    Pre-cohort</w:t>
            </w:r>
          </w:p>
        </w:tc>
        <w:tc>
          <w:tcPr>
            <w:tcW w:w="954" w:type="dxa"/>
            <w:vAlign w:val="center"/>
          </w:tcPr>
          <w:p w14:paraId="12F72BCC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50</w:t>
            </w:r>
          </w:p>
        </w:tc>
        <w:tc>
          <w:tcPr>
            <w:tcW w:w="1418" w:type="dxa"/>
            <w:vAlign w:val="center"/>
          </w:tcPr>
          <w:p w14:paraId="2F57F419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7.4</w:t>
            </w:r>
          </w:p>
        </w:tc>
        <w:tc>
          <w:tcPr>
            <w:tcW w:w="1710" w:type="dxa"/>
            <w:vAlign w:val="center"/>
          </w:tcPr>
          <w:p w14:paraId="5C3C2564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6.74 (5.00-8.89)</w:t>
            </w:r>
          </w:p>
        </w:tc>
        <w:tc>
          <w:tcPr>
            <w:tcW w:w="1710" w:type="dxa"/>
            <w:vAlign w:val="center"/>
          </w:tcPr>
          <w:p w14:paraId="0A736405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Reference</w:t>
            </w:r>
          </w:p>
        </w:tc>
        <w:tc>
          <w:tcPr>
            <w:tcW w:w="2070" w:type="dxa"/>
            <w:vAlign w:val="center"/>
          </w:tcPr>
          <w:p w14:paraId="07D0BC82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Reference</w:t>
            </w:r>
          </w:p>
        </w:tc>
      </w:tr>
      <w:tr w:rsidR="00DF1F9F" w:rsidRPr="008C449D" w14:paraId="72B7629C" w14:textId="77777777" w:rsidTr="009270CB">
        <w:tc>
          <w:tcPr>
            <w:tcW w:w="2122" w:type="dxa"/>
            <w:tcBorders>
              <w:bottom w:val="single" w:sz="4" w:space="0" w:color="auto"/>
            </w:tcBorders>
          </w:tcPr>
          <w:p w14:paraId="3C3CD581" w14:textId="77777777" w:rsidR="00DF1F9F" w:rsidRPr="00D15A0D" w:rsidRDefault="00DF1F9F" w:rsidP="009270CB">
            <w:pPr>
              <w:spacing w:before="0" w:after="0"/>
              <w:rPr>
                <w:rFonts w:eastAsia="Calibri" w:cs="Times New Roman"/>
                <w:i/>
                <w:iCs/>
                <w:sz w:val="20"/>
              </w:rPr>
            </w:pPr>
            <w:r w:rsidRPr="00D15A0D">
              <w:rPr>
                <w:rFonts w:eastAsia="Calibri" w:cs="Times New Roman"/>
                <w:i/>
                <w:iCs/>
                <w:sz w:val="20"/>
              </w:rPr>
              <w:t xml:space="preserve">    Post-cohort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04D79AF2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46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E5FEAA9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6.6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0BA50CE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7.00 (5.13-9.34)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6BAA888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1.04 (0.67-1.60)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1E03E00" w14:textId="77777777" w:rsidR="00DF1F9F" w:rsidRPr="00D15A0D" w:rsidRDefault="00DF1F9F" w:rsidP="009270CB">
            <w:pPr>
              <w:spacing w:before="0" w:after="0"/>
              <w:jc w:val="center"/>
              <w:rPr>
                <w:rFonts w:eastAsia="Calibri" w:cs="Times New Roman"/>
                <w:sz w:val="20"/>
              </w:rPr>
            </w:pPr>
            <w:r w:rsidRPr="00D15A0D">
              <w:rPr>
                <w:rFonts w:eastAsia="Calibri" w:cs="Times New Roman"/>
                <w:sz w:val="20"/>
              </w:rPr>
              <w:t>1.12 (0.72-1.72)</w:t>
            </w:r>
          </w:p>
        </w:tc>
      </w:tr>
    </w:tbl>
    <w:p w14:paraId="004EE7FF" w14:textId="77777777" w:rsidR="00DF1F9F" w:rsidRPr="00D15A0D" w:rsidRDefault="00DF1F9F" w:rsidP="00DF1F9F">
      <w:pPr>
        <w:spacing w:before="0" w:after="160" w:line="259" w:lineRule="auto"/>
        <w:contextualSpacing/>
        <w:rPr>
          <w:rFonts w:eastAsia="Calibri" w:cs="Times New Roman"/>
          <w:sz w:val="20"/>
        </w:rPr>
      </w:pPr>
      <w:r w:rsidRPr="00D15A0D">
        <w:rPr>
          <w:rFonts w:eastAsia="Calibri" w:cs="Times New Roman"/>
          <w:sz w:val="20"/>
          <w:vertAlign w:val="superscript"/>
        </w:rPr>
        <w:t>1</w:t>
      </w:r>
      <w:r w:rsidRPr="00D15A0D">
        <w:rPr>
          <w:rFonts w:eastAsia="Calibri" w:cs="Times New Roman"/>
          <w:sz w:val="20"/>
        </w:rPr>
        <w:t xml:space="preserve"> Adjusted for age, race (</w:t>
      </w:r>
      <w:proofErr w:type="gramStart"/>
      <w:r w:rsidRPr="00D15A0D">
        <w:rPr>
          <w:rFonts w:eastAsia="Calibri" w:cs="Times New Roman"/>
          <w:sz w:val="20"/>
        </w:rPr>
        <w:t>Non-Hispanic</w:t>
      </w:r>
      <w:proofErr w:type="gramEnd"/>
      <w:r w:rsidRPr="00D15A0D">
        <w:rPr>
          <w:rFonts w:eastAsia="Calibri" w:cs="Times New Roman"/>
          <w:sz w:val="20"/>
        </w:rPr>
        <w:t xml:space="preserve"> white vs other), marital status (married vs unmarried), sex (male vs female), location (</w:t>
      </w:r>
      <w:r>
        <w:rPr>
          <w:rFonts w:eastAsia="Calibri" w:cs="Times New Roman"/>
          <w:sz w:val="20"/>
        </w:rPr>
        <w:t>patient primary address within Franklin County vs adjacent county</w:t>
      </w:r>
      <w:r w:rsidRPr="00D15A0D">
        <w:rPr>
          <w:rFonts w:eastAsia="Calibri" w:cs="Times New Roman"/>
          <w:sz w:val="20"/>
        </w:rPr>
        <w:t xml:space="preserve">), </w:t>
      </w:r>
      <w:proofErr w:type="spellStart"/>
      <w:r w:rsidRPr="00D15A0D">
        <w:rPr>
          <w:rFonts w:eastAsia="Calibri" w:cs="Times New Roman"/>
          <w:sz w:val="20"/>
        </w:rPr>
        <w:t>Charlson</w:t>
      </w:r>
      <w:proofErr w:type="spellEnd"/>
      <w:r w:rsidRPr="00D15A0D">
        <w:rPr>
          <w:rFonts w:eastAsia="Calibri" w:cs="Times New Roman"/>
          <w:sz w:val="20"/>
        </w:rPr>
        <w:t xml:space="preserve"> score at baseline, cancer type and cancer stage (NSCLC stage 1 or 2, NSCLC stage 3, NSCLC stage 4, or SCLC).</w:t>
      </w:r>
    </w:p>
    <w:p w14:paraId="6E26D5B6" w14:textId="77777777" w:rsidR="00DF1F9F" w:rsidRDefault="00DF1F9F" w:rsidP="00DF1F9F">
      <w:pPr>
        <w:spacing w:before="0" w:after="160" w:line="259" w:lineRule="auto"/>
        <w:contextualSpacing/>
        <w:rPr>
          <w:rFonts w:eastAsia="Calibri" w:cs="Times New Roman"/>
          <w:sz w:val="20"/>
        </w:rPr>
      </w:pPr>
      <w:r w:rsidRPr="00D15A0D">
        <w:rPr>
          <w:rFonts w:eastAsia="Calibri" w:cs="Times New Roman"/>
          <w:sz w:val="20"/>
          <w:vertAlign w:val="superscript"/>
        </w:rPr>
        <w:t>2</w:t>
      </w:r>
      <w:r w:rsidRPr="00D15A0D">
        <w:rPr>
          <w:rFonts w:eastAsia="Calibri" w:cs="Times New Roman"/>
          <w:sz w:val="20"/>
        </w:rPr>
        <w:t xml:space="preserve"> Individuals had at most 30</w:t>
      </w:r>
      <w:r>
        <w:rPr>
          <w:rFonts w:eastAsia="Calibri" w:cs="Times New Roman"/>
          <w:sz w:val="20"/>
        </w:rPr>
        <w:t xml:space="preserve"> </w:t>
      </w:r>
      <w:r w:rsidRPr="00D15A0D">
        <w:rPr>
          <w:rFonts w:eastAsia="Calibri" w:cs="Times New Roman"/>
          <w:sz w:val="20"/>
        </w:rPr>
        <w:t xml:space="preserve">days </w:t>
      </w:r>
      <w:r w:rsidRPr="00DD0090">
        <w:rPr>
          <w:rFonts w:eastAsia="Calibri" w:cs="Times New Roman"/>
          <w:sz w:val="20"/>
        </w:rPr>
        <w:t>of risk of a hospital readmission after each qualifying hospital admission.</w:t>
      </w:r>
    </w:p>
    <w:p w14:paraId="62E18A2C" w14:textId="77777777" w:rsidR="00DF1F9F" w:rsidRPr="00DD0090" w:rsidRDefault="00DF1F9F" w:rsidP="00DF1F9F">
      <w:pPr>
        <w:spacing w:before="0" w:after="160" w:line="259" w:lineRule="auto"/>
        <w:contextualSpacing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ICU = intensive care unit.</w:t>
      </w:r>
    </w:p>
    <w:p w14:paraId="017EA729" w14:textId="77777777" w:rsidR="00DF1F9F" w:rsidRPr="00DD0090" w:rsidRDefault="00DF1F9F" w:rsidP="00DF1F9F">
      <w:pPr>
        <w:spacing w:before="0" w:after="160" w:line="259" w:lineRule="auto"/>
        <w:contextualSpacing/>
        <w:rPr>
          <w:rFonts w:eastAsia="Calibri" w:cs="Times New Roman"/>
          <w:sz w:val="20"/>
        </w:rPr>
      </w:pPr>
      <w:r w:rsidRPr="00DD0090">
        <w:rPr>
          <w:rFonts w:eastAsia="Calibri" w:cs="Times New Roman"/>
          <w:sz w:val="20"/>
        </w:rPr>
        <w:t>ED = emergency department.</w:t>
      </w:r>
    </w:p>
    <w:p w14:paraId="72DF75F5" w14:textId="77777777" w:rsidR="00DF1F9F" w:rsidRDefault="00DF1F9F" w:rsidP="00DF1F9F">
      <w:pPr>
        <w:spacing w:before="0" w:after="160" w:line="259" w:lineRule="auto"/>
        <w:contextualSpacing/>
        <w:rPr>
          <w:rFonts w:eastAsia="Calibri" w:cs="Times New Roman"/>
          <w:sz w:val="20"/>
        </w:rPr>
      </w:pPr>
      <w:r w:rsidRPr="00DD0090">
        <w:rPr>
          <w:rFonts w:eastAsia="Calibri" w:cs="Times New Roman"/>
          <w:sz w:val="20"/>
        </w:rPr>
        <w:t>CI = confidence interval.</w:t>
      </w:r>
    </w:p>
    <w:p w14:paraId="01BD1C57" w14:textId="77777777" w:rsidR="00DF1F9F" w:rsidRDefault="00DF1F9F" w:rsidP="00DF1F9F">
      <w:pPr>
        <w:spacing w:before="0" w:after="160" w:line="259" w:lineRule="auto"/>
        <w:contextualSpacing/>
        <w:rPr>
          <w:rFonts w:eastAsia="Calibri" w:cs="Times New Roman"/>
          <w:sz w:val="20"/>
        </w:rPr>
      </w:pPr>
    </w:p>
    <w:p w14:paraId="4B22D42F" w14:textId="77777777" w:rsidR="00661A82" w:rsidRDefault="00661A82"/>
    <w:sectPr w:rsidR="0066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9F"/>
    <w:rsid w:val="00661A82"/>
    <w:rsid w:val="0067532E"/>
    <w:rsid w:val="00BA557A"/>
    <w:rsid w:val="00D9289C"/>
    <w:rsid w:val="00D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998D"/>
  <w15:chartTrackingRefBased/>
  <w15:docId w15:val="{0F70CFC6-9F3C-4A1B-9444-AA30FC71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F9F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DF1F9F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F1F9F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F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Gast</dc:creator>
  <cp:keywords/>
  <dc:description/>
  <cp:lastModifiedBy>Kelly Gast</cp:lastModifiedBy>
  <cp:revision>2</cp:revision>
  <dcterms:created xsi:type="dcterms:W3CDTF">2022-02-16T16:15:00Z</dcterms:created>
  <dcterms:modified xsi:type="dcterms:W3CDTF">2022-02-16T16:15:00Z</dcterms:modified>
</cp:coreProperties>
</file>