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1C17B" w14:textId="77777777" w:rsidR="00A432CC" w:rsidRPr="00F73388" w:rsidRDefault="00A432CC" w:rsidP="00A432CC">
      <w:pPr>
        <w:spacing w:line="360" w:lineRule="auto"/>
        <w:rPr>
          <w:rFonts w:asciiTheme="majorBidi" w:hAnsiTheme="majorBidi" w:cstheme="majorBidi"/>
        </w:rPr>
      </w:pPr>
      <w:r w:rsidRPr="00F73388">
        <w:rPr>
          <w:rFonts w:asciiTheme="majorBidi" w:hAnsiTheme="majorBidi" w:cstheme="majorBidi"/>
          <w:b/>
          <w:bCs/>
        </w:rPr>
        <w:t>Supplementary Table 1.</w:t>
      </w:r>
      <w:r w:rsidRPr="00F73388">
        <w:rPr>
          <w:rFonts w:asciiTheme="majorBidi" w:hAnsiTheme="majorBidi" w:cstheme="majorBidi"/>
        </w:rPr>
        <w:t xml:space="preserve"> Correlation between </w:t>
      </w:r>
      <w:r>
        <w:rPr>
          <w:rFonts w:asciiTheme="majorBidi" w:hAnsiTheme="majorBidi" w:cstheme="majorBidi"/>
        </w:rPr>
        <w:t>ILK expression and immune cell</w:t>
      </w:r>
      <w:r w:rsidRPr="00F73388">
        <w:rPr>
          <w:rFonts w:asciiTheme="majorBidi" w:hAnsiTheme="majorBidi" w:cstheme="majorBidi"/>
        </w:rPr>
        <w:t xml:space="preserve"> markers and related genes expression in COAD, KIRC, STAD and LUSC via TIMER.</w:t>
      </w:r>
    </w:p>
    <w:p w14:paraId="5948903B" w14:textId="77777777" w:rsidR="00A432CC" w:rsidRDefault="00A432CC" w:rsidP="00A432CC">
      <w:pPr>
        <w:spacing w:line="360" w:lineRule="auto"/>
        <w:jc w:val="center"/>
        <w:rPr>
          <w:rFonts w:asciiTheme="majorBidi" w:hAnsiTheme="majorBidi" w:cstheme="majorBidi"/>
        </w:rPr>
      </w:pPr>
    </w:p>
    <w:p w14:paraId="4FD20DB6" w14:textId="77777777" w:rsidR="00A432CC" w:rsidRPr="00F73388" w:rsidRDefault="00A432CC" w:rsidP="00A432CC">
      <w:pPr>
        <w:spacing w:line="360" w:lineRule="auto"/>
        <w:jc w:val="center"/>
        <w:rPr>
          <w:rFonts w:asciiTheme="majorBidi" w:hAnsiTheme="majorBidi" w:cstheme="majorBidi"/>
        </w:rPr>
      </w:pPr>
      <w:r w:rsidRPr="00CB6752">
        <w:rPr>
          <w:rFonts w:asciiTheme="majorBidi" w:hAnsiTheme="majorBidi" w:cstheme="majorBidi"/>
          <w:noProof/>
          <w:lang w:eastAsia="en-US"/>
        </w:rPr>
        <w:drawing>
          <wp:inline distT="0" distB="0" distL="0" distR="0" wp14:anchorId="65BD7F36" wp14:editId="31C629F6">
            <wp:extent cx="5727700" cy="4537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27700" cy="4537075"/>
                    </a:xfrm>
                    <a:prstGeom prst="rect">
                      <a:avLst/>
                    </a:prstGeom>
                  </pic:spPr>
                </pic:pic>
              </a:graphicData>
            </a:graphic>
          </wp:inline>
        </w:drawing>
      </w:r>
    </w:p>
    <w:p w14:paraId="4864D6A2" w14:textId="77777777" w:rsidR="00A432CC" w:rsidRPr="00F73388" w:rsidRDefault="00A432CC" w:rsidP="00A432CC">
      <w:pPr>
        <w:pStyle w:val="NormalWeb"/>
        <w:spacing w:line="360" w:lineRule="auto"/>
        <w:jc w:val="both"/>
      </w:pPr>
      <w:r w:rsidRPr="00F73388">
        <w:t xml:space="preserve">CODA, colon adenocarcinoma; KIRC, kidney renal clear cell carcinoma; STAD, stomach adenocarcinoma; LUSC, lung squamous cell carcinoma; TAM, tumor-associated macrophage; Th, T helper cell; </w:t>
      </w:r>
      <w:proofErr w:type="spellStart"/>
      <w:r w:rsidRPr="00F73388">
        <w:t>Tfh</w:t>
      </w:r>
      <w:proofErr w:type="spellEnd"/>
      <w:r w:rsidRPr="00F73388">
        <w:t xml:space="preserve">, Follicular helper T cell; Treg, regulatory T cell; Cor, Rho value of Spearman’s correlation; None, correlation without adjustment. Purity, correlation adjusted by purity. Significant </w:t>
      </w:r>
      <w:r w:rsidRPr="00F73388">
        <w:rPr>
          <w:i/>
          <w:iCs/>
        </w:rPr>
        <w:t>P</w:t>
      </w:r>
      <w:r w:rsidRPr="00F73388">
        <w:t xml:space="preserve">-value is &lt;0.05 (bold); </w:t>
      </w:r>
      <w:r w:rsidRPr="00F73388">
        <w:rPr>
          <w:position w:val="4"/>
        </w:rPr>
        <w:t>*</w:t>
      </w:r>
      <w:r w:rsidRPr="00F73388">
        <w:rPr>
          <w:i/>
          <w:iCs/>
        </w:rPr>
        <w:t>P</w:t>
      </w:r>
      <w:r w:rsidRPr="00F73388">
        <w:t xml:space="preserve"> &lt; 0.01; </w:t>
      </w:r>
      <w:r w:rsidRPr="00F73388">
        <w:rPr>
          <w:position w:val="4"/>
        </w:rPr>
        <w:t>**</w:t>
      </w:r>
      <w:r w:rsidRPr="00F73388">
        <w:rPr>
          <w:i/>
          <w:iCs/>
        </w:rPr>
        <w:t>P</w:t>
      </w:r>
      <w:r w:rsidRPr="00F73388">
        <w:t xml:space="preserve"> &lt; 0.001; </w:t>
      </w:r>
      <w:r w:rsidRPr="00F73388">
        <w:rPr>
          <w:position w:val="4"/>
        </w:rPr>
        <w:t>***</w:t>
      </w:r>
      <w:r w:rsidRPr="00F73388">
        <w:rPr>
          <w:i/>
          <w:iCs/>
        </w:rPr>
        <w:t>P</w:t>
      </w:r>
      <w:r w:rsidRPr="00F73388">
        <w:t xml:space="preserve"> &lt; 0.0001.</w:t>
      </w:r>
    </w:p>
    <w:p w14:paraId="5F8AE4AF" w14:textId="77777777" w:rsidR="00A432CC" w:rsidRPr="00F73388" w:rsidRDefault="00A432CC" w:rsidP="00A432CC">
      <w:pPr>
        <w:spacing w:after="160" w:line="259" w:lineRule="auto"/>
        <w:rPr>
          <w:lang w:val="en-AU"/>
        </w:rPr>
      </w:pPr>
      <w:r w:rsidRPr="00F73388">
        <w:br w:type="page"/>
      </w:r>
    </w:p>
    <w:p w14:paraId="6E73F3A0" w14:textId="77777777" w:rsidR="00A432CC" w:rsidRPr="00D1143D" w:rsidRDefault="00A432CC" w:rsidP="00A432CC">
      <w:pPr>
        <w:spacing w:line="360" w:lineRule="auto"/>
        <w:jc w:val="center"/>
        <w:rPr>
          <w:rFonts w:eastAsia="Calibri"/>
        </w:rPr>
      </w:pPr>
      <w:r w:rsidRPr="00150712">
        <w:rPr>
          <w:rFonts w:eastAsia="Calibri"/>
          <w:noProof/>
          <w:lang w:eastAsia="en-US"/>
        </w:rPr>
        <w:lastRenderedPageBreak/>
        <w:drawing>
          <wp:inline distT="0" distB="0" distL="0" distR="0" wp14:anchorId="1A449910" wp14:editId="54B0B45B">
            <wp:extent cx="3911551" cy="5919952"/>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4344" t="4627" r="10786" b="33114"/>
                    <a:stretch/>
                  </pic:blipFill>
                  <pic:spPr bwMode="auto">
                    <a:xfrm>
                      <a:off x="0" y="0"/>
                      <a:ext cx="3923876" cy="59386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562A19" w14:textId="77777777" w:rsidR="00A432CC" w:rsidRPr="00F73388" w:rsidRDefault="00A432CC" w:rsidP="00A432CC">
      <w:pPr>
        <w:spacing w:line="360" w:lineRule="auto"/>
        <w:jc w:val="both"/>
        <w:rPr>
          <w:rFonts w:eastAsia="Calibri"/>
        </w:rPr>
      </w:pPr>
      <w:r w:rsidRPr="00D1143D">
        <w:rPr>
          <w:rFonts w:eastAsia="Calibri"/>
          <w:b/>
          <w:bCs/>
        </w:rPr>
        <w:t>Supplementary Figure 1.</w:t>
      </w:r>
      <w:r w:rsidRPr="00D1143D">
        <w:rPr>
          <w:rFonts w:eastAsia="Calibri"/>
        </w:rPr>
        <w:t xml:space="preserve"> The correlation between ILK expression and survival rates in KIRC, STAD and LUSC. </w:t>
      </w:r>
      <w:r w:rsidRPr="00DA616E">
        <w:rPr>
          <w:color w:val="000000"/>
          <w:lang w:val="en-AU"/>
        </w:rPr>
        <w:t>The LUSC patients were divided into low and high ILK mRNA expression groups, below and above the cut-off (2.16 FPKM) respectively. Low ILK expression patients (n=164) and high ILK expression patients (n=330). The STAD patients were divided into low (n=270) and high (n=84) ILK mRNA expression groups, below and above the cut-off (3.86 FPKM) respectively. The KIRC patients were divided into low (n=133 and high (n=395) ILK mRNA expression groups, below and above the cut-off (3.80 FPKM) respectively.</w:t>
      </w:r>
      <w:r>
        <w:rPr>
          <w:color w:val="000000"/>
          <w:lang w:val="en-AU"/>
        </w:rPr>
        <w:t xml:space="preserve"> </w:t>
      </w:r>
      <w:r w:rsidRPr="00D1143D">
        <w:rPr>
          <w:rFonts w:eastAsia="Calibri"/>
        </w:rPr>
        <w:t xml:space="preserve">KIRC, kidney renal clear cell carcinoma; STAD, </w:t>
      </w:r>
      <w:r w:rsidRPr="00D1143D">
        <w:rPr>
          <w:rFonts w:eastAsia="Calibri"/>
        </w:rPr>
        <w:lastRenderedPageBreak/>
        <w:t xml:space="preserve">stomach adenocarcinoma; LUSC, lung squamous cell carcinoma. Significant </w:t>
      </w:r>
      <w:r w:rsidRPr="00D1143D">
        <w:rPr>
          <w:rFonts w:eastAsia="Calibri"/>
          <w:i/>
          <w:iCs/>
        </w:rPr>
        <w:t>P</w:t>
      </w:r>
      <w:r w:rsidRPr="00D1143D">
        <w:rPr>
          <w:rFonts w:eastAsia="Calibri"/>
        </w:rPr>
        <w:t>-value is &lt;0.05.</w:t>
      </w:r>
    </w:p>
    <w:p w14:paraId="1199ED5B" w14:textId="77777777" w:rsidR="00A432CC" w:rsidRPr="00F73388" w:rsidRDefault="00A432CC" w:rsidP="00A432CC">
      <w:pPr>
        <w:spacing w:after="160" w:line="259" w:lineRule="auto"/>
        <w:rPr>
          <w:rFonts w:eastAsia="Calibri"/>
        </w:rPr>
      </w:pPr>
      <w:r w:rsidRPr="00F73388">
        <w:rPr>
          <w:rFonts w:eastAsia="Calibri"/>
        </w:rPr>
        <w:br w:type="page"/>
      </w:r>
    </w:p>
    <w:p w14:paraId="593381AA" w14:textId="77777777" w:rsidR="00A432CC" w:rsidRPr="00F73388" w:rsidRDefault="00A432CC" w:rsidP="00A432CC">
      <w:pPr>
        <w:spacing w:line="360" w:lineRule="auto"/>
        <w:rPr>
          <w:rFonts w:eastAsia="Calibri"/>
        </w:rPr>
      </w:pPr>
      <w:r w:rsidRPr="00150712">
        <w:rPr>
          <w:rFonts w:eastAsia="Calibri"/>
          <w:noProof/>
          <w:lang w:eastAsia="en-US"/>
        </w:rPr>
        <w:lastRenderedPageBreak/>
        <w:drawing>
          <wp:inline distT="0" distB="0" distL="0" distR="0" wp14:anchorId="1A03F415" wp14:editId="24B7881F">
            <wp:extent cx="5727700" cy="73113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screen">
                      <a:extLst>
                        <a:ext uri="{28A0092B-C50C-407E-A947-70E740481C1C}">
                          <a14:useLocalDpi xmlns:a14="http://schemas.microsoft.com/office/drawing/2010/main"/>
                        </a:ext>
                      </a:extLst>
                    </a:blip>
                    <a:stretch>
                      <a:fillRect/>
                    </a:stretch>
                  </pic:blipFill>
                  <pic:spPr>
                    <a:xfrm>
                      <a:off x="0" y="0"/>
                      <a:ext cx="5727700" cy="7311390"/>
                    </a:xfrm>
                    <a:prstGeom prst="rect">
                      <a:avLst/>
                    </a:prstGeom>
                  </pic:spPr>
                </pic:pic>
              </a:graphicData>
            </a:graphic>
          </wp:inline>
        </w:drawing>
      </w:r>
      <w:r w:rsidRPr="00150712">
        <w:rPr>
          <w:rFonts w:eastAsia="Calibri"/>
          <w:noProof/>
          <w:lang w:eastAsia="en-US"/>
        </w:rPr>
        <w:lastRenderedPageBreak/>
        <w:drawing>
          <wp:inline distT="0" distB="0" distL="0" distR="0" wp14:anchorId="2FEDD379" wp14:editId="51D68400">
            <wp:extent cx="5727700" cy="8105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screen">
                      <a:extLst>
                        <a:ext uri="{28A0092B-C50C-407E-A947-70E740481C1C}">
                          <a14:useLocalDpi xmlns:a14="http://schemas.microsoft.com/office/drawing/2010/main"/>
                        </a:ext>
                      </a:extLst>
                    </a:blip>
                    <a:stretch>
                      <a:fillRect/>
                    </a:stretch>
                  </pic:blipFill>
                  <pic:spPr>
                    <a:xfrm>
                      <a:off x="0" y="0"/>
                      <a:ext cx="5727700" cy="8105140"/>
                    </a:xfrm>
                    <a:prstGeom prst="rect">
                      <a:avLst/>
                    </a:prstGeom>
                  </pic:spPr>
                </pic:pic>
              </a:graphicData>
            </a:graphic>
          </wp:inline>
        </w:drawing>
      </w:r>
      <w:r w:rsidRPr="00150712">
        <w:rPr>
          <w:rFonts w:eastAsia="Calibri"/>
          <w:noProof/>
          <w:lang w:eastAsia="en-US"/>
        </w:rPr>
        <w:lastRenderedPageBreak/>
        <w:drawing>
          <wp:inline distT="0" distB="0" distL="0" distR="0" wp14:anchorId="2D92D2F0" wp14:editId="74B2F9FB">
            <wp:extent cx="5727700" cy="81051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screen">
                      <a:extLst>
                        <a:ext uri="{28A0092B-C50C-407E-A947-70E740481C1C}">
                          <a14:useLocalDpi xmlns:a14="http://schemas.microsoft.com/office/drawing/2010/main"/>
                        </a:ext>
                      </a:extLst>
                    </a:blip>
                    <a:stretch>
                      <a:fillRect/>
                    </a:stretch>
                  </pic:blipFill>
                  <pic:spPr>
                    <a:xfrm>
                      <a:off x="0" y="0"/>
                      <a:ext cx="5727700" cy="8105140"/>
                    </a:xfrm>
                    <a:prstGeom prst="rect">
                      <a:avLst/>
                    </a:prstGeom>
                  </pic:spPr>
                </pic:pic>
              </a:graphicData>
            </a:graphic>
          </wp:inline>
        </w:drawing>
      </w:r>
      <w:r w:rsidRPr="00150712">
        <w:rPr>
          <w:rFonts w:eastAsia="Calibri"/>
          <w:noProof/>
          <w:lang w:eastAsia="en-US"/>
        </w:rPr>
        <w:lastRenderedPageBreak/>
        <w:drawing>
          <wp:inline distT="0" distB="0" distL="0" distR="0" wp14:anchorId="112D0640" wp14:editId="075586AB">
            <wp:extent cx="5478296" cy="7752214"/>
            <wp:effectExtent l="0" t="0" r="8255" b="1270"/>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5488764" cy="7767027"/>
                    </a:xfrm>
                    <a:prstGeom prst="rect">
                      <a:avLst/>
                    </a:prstGeom>
                  </pic:spPr>
                </pic:pic>
              </a:graphicData>
            </a:graphic>
          </wp:inline>
        </w:drawing>
      </w:r>
    </w:p>
    <w:p w14:paraId="28024D25" w14:textId="77777777" w:rsidR="00A432CC" w:rsidRPr="00F73388" w:rsidRDefault="00A432CC" w:rsidP="00A432CC">
      <w:pPr>
        <w:spacing w:line="360" w:lineRule="auto"/>
        <w:jc w:val="both"/>
        <w:rPr>
          <w:rFonts w:eastAsia="Calibri"/>
        </w:rPr>
      </w:pPr>
      <w:r w:rsidRPr="00F73388">
        <w:rPr>
          <w:rFonts w:eastAsia="Calibri"/>
          <w:b/>
          <w:bCs/>
        </w:rPr>
        <w:lastRenderedPageBreak/>
        <w:t xml:space="preserve">Supplementary Figure 2. </w:t>
      </w:r>
      <w:r w:rsidRPr="00F73388">
        <w:rPr>
          <w:rFonts w:eastAsia="Calibri"/>
        </w:rPr>
        <w:t xml:space="preserve">Correlation between ILK expression and immune cells infiltration in 39 cancers. </w:t>
      </w:r>
      <w:r w:rsidRPr="00F73388">
        <w:rPr>
          <w:rFonts w:eastAsia="Calibri"/>
          <w:color w:val="000000"/>
        </w:rPr>
        <w:t xml:space="preserve">The correlations between ILK gene expression and tumor purity are on the left panel. The correlation between ILK and immune cells including B cells, CD8+ T cells, CD4+ T cells, macrophages, neutrophils and DCs </w:t>
      </w:r>
      <w:r w:rsidRPr="00115CB4">
        <w:rPr>
          <w:rFonts w:asciiTheme="majorBidi" w:hAnsiTheme="majorBidi" w:cstheme="majorBidi"/>
          <w:color w:val="000000" w:themeColor="text1"/>
        </w:rPr>
        <w:t>are corrected by tumor purity (</w:t>
      </w:r>
      <w:proofErr w:type="spellStart"/>
      <w:r>
        <w:rPr>
          <w:rFonts w:asciiTheme="majorBidi" w:hAnsiTheme="majorBidi" w:cstheme="majorBidi"/>
          <w:color w:val="000000" w:themeColor="text1"/>
        </w:rPr>
        <w:t>partial.cor</w:t>
      </w:r>
      <w:proofErr w:type="spellEnd"/>
      <w:r>
        <w:rPr>
          <w:rFonts w:asciiTheme="majorBidi" w:hAnsiTheme="majorBidi" w:cstheme="majorBidi"/>
          <w:color w:val="000000" w:themeColor="text1"/>
        </w:rPr>
        <w:t xml:space="preserve">, </w:t>
      </w:r>
      <w:r w:rsidRPr="00115CB4">
        <w:rPr>
          <w:rFonts w:asciiTheme="majorBidi" w:hAnsiTheme="majorBidi" w:cstheme="majorBidi"/>
          <w:color w:val="000000" w:themeColor="text1"/>
        </w:rPr>
        <w:t>partial spearman’s correlation rho)</w:t>
      </w:r>
      <w:r>
        <w:rPr>
          <w:rFonts w:asciiTheme="majorBidi" w:hAnsiTheme="majorBidi" w:cstheme="majorBidi"/>
          <w:color w:val="000000" w:themeColor="text1"/>
        </w:rPr>
        <w:t xml:space="preserve">. </w:t>
      </w:r>
      <w:r w:rsidRPr="00F73388">
        <w:rPr>
          <w:rFonts w:eastAsia="Calibri"/>
          <w:color w:val="000000"/>
        </w:rPr>
        <w:t>Significant</w:t>
      </w:r>
      <w:r w:rsidRPr="00F73388">
        <w:rPr>
          <w:rFonts w:eastAsia="Calibri"/>
          <w:i/>
          <w:iCs/>
          <w:color w:val="000000"/>
        </w:rPr>
        <w:t xml:space="preserve"> P</w:t>
      </w:r>
      <w:r w:rsidRPr="00F73388">
        <w:rPr>
          <w:rFonts w:eastAsia="Calibri"/>
          <w:color w:val="000000"/>
        </w:rPr>
        <w:t xml:space="preserve">-value is &lt;0.05. </w:t>
      </w:r>
      <w:r w:rsidRPr="00F73388">
        <w:rPr>
          <w:rFonts w:eastAsia="Calibri"/>
        </w:rPr>
        <w:t xml:space="preserve">Adrenocortical carcinoma(ACC), Bladder Urothelial Carcinoma (BLCA), Breast invasive carcinoma (BRCA), Breast invasive carcinoma-Basal (BRCA-Basal), Breast invasive carcinoma-Her2 (BRCA-Her2), Breast invasive carcinoma-Luminal (BRCA- Luminal), Cervical squamous cell carcinoma and endocervical adenocarcinoma(CESC), </w:t>
      </w:r>
      <w:proofErr w:type="spellStart"/>
      <w:r w:rsidRPr="00F73388">
        <w:rPr>
          <w:rFonts w:eastAsia="Calibri"/>
        </w:rPr>
        <w:t>Cholangio</w:t>
      </w:r>
      <w:proofErr w:type="spellEnd"/>
      <w:r w:rsidRPr="00F73388">
        <w:rPr>
          <w:rFonts w:eastAsia="Calibri"/>
        </w:rPr>
        <w:t xml:space="preserve"> carcinoma(CHOL), Lymphoid Neoplasm Diffuse Large B-cell Lymphoma(DLBC), Esophageal carcinoma(ESCA), Glioblastoma multiforme(GBM), Head and Neck squamous cell carcinoma(HNSC), Head and Neck squamous cell carcinoma- </w:t>
      </w:r>
      <w:proofErr w:type="spellStart"/>
      <w:r w:rsidRPr="00F73388">
        <w:rPr>
          <w:rFonts w:eastAsia="Calibri"/>
        </w:rPr>
        <w:t>HPVpos</w:t>
      </w:r>
      <w:proofErr w:type="spellEnd"/>
      <w:r w:rsidRPr="00F73388">
        <w:rPr>
          <w:rFonts w:eastAsia="Calibri"/>
        </w:rPr>
        <w:t>(HNSC-</w:t>
      </w:r>
      <w:proofErr w:type="spellStart"/>
      <w:r w:rsidRPr="00F73388">
        <w:rPr>
          <w:rFonts w:eastAsia="Calibri"/>
        </w:rPr>
        <w:t>HPVpos</w:t>
      </w:r>
      <w:proofErr w:type="spellEnd"/>
      <w:r w:rsidRPr="00F73388">
        <w:rPr>
          <w:rFonts w:eastAsia="Calibri"/>
        </w:rPr>
        <w:t>), Head and Neck squamous cell carcinoma-</w:t>
      </w:r>
      <w:proofErr w:type="spellStart"/>
      <w:r w:rsidRPr="00F73388">
        <w:rPr>
          <w:rFonts w:eastAsia="Calibri"/>
        </w:rPr>
        <w:t>HPVneg</w:t>
      </w:r>
      <w:proofErr w:type="spellEnd"/>
      <w:r w:rsidRPr="00F73388">
        <w:rPr>
          <w:rFonts w:eastAsia="Calibri"/>
        </w:rPr>
        <w:t>(HNSC-</w:t>
      </w:r>
      <w:proofErr w:type="spellStart"/>
      <w:r w:rsidRPr="00F73388">
        <w:rPr>
          <w:rFonts w:eastAsia="Calibri"/>
        </w:rPr>
        <w:t>HPVneg</w:t>
      </w:r>
      <w:proofErr w:type="spellEnd"/>
      <w:r w:rsidRPr="00F73388">
        <w:rPr>
          <w:rFonts w:eastAsia="Calibri"/>
        </w:rPr>
        <w:t>), Kidney Chromophobe(KICH), Kidney renal clear cell carcinoma(KIRC), Kidney renal papillary cell carcinoma(KIRP), Brain Lower Grade Glioma(LGG), Liver hepatocellular carcinoma(LIHC), Lung adenocarcinoma(LUAD), Mesothelioma(MESO), Ovarian serous cystadenocarcinoma(OV), Pancreatic adenocarcinoma(PAAD), Pheochromocytoma and Paraganglioma(PCPG), Prostate adenocarcinoma(PRAD), Rectum adenocarcinoma(READ), Sarcoma(SARC), Skin Cutaneous Melanoma(SKCM), Skin Cutaneous Melanoma-Primary(SKCM- Primary), Skin Cutaneous Melanoma-Metastasis(SKCM- Metastasis), Testicular Germ Cell Tumors(TGCT), Thyroid carcinoma(THCA), Thymoma(THYM), Uterine Corpus Endometrial Carcinoma(UCEC), Uterine Carcinosarcoma(UCS), Uveal Melanoma(UVM).</w:t>
      </w:r>
    </w:p>
    <w:p w14:paraId="7B565DFA" w14:textId="77777777" w:rsidR="00A432CC" w:rsidRPr="00F73388" w:rsidRDefault="00A432CC" w:rsidP="00A432CC">
      <w:pPr>
        <w:spacing w:after="160" w:line="259" w:lineRule="auto"/>
        <w:rPr>
          <w:rFonts w:eastAsia="Calibri"/>
        </w:rPr>
      </w:pPr>
      <w:r w:rsidRPr="00F73388">
        <w:rPr>
          <w:rFonts w:eastAsia="Calibri"/>
        </w:rPr>
        <w:br w:type="page"/>
      </w:r>
    </w:p>
    <w:p w14:paraId="3B604259" w14:textId="77777777" w:rsidR="00A432CC" w:rsidRPr="00F73388" w:rsidRDefault="00A432CC" w:rsidP="00A432CC">
      <w:pPr>
        <w:spacing w:line="360" w:lineRule="auto"/>
        <w:jc w:val="both"/>
        <w:rPr>
          <w:rFonts w:eastAsia="Calibri"/>
        </w:rPr>
      </w:pPr>
    </w:p>
    <w:p w14:paraId="76DE13FD" w14:textId="77777777" w:rsidR="00A432CC" w:rsidRPr="00F73388" w:rsidRDefault="00A432CC" w:rsidP="00A432CC">
      <w:pPr>
        <w:spacing w:line="360" w:lineRule="auto"/>
        <w:rPr>
          <w:rFonts w:eastAsia="Calibri"/>
        </w:rPr>
      </w:pPr>
    </w:p>
    <w:p w14:paraId="40B1D1F0" w14:textId="77777777" w:rsidR="00A432CC" w:rsidRPr="00F73388" w:rsidRDefault="00A432CC" w:rsidP="00A432CC">
      <w:pPr>
        <w:spacing w:line="360" w:lineRule="auto"/>
        <w:jc w:val="center"/>
        <w:rPr>
          <w:rFonts w:eastAsia="Calibri"/>
        </w:rPr>
      </w:pPr>
      <w:r w:rsidRPr="00150712">
        <w:rPr>
          <w:rFonts w:eastAsia="Calibri"/>
          <w:noProof/>
          <w:lang w:eastAsia="en-US"/>
        </w:rPr>
        <w:drawing>
          <wp:inline distT="0" distB="0" distL="0" distR="0" wp14:anchorId="771BF12F" wp14:editId="06009895">
            <wp:extent cx="2678349" cy="24551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700406" cy="2475372"/>
                    </a:xfrm>
                    <a:prstGeom prst="rect">
                      <a:avLst/>
                    </a:prstGeom>
                  </pic:spPr>
                </pic:pic>
              </a:graphicData>
            </a:graphic>
          </wp:inline>
        </w:drawing>
      </w:r>
    </w:p>
    <w:p w14:paraId="00CFB5F0" w14:textId="77777777" w:rsidR="00A432CC" w:rsidRPr="00F73388" w:rsidRDefault="00A432CC" w:rsidP="00A432CC">
      <w:pPr>
        <w:spacing w:line="360" w:lineRule="auto"/>
        <w:rPr>
          <w:rFonts w:eastAsia="Calibri"/>
        </w:rPr>
      </w:pPr>
    </w:p>
    <w:p w14:paraId="3B83722F" w14:textId="77777777" w:rsidR="00A432CC" w:rsidRPr="00F73388" w:rsidRDefault="00A432CC" w:rsidP="00A432CC">
      <w:pPr>
        <w:spacing w:line="360" w:lineRule="auto"/>
        <w:rPr>
          <w:rFonts w:eastAsia="Calibri"/>
        </w:rPr>
      </w:pPr>
      <w:r w:rsidRPr="00F73388">
        <w:rPr>
          <w:rFonts w:eastAsia="Calibri"/>
          <w:b/>
          <w:bCs/>
        </w:rPr>
        <w:t>Supplementary Figure 3.</w:t>
      </w:r>
      <w:r w:rsidRPr="00F73388">
        <w:rPr>
          <w:rFonts w:eastAsia="Calibri"/>
        </w:rPr>
        <w:t xml:space="preserve"> </w:t>
      </w:r>
      <w:r>
        <w:rPr>
          <w:rFonts w:eastAsia="Calibri"/>
        </w:rPr>
        <w:t>The c</w:t>
      </w:r>
      <w:r w:rsidRPr="00F73388">
        <w:rPr>
          <w:rFonts w:eastAsia="Calibri"/>
        </w:rPr>
        <w:t xml:space="preserve">orrelation between </w:t>
      </w:r>
      <w:proofErr w:type="spellStart"/>
      <w:r w:rsidRPr="00F73388">
        <w:rPr>
          <w:rFonts w:eastAsia="Calibri"/>
        </w:rPr>
        <w:t>Rela</w:t>
      </w:r>
      <w:proofErr w:type="spellEnd"/>
      <w:r w:rsidRPr="00F73388">
        <w:rPr>
          <w:rFonts w:eastAsia="Calibri"/>
        </w:rPr>
        <w:t xml:space="preserve"> and CD274 gene expression in COAD via GEPIA. </w:t>
      </w:r>
      <w:r w:rsidRPr="00F73388">
        <w:rPr>
          <w:rFonts w:eastAsia="Calibri"/>
          <w:color w:val="000000"/>
        </w:rPr>
        <w:t xml:space="preserve">R is Spearman’s correlation Rho value. Significant </w:t>
      </w:r>
      <w:r w:rsidRPr="00F73388">
        <w:rPr>
          <w:rFonts w:eastAsia="Calibri"/>
          <w:i/>
          <w:iCs/>
          <w:color w:val="000000"/>
        </w:rPr>
        <w:t>P</w:t>
      </w:r>
      <w:r w:rsidRPr="00F73388">
        <w:rPr>
          <w:rFonts w:eastAsia="Calibri"/>
          <w:color w:val="000000"/>
        </w:rPr>
        <w:t>-value is &lt;0.05.</w:t>
      </w:r>
    </w:p>
    <w:p w14:paraId="3CC03F2E" w14:textId="77777777" w:rsidR="00A432CC" w:rsidRPr="00CB6752" w:rsidRDefault="005217BB" w:rsidP="00A432CC">
      <w:pPr>
        <w:pStyle w:val="NormalWeb"/>
        <w:spacing w:line="360" w:lineRule="auto"/>
        <w:jc w:val="both"/>
      </w:pPr>
      <w:r w:rsidRPr="00CB6752">
        <w:rPr>
          <w:noProof/>
          <w:lang w:eastAsia="en-US"/>
        </w:rPr>
        <w:lastRenderedPageBreak/>
        <w:drawing>
          <wp:inline distT="0" distB="0" distL="0" distR="0" wp14:anchorId="5FEA2D05" wp14:editId="35CE0F0E">
            <wp:extent cx="5727700" cy="589153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5891530"/>
                    </a:xfrm>
                    <a:prstGeom prst="rect">
                      <a:avLst/>
                    </a:prstGeom>
                  </pic:spPr>
                </pic:pic>
              </a:graphicData>
            </a:graphic>
          </wp:inline>
        </w:drawing>
      </w:r>
      <w:r w:rsidRPr="00CB6752">
        <w:rPr>
          <w:rFonts w:eastAsia="Calibri"/>
          <w:b/>
          <w:bCs/>
        </w:rPr>
        <w:t>Supplementary Figure 4.</w:t>
      </w:r>
      <w:r w:rsidRPr="00CB6752">
        <w:rPr>
          <w:rFonts w:eastAsia="Calibri"/>
        </w:rPr>
        <w:t xml:space="preserve"> Immune and CAF gene signatures in primary tumors and their adjacent non-tumor tissues compared with non-cancer tissues.</w:t>
      </w:r>
      <w:r w:rsidRPr="00CB6752">
        <w:rPr>
          <w:rFonts w:asciiTheme="majorBidi" w:hAnsiTheme="majorBidi" w:cstheme="majorBidi"/>
          <w:color w:val="000000" w:themeColor="text1"/>
        </w:rPr>
        <w:t xml:space="preserve"> The dataset GSE95132 was downloaded from GEO database. This dataset includes 10 CRC patients (10 CRC tumor tissues (Tumor) and their 10 adjacent non-tumor tissues (Adjacent)) and 5 non-cancer individuals (5 normal colonic crypts (Normal)).</w:t>
      </w:r>
      <w:r w:rsidRPr="00CB6752">
        <w:rPr>
          <w:rFonts w:eastAsia="Calibri"/>
        </w:rPr>
        <w:t xml:space="preserve"> (A) The heat map displays gene expressions (Log2(TPM+1)) of all immune and CAFs gene signatures as well as ILK. (B) ILK and representative gene markers for M2 (CD163), Treg (FOXP3) and CAF (ACTA2)</w:t>
      </w:r>
      <w:r w:rsidRPr="00CB6752">
        <w:rPr>
          <w:rFonts w:asciiTheme="majorBidi" w:hAnsiTheme="majorBidi" w:cstheme="majorBidi"/>
          <w:color w:val="000000" w:themeColor="text1"/>
        </w:rPr>
        <w:t>.</w:t>
      </w:r>
      <w:r w:rsidRPr="00CB6752">
        <w:rPr>
          <w:rFonts w:eastAsia="Calibri"/>
        </w:rPr>
        <w:t xml:space="preserve"> </w:t>
      </w:r>
      <w:r w:rsidRPr="00CB6752">
        <w:rPr>
          <w:rFonts w:asciiTheme="majorBidi" w:hAnsiTheme="majorBidi" w:cstheme="majorBidi"/>
          <w:color w:val="000000" w:themeColor="text1"/>
        </w:rPr>
        <w:t xml:space="preserve">Error bars are represented as mean </w:t>
      </w:r>
      <w:r w:rsidRPr="00CB6752">
        <w:rPr>
          <w:rFonts w:asciiTheme="majorBidi" w:hAnsiTheme="majorBidi" w:cstheme="majorBidi"/>
          <w:color w:val="000000" w:themeColor="text1"/>
          <w:lang w:val="en-GB"/>
        </w:rPr>
        <w:t>±</w:t>
      </w:r>
      <w:r w:rsidRPr="00CB6752">
        <w:rPr>
          <w:rFonts w:asciiTheme="majorBidi" w:hAnsiTheme="majorBidi" w:cstheme="majorBidi"/>
          <w:color w:val="000000" w:themeColor="text1"/>
        </w:rPr>
        <w:t xml:space="preserve"> SEM. </w:t>
      </w:r>
      <w:r w:rsidRPr="00CB6752">
        <w:rPr>
          <w:rFonts w:asciiTheme="majorBidi" w:hAnsiTheme="majorBidi" w:cstheme="majorBidi"/>
          <w:i/>
          <w:iCs/>
          <w:color w:val="000000" w:themeColor="text1"/>
        </w:rPr>
        <w:t>P</w:t>
      </w:r>
      <w:r w:rsidRPr="00CB6752">
        <w:rPr>
          <w:rFonts w:asciiTheme="majorBidi" w:hAnsiTheme="majorBidi" w:cstheme="majorBidi"/>
          <w:color w:val="000000" w:themeColor="text1"/>
        </w:rPr>
        <w:t xml:space="preserve">-value was analyzed with an unpaired t-test. Significant </w:t>
      </w:r>
      <w:r w:rsidRPr="00CB6752">
        <w:rPr>
          <w:rFonts w:asciiTheme="majorBidi" w:hAnsiTheme="majorBidi" w:cstheme="majorBidi"/>
          <w:i/>
          <w:iCs/>
          <w:color w:val="000000" w:themeColor="text1"/>
        </w:rPr>
        <w:t>P</w:t>
      </w:r>
      <w:r w:rsidRPr="00CB6752">
        <w:rPr>
          <w:rFonts w:asciiTheme="majorBidi" w:hAnsiTheme="majorBidi" w:cstheme="majorBidi"/>
          <w:color w:val="000000" w:themeColor="text1"/>
        </w:rPr>
        <w:t xml:space="preserve">-value is &lt;0.05. </w:t>
      </w:r>
      <w:r w:rsidRPr="00CB6752">
        <w:rPr>
          <w:rFonts w:asciiTheme="majorBidi" w:hAnsiTheme="majorBidi" w:cstheme="majorBidi"/>
          <w:i/>
          <w:iCs/>
          <w:color w:val="000000" w:themeColor="text1"/>
        </w:rPr>
        <w:t>P</w:t>
      </w:r>
      <w:r w:rsidRPr="00CB6752">
        <w:rPr>
          <w:rFonts w:asciiTheme="majorBidi" w:hAnsiTheme="majorBidi" w:cstheme="majorBidi"/>
          <w:color w:val="000000" w:themeColor="text1"/>
        </w:rPr>
        <w:t>-value was analyzed with an unpaired t-</w:t>
      </w:r>
      <w:r w:rsidRPr="00CB6752">
        <w:rPr>
          <w:rFonts w:asciiTheme="majorBidi" w:hAnsiTheme="majorBidi" w:cstheme="majorBidi"/>
          <w:color w:val="000000" w:themeColor="text1"/>
        </w:rPr>
        <w:lastRenderedPageBreak/>
        <w:t xml:space="preserve">test. The significant </w:t>
      </w:r>
      <w:r w:rsidRPr="00CB6752">
        <w:rPr>
          <w:rFonts w:asciiTheme="majorBidi" w:hAnsiTheme="majorBidi" w:cstheme="majorBidi"/>
          <w:i/>
          <w:iCs/>
          <w:color w:val="000000" w:themeColor="text1"/>
        </w:rPr>
        <w:t>P</w:t>
      </w:r>
      <w:r w:rsidRPr="00CB6752">
        <w:rPr>
          <w:rFonts w:asciiTheme="majorBidi" w:hAnsiTheme="majorBidi" w:cstheme="majorBidi"/>
          <w:color w:val="000000" w:themeColor="text1"/>
        </w:rPr>
        <w:t>-value is &lt;0.05; ns, not significant.</w:t>
      </w:r>
      <w:r w:rsidRPr="00CB6752">
        <w:rPr>
          <w:rFonts w:eastAsia="Calibri"/>
        </w:rPr>
        <w:t xml:space="preserve"> (T) CRC tumor tissues; (N) their adjacent non-tumor tissues.</w:t>
      </w:r>
    </w:p>
    <w:p w14:paraId="36449F4E" w14:textId="77777777" w:rsidR="00A432CC" w:rsidRDefault="00A432CC" w:rsidP="00A432CC">
      <w:pPr>
        <w:pStyle w:val="NormalWeb"/>
        <w:spacing w:line="360" w:lineRule="auto"/>
        <w:jc w:val="both"/>
      </w:pPr>
    </w:p>
    <w:p w14:paraId="01A033C7" w14:textId="77777777" w:rsidR="00A432CC" w:rsidRDefault="00A432CC" w:rsidP="00A432CC">
      <w:pPr>
        <w:pStyle w:val="NormalWeb"/>
        <w:spacing w:line="360" w:lineRule="auto"/>
        <w:jc w:val="both"/>
      </w:pPr>
    </w:p>
    <w:p w14:paraId="79EF14DC" w14:textId="77777777" w:rsidR="00A432CC" w:rsidRDefault="00A432CC" w:rsidP="00A432CC">
      <w:pPr>
        <w:pStyle w:val="NormalWeb"/>
        <w:spacing w:line="360" w:lineRule="auto"/>
        <w:jc w:val="both"/>
      </w:pPr>
    </w:p>
    <w:p w14:paraId="64002545" w14:textId="77777777" w:rsidR="00A432CC" w:rsidRDefault="00A432CC" w:rsidP="00A432CC">
      <w:pPr>
        <w:pStyle w:val="NormalWeb"/>
        <w:spacing w:line="360" w:lineRule="auto"/>
        <w:jc w:val="both"/>
      </w:pPr>
    </w:p>
    <w:p w14:paraId="74A2BC47" w14:textId="77777777" w:rsidR="00A432CC" w:rsidRDefault="00A432CC" w:rsidP="00A432CC">
      <w:pPr>
        <w:pStyle w:val="NormalWeb"/>
        <w:spacing w:line="360" w:lineRule="auto"/>
        <w:jc w:val="both"/>
      </w:pPr>
    </w:p>
    <w:p w14:paraId="221DE56F" w14:textId="77777777" w:rsidR="00A432CC" w:rsidRDefault="00A432CC" w:rsidP="00A432CC">
      <w:pPr>
        <w:pStyle w:val="NormalWeb"/>
        <w:spacing w:line="360" w:lineRule="auto"/>
        <w:jc w:val="both"/>
      </w:pPr>
    </w:p>
    <w:p w14:paraId="6FF78DB1" w14:textId="77777777" w:rsidR="00A432CC" w:rsidRDefault="00A432CC" w:rsidP="00A432CC">
      <w:pPr>
        <w:pStyle w:val="NormalWeb"/>
        <w:spacing w:line="360" w:lineRule="auto"/>
        <w:jc w:val="both"/>
      </w:pPr>
    </w:p>
    <w:p w14:paraId="0703AC40" w14:textId="77777777" w:rsidR="00A432CC" w:rsidRPr="00D15858" w:rsidRDefault="00A432CC" w:rsidP="00A432CC">
      <w:pPr>
        <w:pStyle w:val="NormalWeb"/>
        <w:spacing w:line="360" w:lineRule="auto"/>
        <w:jc w:val="center"/>
        <w:rPr>
          <w:highlight w:val="yellow"/>
        </w:rPr>
      </w:pPr>
    </w:p>
    <w:p w14:paraId="32F3CAEC" w14:textId="77777777" w:rsidR="005217BB" w:rsidRDefault="005217BB" w:rsidP="005217BB">
      <w:pPr>
        <w:pStyle w:val="NormalWeb"/>
        <w:spacing w:line="360" w:lineRule="auto"/>
        <w:jc w:val="both"/>
        <w:rPr>
          <w:rFonts w:eastAsia="Calibri"/>
          <w:highlight w:val="yellow"/>
        </w:rPr>
      </w:pPr>
    </w:p>
    <w:p w14:paraId="4DBC9800" w14:textId="77777777" w:rsidR="005217BB" w:rsidRPr="00CB6752" w:rsidRDefault="005217BB" w:rsidP="005217BB">
      <w:pPr>
        <w:spacing w:line="360" w:lineRule="auto"/>
        <w:jc w:val="center"/>
      </w:pPr>
      <w:r w:rsidRPr="00CB6752">
        <w:rPr>
          <w:noProof/>
          <w:lang w:eastAsia="en-US"/>
        </w:rPr>
        <w:drawing>
          <wp:inline distT="0" distB="0" distL="0" distR="0" wp14:anchorId="3D2457B0" wp14:editId="3644DF58">
            <wp:extent cx="3751729" cy="16017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2856" cy="1615030"/>
                    </a:xfrm>
                    <a:prstGeom prst="rect">
                      <a:avLst/>
                    </a:prstGeom>
                  </pic:spPr>
                </pic:pic>
              </a:graphicData>
            </a:graphic>
          </wp:inline>
        </w:drawing>
      </w:r>
    </w:p>
    <w:p w14:paraId="572010CA" w14:textId="77777777" w:rsidR="005217BB" w:rsidRDefault="005217BB" w:rsidP="005217BB">
      <w:pPr>
        <w:spacing w:line="360" w:lineRule="auto"/>
        <w:jc w:val="both"/>
      </w:pPr>
      <w:r w:rsidRPr="00CB6752">
        <w:rPr>
          <w:rFonts w:asciiTheme="majorBidi" w:hAnsiTheme="majorBidi" w:cstheme="majorBidi"/>
          <w:b/>
          <w:bCs/>
          <w:color w:val="000000" w:themeColor="text1"/>
        </w:rPr>
        <w:t>Supplementary Figure 5.</w:t>
      </w:r>
      <w:r w:rsidRPr="00CB6752">
        <w:rPr>
          <w:rFonts w:asciiTheme="majorBidi" w:hAnsiTheme="majorBidi" w:cstheme="majorBidi"/>
          <w:color w:val="000000" w:themeColor="text1"/>
        </w:rPr>
        <w:t xml:space="preserve"> The western blot showed the effect of ILK KD on PD-L1 expression in RKO cells at different conditions including basal level or non-starved (NS), overnight starvation (0 </w:t>
      </w:r>
      <w:proofErr w:type="spellStart"/>
      <w:r w:rsidRPr="00CB6752">
        <w:rPr>
          <w:rFonts w:asciiTheme="majorBidi" w:hAnsiTheme="majorBidi" w:cstheme="majorBidi"/>
          <w:color w:val="000000" w:themeColor="text1"/>
        </w:rPr>
        <w:t>hr</w:t>
      </w:r>
      <w:proofErr w:type="spellEnd"/>
      <w:r w:rsidRPr="00CB6752">
        <w:rPr>
          <w:rFonts w:asciiTheme="majorBidi" w:hAnsiTheme="majorBidi" w:cstheme="majorBidi"/>
          <w:color w:val="000000" w:themeColor="text1"/>
        </w:rPr>
        <w:t xml:space="preserve">) and serum stimulation after overnight starvation at indicated time points (1 </w:t>
      </w:r>
      <w:proofErr w:type="spellStart"/>
      <w:r w:rsidRPr="00CB6752">
        <w:rPr>
          <w:rFonts w:asciiTheme="majorBidi" w:hAnsiTheme="majorBidi" w:cstheme="majorBidi"/>
          <w:color w:val="000000" w:themeColor="text1"/>
        </w:rPr>
        <w:t>hr</w:t>
      </w:r>
      <w:proofErr w:type="spellEnd"/>
      <w:r w:rsidRPr="00CB6752">
        <w:rPr>
          <w:rFonts w:asciiTheme="majorBidi" w:hAnsiTheme="majorBidi" w:cstheme="majorBidi"/>
          <w:color w:val="000000" w:themeColor="text1"/>
        </w:rPr>
        <w:t xml:space="preserve">, 2 </w:t>
      </w:r>
      <w:proofErr w:type="spellStart"/>
      <w:r w:rsidRPr="00CB6752">
        <w:rPr>
          <w:rFonts w:asciiTheme="majorBidi" w:hAnsiTheme="majorBidi" w:cstheme="majorBidi"/>
          <w:color w:val="000000" w:themeColor="text1"/>
        </w:rPr>
        <w:t>hr</w:t>
      </w:r>
      <w:proofErr w:type="spellEnd"/>
      <w:r w:rsidRPr="00CB6752">
        <w:rPr>
          <w:rFonts w:asciiTheme="majorBidi" w:hAnsiTheme="majorBidi" w:cstheme="majorBidi"/>
          <w:color w:val="000000" w:themeColor="text1"/>
        </w:rPr>
        <w:t xml:space="preserve">, 4 </w:t>
      </w:r>
      <w:proofErr w:type="spellStart"/>
      <w:r w:rsidRPr="00CB6752">
        <w:rPr>
          <w:rFonts w:asciiTheme="majorBidi" w:hAnsiTheme="majorBidi" w:cstheme="majorBidi"/>
          <w:color w:val="000000" w:themeColor="text1"/>
        </w:rPr>
        <w:t>hr</w:t>
      </w:r>
      <w:proofErr w:type="spellEnd"/>
      <w:r w:rsidRPr="00CB6752">
        <w:rPr>
          <w:rFonts w:asciiTheme="majorBidi" w:hAnsiTheme="majorBidi" w:cstheme="majorBidi"/>
          <w:color w:val="000000" w:themeColor="text1"/>
        </w:rPr>
        <w:t xml:space="preserve"> and 8 </w:t>
      </w:r>
      <w:proofErr w:type="spellStart"/>
      <w:r w:rsidRPr="00CB6752">
        <w:rPr>
          <w:rFonts w:asciiTheme="majorBidi" w:hAnsiTheme="majorBidi" w:cstheme="majorBidi"/>
          <w:color w:val="000000" w:themeColor="text1"/>
        </w:rPr>
        <w:t>hr</w:t>
      </w:r>
      <w:proofErr w:type="spellEnd"/>
      <w:r w:rsidRPr="00CB6752">
        <w:rPr>
          <w:rFonts w:asciiTheme="majorBidi" w:hAnsiTheme="majorBidi" w:cstheme="majorBidi"/>
          <w:color w:val="000000" w:themeColor="text1"/>
        </w:rPr>
        <w:t>). Quantitation of protein expression normalized to -Dox (NS). Actin was used as an internal control.</w:t>
      </w:r>
    </w:p>
    <w:p w14:paraId="0430F898" w14:textId="77777777" w:rsidR="00796503" w:rsidRDefault="00796503" w:rsidP="00A432CC"/>
    <w:sectPr w:rsidR="00796503" w:rsidSect="00166B9A">
      <w:pgSz w:w="12240" w:h="15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32CC"/>
    <w:rsid w:val="00166B9A"/>
    <w:rsid w:val="005217BB"/>
    <w:rsid w:val="00796503"/>
    <w:rsid w:val="00A432CC"/>
    <w:rsid w:val="00CB675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37DAB5"/>
  <w15:docId w15:val="{CEFFAF05-C2BF-403B-926E-7CE9BF883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2CC"/>
    <w:pPr>
      <w:spacing w:after="0"/>
    </w:pPr>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32CC"/>
    <w:pPr>
      <w:spacing w:before="100" w:beforeAutospacing="1" w:after="100" w:afterAutospacing="1"/>
    </w:pPr>
  </w:style>
  <w:style w:type="character" w:styleId="Hyperlink">
    <w:name w:val="Hyperlink"/>
    <w:basedOn w:val="DefaultParagraphFont"/>
    <w:uiPriority w:val="99"/>
    <w:unhideWhenUsed/>
    <w:rsid w:val="00A432CC"/>
    <w:rPr>
      <w:color w:val="0000FF" w:themeColor="hyperlink"/>
      <w:u w:val="single"/>
    </w:rPr>
  </w:style>
  <w:style w:type="paragraph" w:styleId="BalloonText">
    <w:name w:val="Balloon Text"/>
    <w:basedOn w:val="Normal"/>
    <w:link w:val="BalloonTextChar"/>
    <w:uiPriority w:val="99"/>
    <w:semiHidden/>
    <w:unhideWhenUsed/>
    <w:rsid w:val="00A432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32CC"/>
    <w:rPr>
      <w:rFonts w:ascii="Lucida Grande" w:eastAsia="Times New Roman" w:hAnsi="Lucida Grande" w:cs="Lucida Grande"/>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680</Words>
  <Characters>3880</Characters>
  <Application>Microsoft Office Word</Application>
  <DocSecurity>0</DocSecurity>
  <Lines>32</Lines>
  <Paragraphs>9</Paragraphs>
  <ScaleCrop>false</ScaleCrop>
  <Company>Monash Institute of Medicsl Research</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Williams</dc:creator>
  <cp:keywords/>
  <dc:description/>
  <cp:lastModifiedBy>Steffan Davies</cp:lastModifiedBy>
  <cp:revision>3</cp:revision>
  <dcterms:created xsi:type="dcterms:W3CDTF">2022-04-09T08:47:00Z</dcterms:created>
  <dcterms:modified xsi:type="dcterms:W3CDTF">2022-04-25T07:38:00Z</dcterms:modified>
</cp:coreProperties>
</file>