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1C8F132A" w:rsidR="00EA3D3C" w:rsidRPr="00994A3D" w:rsidRDefault="00680EAE" w:rsidP="0001436A">
      <w:pPr>
        <w:pStyle w:val="1"/>
      </w:pPr>
      <w:r w:rsidRPr="00680EAE">
        <w:t>Evaluation criter</w:t>
      </w:r>
      <w:r w:rsidR="00654E8F" w:rsidRPr="00994A3D">
        <w:t>a</w:t>
      </w:r>
    </w:p>
    <w:p w14:paraId="0E0730D8" w14:textId="25D7B9EE" w:rsidR="00994A3D" w:rsidRDefault="00680EAE" w:rsidP="00994A3D">
      <w:pPr>
        <w:jc w:val="both"/>
        <w:rPr>
          <w:rFonts w:cs="Times New Roman"/>
          <w:szCs w:val="24"/>
        </w:rPr>
      </w:pPr>
      <w:r w:rsidRPr="00680EAE">
        <w:rPr>
          <w:rFonts w:cs="Times New Roman"/>
          <w:szCs w:val="24"/>
        </w:rPr>
        <w:t>The area under the receiver operating characteristic curve (AUROC) and area under the precision-recall curve (AUPRC) were calculated based on confusion matrices as follows</w:t>
      </w:r>
      <w:r w:rsidR="00ED20B5">
        <w:rPr>
          <w:rFonts w:cs="Times New Roman"/>
          <w:szCs w:val="24"/>
        </w:rPr>
        <w:t>.</w:t>
      </w:r>
    </w:p>
    <w:tbl>
      <w:tblPr>
        <w:tblW w:w="7060" w:type="dxa"/>
        <w:jc w:val="center"/>
        <w:tblLook w:val="04A0" w:firstRow="1" w:lastRow="0" w:firstColumn="1" w:lastColumn="0" w:noHBand="0" w:noVBand="1"/>
      </w:tblPr>
      <w:tblGrid>
        <w:gridCol w:w="900"/>
        <w:gridCol w:w="1540"/>
        <w:gridCol w:w="1540"/>
        <w:gridCol w:w="1540"/>
        <w:gridCol w:w="1796"/>
      </w:tblGrid>
      <w:tr w:rsidR="00680EAE" w:rsidRPr="00680EAE" w14:paraId="201A610A" w14:textId="77777777" w:rsidTr="00D21B55">
        <w:trPr>
          <w:trHeight w:val="285"/>
          <w:jc w:val="center"/>
        </w:trPr>
        <w:tc>
          <w:tcPr>
            <w:tcW w:w="900" w:type="dxa"/>
            <w:tcBorders>
              <w:top w:val="single" w:sz="8" w:space="0" w:color="auto"/>
              <w:left w:val="nil"/>
              <w:bottom w:val="nil"/>
              <w:right w:val="nil"/>
            </w:tcBorders>
            <w:noWrap/>
            <w:vAlign w:val="center"/>
            <w:hideMark/>
          </w:tcPr>
          <w:p w14:paraId="0652B0AC" w14:textId="77777777" w:rsidR="00680EAE" w:rsidRPr="00680EAE" w:rsidRDefault="00680EAE" w:rsidP="00680EAE">
            <w:pPr>
              <w:widowControl w:val="0"/>
              <w:spacing w:before="0" w:after="0"/>
              <w:jc w:val="both"/>
              <w:rPr>
                <w:rFonts w:eastAsia="宋体" w:cs="Times New Roman"/>
                <w:lang w:eastAsia="zh-CN"/>
              </w:rPr>
            </w:pPr>
          </w:p>
        </w:tc>
        <w:tc>
          <w:tcPr>
            <w:tcW w:w="1540" w:type="dxa"/>
            <w:tcBorders>
              <w:top w:val="single" w:sz="8" w:space="0" w:color="auto"/>
              <w:left w:val="nil"/>
              <w:bottom w:val="nil"/>
              <w:right w:val="nil"/>
            </w:tcBorders>
            <w:noWrap/>
            <w:vAlign w:val="center"/>
            <w:hideMark/>
          </w:tcPr>
          <w:p w14:paraId="2D506564" w14:textId="77777777" w:rsidR="00680EAE" w:rsidRPr="00680EAE" w:rsidRDefault="00680EAE" w:rsidP="00680EAE">
            <w:pPr>
              <w:spacing w:before="0" w:after="0"/>
              <w:rPr>
                <w:rFonts w:eastAsia="宋体" w:cs="Times New Roman"/>
                <w:sz w:val="20"/>
                <w:szCs w:val="20"/>
                <w:lang w:eastAsia="zh-CN"/>
              </w:rPr>
            </w:pPr>
          </w:p>
        </w:tc>
        <w:tc>
          <w:tcPr>
            <w:tcW w:w="3080" w:type="dxa"/>
            <w:gridSpan w:val="2"/>
            <w:tcBorders>
              <w:top w:val="single" w:sz="8" w:space="0" w:color="auto"/>
              <w:left w:val="nil"/>
              <w:bottom w:val="nil"/>
              <w:right w:val="nil"/>
            </w:tcBorders>
            <w:noWrap/>
            <w:vAlign w:val="center"/>
            <w:hideMark/>
          </w:tcPr>
          <w:p w14:paraId="004E7BEF" w14:textId="77777777" w:rsidR="00680EAE" w:rsidRPr="00023A7A" w:rsidRDefault="00680EAE" w:rsidP="00680EAE">
            <w:pPr>
              <w:spacing w:before="0" w:after="0"/>
              <w:jc w:val="center"/>
              <w:rPr>
                <w:rFonts w:eastAsia="宋体" w:cs="Times New Roman"/>
                <w:b/>
                <w:bCs/>
                <w:szCs w:val="24"/>
                <w:lang w:eastAsia="zh-CN"/>
              </w:rPr>
            </w:pPr>
            <w:r w:rsidRPr="00023A7A">
              <w:rPr>
                <w:rFonts w:eastAsia="宋体" w:cs="Times New Roman"/>
                <w:b/>
                <w:bCs/>
                <w:lang w:eastAsia="zh-CN"/>
              </w:rPr>
              <w:t>Predicted</w:t>
            </w:r>
          </w:p>
        </w:tc>
        <w:tc>
          <w:tcPr>
            <w:tcW w:w="1540" w:type="dxa"/>
            <w:tcBorders>
              <w:top w:val="single" w:sz="8" w:space="0" w:color="auto"/>
              <w:left w:val="nil"/>
              <w:bottom w:val="nil"/>
              <w:right w:val="nil"/>
            </w:tcBorders>
            <w:noWrap/>
            <w:vAlign w:val="center"/>
            <w:hideMark/>
          </w:tcPr>
          <w:p w14:paraId="5DF521B1" w14:textId="77777777" w:rsidR="00680EAE" w:rsidRPr="00680EAE" w:rsidRDefault="00680EAE" w:rsidP="00680EAE">
            <w:pPr>
              <w:widowControl w:val="0"/>
              <w:spacing w:before="0" w:after="0"/>
              <w:jc w:val="both"/>
              <w:rPr>
                <w:rFonts w:eastAsia="宋体" w:cs="Times New Roman"/>
                <w:lang w:eastAsia="zh-CN"/>
              </w:rPr>
            </w:pPr>
          </w:p>
        </w:tc>
      </w:tr>
      <w:tr w:rsidR="00680EAE" w:rsidRPr="00680EAE" w14:paraId="1AB096D5" w14:textId="77777777" w:rsidTr="00D21B55">
        <w:trPr>
          <w:trHeight w:val="270"/>
          <w:jc w:val="center"/>
        </w:trPr>
        <w:tc>
          <w:tcPr>
            <w:tcW w:w="900" w:type="dxa"/>
            <w:noWrap/>
            <w:vAlign w:val="center"/>
            <w:hideMark/>
          </w:tcPr>
          <w:p w14:paraId="2F09876A" w14:textId="77777777" w:rsidR="00680EAE" w:rsidRPr="00680EAE" w:rsidRDefault="00680EAE" w:rsidP="00680EAE">
            <w:pPr>
              <w:spacing w:before="0" w:after="0"/>
              <w:rPr>
                <w:rFonts w:eastAsia="宋体" w:cs="Times New Roman"/>
                <w:sz w:val="20"/>
                <w:szCs w:val="20"/>
                <w:lang w:eastAsia="zh-CN"/>
              </w:rPr>
            </w:pPr>
          </w:p>
        </w:tc>
        <w:tc>
          <w:tcPr>
            <w:tcW w:w="1540" w:type="dxa"/>
            <w:noWrap/>
            <w:vAlign w:val="center"/>
            <w:hideMark/>
          </w:tcPr>
          <w:p w14:paraId="1B9CABA0" w14:textId="77777777" w:rsidR="00680EAE" w:rsidRPr="00680EAE" w:rsidRDefault="00680EAE" w:rsidP="00680EAE">
            <w:pPr>
              <w:spacing w:before="0" w:after="0"/>
              <w:rPr>
                <w:rFonts w:eastAsia="宋体" w:cs="Times New Roman"/>
                <w:sz w:val="20"/>
                <w:szCs w:val="20"/>
                <w:lang w:eastAsia="zh-CN"/>
              </w:rPr>
            </w:pPr>
          </w:p>
        </w:tc>
        <w:tc>
          <w:tcPr>
            <w:tcW w:w="1540" w:type="dxa"/>
            <w:tcBorders>
              <w:top w:val="single" w:sz="8" w:space="0" w:color="auto"/>
              <w:left w:val="nil"/>
              <w:bottom w:val="nil"/>
              <w:right w:val="nil"/>
            </w:tcBorders>
            <w:noWrap/>
            <w:vAlign w:val="center"/>
            <w:hideMark/>
          </w:tcPr>
          <w:p w14:paraId="6470E2DA" w14:textId="77777777" w:rsidR="00680EAE" w:rsidRPr="00023A7A" w:rsidRDefault="00680EAE" w:rsidP="00680EAE">
            <w:pPr>
              <w:spacing w:before="0" w:after="0"/>
              <w:jc w:val="center"/>
              <w:rPr>
                <w:rFonts w:eastAsia="宋体" w:cs="Times New Roman"/>
                <w:b/>
                <w:bCs/>
                <w:szCs w:val="24"/>
                <w:lang w:eastAsia="zh-CN"/>
              </w:rPr>
            </w:pPr>
            <w:r w:rsidRPr="00023A7A">
              <w:rPr>
                <w:rFonts w:eastAsia="宋体" w:cs="Times New Roman"/>
                <w:b/>
                <w:bCs/>
                <w:lang w:eastAsia="zh-CN"/>
              </w:rPr>
              <w:t>Positive (1)</w:t>
            </w:r>
          </w:p>
        </w:tc>
        <w:tc>
          <w:tcPr>
            <w:tcW w:w="1540" w:type="dxa"/>
            <w:tcBorders>
              <w:top w:val="single" w:sz="8" w:space="0" w:color="auto"/>
              <w:left w:val="nil"/>
              <w:bottom w:val="nil"/>
              <w:right w:val="nil"/>
            </w:tcBorders>
            <w:noWrap/>
            <w:vAlign w:val="center"/>
            <w:hideMark/>
          </w:tcPr>
          <w:p w14:paraId="59BBBB35" w14:textId="77777777" w:rsidR="00680EAE" w:rsidRPr="00023A7A" w:rsidRDefault="00680EAE" w:rsidP="00680EAE">
            <w:pPr>
              <w:spacing w:before="0" w:after="0"/>
              <w:jc w:val="center"/>
              <w:rPr>
                <w:rFonts w:eastAsia="宋体" w:cs="Times New Roman"/>
                <w:b/>
                <w:bCs/>
                <w:lang w:eastAsia="zh-CN"/>
              </w:rPr>
            </w:pPr>
            <w:r w:rsidRPr="00023A7A">
              <w:rPr>
                <w:rFonts w:eastAsia="宋体" w:cs="Times New Roman"/>
                <w:b/>
                <w:bCs/>
                <w:lang w:eastAsia="zh-CN"/>
              </w:rPr>
              <w:t>Negative (0)</w:t>
            </w:r>
          </w:p>
        </w:tc>
        <w:tc>
          <w:tcPr>
            <w:tcW w:w="1540" w:type="dxa"/>
            <w:noWrap/>
            <w:vAlign w:val="center"/>
            <w:hideMark/>
          </w:tcPr>
          <w:p w14:paraId="1209BD51" w14:textId="77777777" w:rsidR="00680EAE" w:rsidRPr="00023A7A" w:rsidRDefault="00680EAE" w:rsidP="00680EAE">
            <w:pPr>
              <w:spacing w:before="0" w:after="0"/>
              <w:jc w:val="center"/>
              <w:rPr>
                <w:rFonts w:eastAsia="宋体" w:cs="Times New Roman"/>
                <w:b/>
                <w:bCs/>
                <w:lang w:eastAsia="zh-CN"/>
              </w:rPr>
            </w:pPr>
            <w:r w:rsidRPr="00023A7A">
              <w:rPr>
                <w:rFonts w:eastAsia="宋体" w:cs="Times New Roman"/>
                <w:b/>
                <w:bCs/>
                <w:lang w:eastAsia="zh-CN"/>
              </w:rPr>
              <w:t>Totals</w:t>
            </w:r>
          </w:p>
        </w:tc>
      </w:tr>
      <w:tr w:rsidR="00680EAE" w:rsidRPr="00680EAE" w14:paraId="54CEC503" w14:textId="77777777" w:rsidTr="00D21B55">
        <w:trPr>
          <w:trHeight w:val="270"/>
          <w:jc w:val="center"/>
        </w:trPr>
        <w:tc>
          <w:tcPr>
            <w:tcW w:w="900" w:type="dxa"/>
            <w:vMerge w:val="restart"/>
            <w:noWrap/>
            <w:vAlign w:val="center"/>
            <w:hideMark/>
          </w:tcPr>
          <w:p w14:paraId="03972B05" w14:textId="77777777" w:rsidR="00680EAE" w:rsidRPr="00023A7A" w:rsidRDefault="00680EAE" w:rsidP="00680EAE">
            <w:pPr>
              <w:spacing w:before="0" w:after="0"/>
              <w:jc w:val="center"/>
              <w:rPr>
                <w:rFonts w:eastAsia="宋体" w:cs="Times New Roman"/>
                <w:b/>
                <w:bCs/>
                <w:lang w:eastAsia="zh-CN"/>
              </w:rPr>
            </w:pPr>
            <w:r w:rsidRPr="00023A7A">
              <w:rPr>
                <w:rFonts w:eastAsia="宋体" w:cs="Times New Roman"/>
                <w:b/>
                <w:bCs/>
                <w:lang w:eastAsia="zh-CN"/>
              </w:rPr>
              <w:t>Actual</w:t>
            </w:r>
          </w:p>
        </w:tc>
        <w:tc>
          <w:tcPr>
            <w:tcW w:w="1540" w:type="dxa"/>
            <w:noWrap/>
            <w:vAlign w:val="center"/>
            <w:hideMark/>
          </w:tcPr>
          <w:p w14:paraId="595A16C9" w14:textId="77777777" w:rsidR="00680EAE" w:rsidRPr="00023A7A" w:rsidRDefault="00680EAE" w:rsidP="00680EAE">
            <w:pPr>
              <w:spacing w:before="0" w:after="0"/>
              <w:jc w:val="center"/>
              <w:rPr>
                <w:rFonts w:eastAsia="宋体" w:cs="Times New Roman"/>
                <w:b/>
                <w:bCs/>
                <w:lang w:eastAsia="zh-CN"/>
              </w:rPr>
            </w:pPr>
            <w:r w:rsidRPr="00023A7A">
              <w:rPr>
                <w:rFonts w:eastAsia="宋体" w:cs="Times New Roman"/>
                <w:b/>
                <w:bCs/>
                <w:lang w:eastAsia="zh-CN"/>
              </w:rPr>
              <w:t>Positive (1)</w:t>
            </w:r>
          </w:p>
        </w:tc>
        <w:tc>
          <w:tcPr>
            <w:tcW w:w="1540" w:type="dxa"/>
            <w:noWrap/>
            <w:vAlign w:val="center"/>
            <w:hideMark/>
          </w:tcPr>
          <w:p w14:paraId="70291128" w14:textId="77777777" w:rsidR="00680EAE" w:rsidRPr="00680EAE" w:rsidRDefault="00680EAE" w:rsidP="00680EAE">
            <w:pPr>
              <w:spacing w:before="0" w:after="0"/>
              <w:jc w:val="center"/>
              <w:rPr>
                <w:rFonts w:eastAsia="宋体" w:cs="Times New Roman"/>
                <w:lang w:eastAsia="zh-CN"/>
              </w:rPr>
            </w:pPr>
            <w:r w:rsidRPr="00680EAE">
              <w:rPr>
                <w:rFonts w:eastAsia="宋体" w:cs="Times New Roman"/>
                <w:lang w:eastAsia="zh-CN"/>
              </w:rPr>
              <w:t>TP</w:t>
            </w:r>
          </w:p>
        </w:tc>
        <w:tc>
          <w:tcPr>
            <w:tcW w:w="1540" w:type="dxa"/>
            <w:noWrap/>
            <w:vAlign w:val="center"/>
            <w:hideMark/>
          </w:tcPr>
          <w:p w14:paraId="72841A33" w14:textId="77777777" w:rsidR="00680EAE" w:rsidRPr="00680EAE" w:rsidRDefault="00680EAE" w:rsidP="00680EAE">
            <w:pPr>
              <w:spacing w:before="0" w:after="0"/>
              <w:jc w:val="center"/>
              <w:rPr>
                <w:rFonts w:eastAsia="宋体" w:cs="Times New Roman"/>
                <w:lang w:eastAsia="zh-CN"/>
              </w:rPr>
            </w:pPr>
            <w:r w:rsidRPr="00680EAE">
              <w:rPr>
                <w:rFonts w:eastAsia="宋体" w:cs="Times New Roman"/>
                <w:lang w:eastAsia="zh-CN"/>
              </w:rPr>
              <w:t>FN</w:t>
            </w:r>
          </w:p>
        </w:tc>
        <w:tc>
          <w:tcPr>
            <w:tcW w:w="1540" w:type="dxa"/>
            <w:noWrap/>
            <w:vAlign w:val="center"/>
            <w:hideMark/>
          </w:tcPr>
          <w:p w14:paraId="50EDFB4E" w14:textId="77777777" w:rsidR="00680EAE" w:rsidRPr="00680EAE" w:rsidRDefault="00680EAE" w:rsidP="00680EAE">
            <w:pPr>
              <w:spacing w:before="0" w:after="0"/>
              <w:jc w:val="center"/>
              <w:rPr>
                <w:rFonts w:eastAsia="宋体" w:cs="Times New Roman"/>
                <w:lang w:eastAsia="zh-CN"/>
              </w:rPr>
            </w:pPr>
            <w:r w:rsidRPr="00680EAE">
              <w:rPr>
                <w:rFonts w:eastAsia="宋体" w:cs="Times New Roman"/>
                <w:lang w:eastAsia="zh-CN"/>
              </w:rPr>
              <w:t>TP+FN</w:t>
            </w:r>
          </w:p>
        </w:tc>
      </w:tr>
      <w:tr w:rsidR="00680EAE" w:rsidRPr="00680EAE" w14:paraId="71A7460B" w14:textId="77777777" w:rsidTr="00D21B55">
        <w:trPr>
          <w:trHeight w:val="270"/>
          <w:jc w:val="center"/>
        </w:trPr>
        <w:tc>
          <w:tcPr>
            <w:tcW w:w="0" w:type="auto"/>
            <w:vMerge/>
            <w:vAlign w:val="center"/>
            <w:hideMark/>
          </w:tcPr>
          <w:p w14:paraId="1B68F097" w14:textId="77777777" w:rsidR="00680EAE" w:rsidRPr="00023A7A" w:rsidRDefault="00680EAE" w:rsidP="00680EAE">
            <w:pPr>
              <w:spacing w:before="0" w:after="0"/>
              <w:rPr>
                <w:rFonts w:eastAsia="宋体" w:cs="Times New Roman"/>
                <w:b/>
                <w:bCs/>
                <w:szCs w:val="24"/>
                <w:lang w:eastAsia="zh-CN"/>
              </w:rPr>
            </w:pPr>
          </w:p>
        </w:tc>
        <w:tc>
          <w:tcPr>
            <w:tcW w:w="1540" w:type="dxa"/>
            <w:noWrap/>
            <w:vAlign w:val="center"/>
            <w:hideMark/>
          </w:tcPr>
          <w:p w14:paraId="23E284EF" w14:textId="77777777" w:rsidR="00680EAE" w:rsidRPr="00023A7A" w:rsidRDefault="00680EAE" w:rsidP="00680EAE">
            <w:pPr>
              <w:spacing w:before="0" w:after="0"/>
              <w:jc w:val="center"/>
              <w:rPr>
                <w:rFonts w:eastAsia="宋体" w:cs="Times New Roman"/>
                <w:b/>
                <w:bCs/>
                <w:lang w:eastAsia="zh-CN"/>
              </w:rPr>
            </w:pPr>
            <w:r w:rsidRPr="00023A7A">
              <w:rPr>
                <w:rFonts w:eastAsia="宋体" w:cs="Times New Roman"/>
                <w:b/>
                <w:bCs/>
                <w:lang w:eastAsia="zh-CN"/>
              </w:rPr>
              <w:t>Negative (0)</w:t>
            </w:r>
          </w:p>
        </w:tc>
        <w:tc>
          <w:tcPr>
            <w:tcW w:w="1540" w:type="dxa"/>
            <w:noWrap/>
            <w:vAlign w:val="center"/>
            <w:hideMark/>
          </w:tcPr>
          <w:p w14:paraId="44128184" w14:textId="77777777" w:rsidR="00680EAE" w:rsidRPr="00680EAE" w:rsidRDefault="00680EAE" w:rsidP="00680EAE">
            <w:pPr>
              <w:spacing w:before="0" w:after="0"/>
              <w:jc w:val="center"/>
              <w:rPr>
                <w:rFonts w:eastAsia="宋体" w:cs="Times New Roman"/>
                <w:lang w:eastAsia="zh-CN"/>
              </w:rPr>
            </w:pPr>
            <w:r w:rsidRPr="00680EAE">
              <w:rPr>
                <w:rFonts w:eastAsia="宋体" w:cs="Times New Roman"/>
                <w:lang w:eastAsia="zh-CN"/>
              </w:rPr>
              <w:t>FP</w:t>
            </w:r>
          </w:p>
        </w:tc>
        <w:tc>
          <w:tcPr>
            <w:tcW w:w="1540" w:type="dxa"/>
            <w:noWrap/>
            <w:vAlign w:val="center"/>
            <w:hideMark/>
          </w:tcPr>
          <w:p w14:paraId="14FF83BE" w14:textId="77777777" w:rsidR="00680EAE" w:rsidRPr="00680EAE" w:rsidRDefault="00680EAE" w:rsidP="00680EAE">
            <w:pPr>
              <w:spacing w:before="0" w:after="0"/>
              <w:jc w:val="center"/>
              <w:rPr>
                <w:rFonts w:eastAsia="宋体" w:cs="Times New Roman"/>
                <w:lang w:eastAsia="zh-CN"/>
              </w:rPr>
            </w:pPr>
            <w:r w:rsidRPr="00680EAE">
              <w:rPr>
                <w:rFonts w:eastAsia="宋体" w:cs="Times New Roman"/>
                <w:lang w:eastAsia="zh-CN"/>
              </w:rPr>
              <w:t>TN</w:t>
            </w:r>
          </w:p>
        </w:tc>
        <w:tc>
          <w:tcPr>
            <w:tcW w:w="1540" w:type="dxa"/>
            <w:noWrap/>
            <w:vAlign w:val="center"/>
            <w:hideMark/>
          </w:tcPr>
          <w:p w14:paraId="296DBAE2" w14:textId="77777777" w:rsidR="00680EAE" w:rsidRPr="00680EAE" w:rsidRDefault="00680EAE" w:rsidP="00680EAE">
            <w:pPr>
              <w:spacing w:before="0" w:after="0"/>
              <w:jc w:val="center"/>
              <w:rPr>
                <w:rFonts w:eastAsia="宋体" w:cs="Times New Roman"/>
                <w:lang w:eastAsia="zh-CN"/>
              </w:rPr>
            </w:pPr>
            <w:r w:rsidRPr="00680EAE">
              <w:rPr>
                <w:rFonts w:eastAsia="宋体" w:cs="Times New Roman"/>
                <w:lang w:eastAsia="zh-CN"/>
              </w:rPr>
              <w:t>FP+TN</w:t>
            </w:r>
          </w:p>
        </w:tc>
      </w:tr>
      <w:tr w:rsidR="00680EAE" w:rsidRPr="00680EAE" w14:paraId="347CB77D" w14:textId="77777777" w:rsidTr="00D21B55">
        <w:trPr>
          <w:trHeight w:val="285"/>
          <w:jc w:val="center"/>
        </w:trPr>
        <w:tc>
          <w:tcPr>
            <w:tcW w:w="900" w:type="dxa"/>
            <w:tcBorders>
              <w:top w:val="nil"/>
              <w:left w:val="nil"/>
              <w:bottom w:val="single" w:sz="8" w:space="0" w:color="auto"/>
              <w:right w:val="nil"/>
            </w:tcBorders>
            <w:noWrap/>
            <w:vAlign w:val="center"/>
            <w:hideMark/>
          </w:tcPr>
          <w:p w14:paraId="3936FAF3" w14:textId="77777777" w:rsidR="00680EAE" w:rsidRPr="00023A7A" w:rsidRDefault="00680EAE" w:rsidP="00680EAE">
            <w:pPr>
              <w:widowControl w:val="0"/>
              <w:spacing w:before="0" w:after="0"/>
              <w:jc w:val="both"/>
              <w:rPr>
                <w:rFonts w:eastAsia="宋体" w:cs="Times New Roman"/>
                <w:b/>
                <w:bCs/>
                <w:lang w:eastAsia="zh-CN"/>
              </w:rPr>
            </w:pPr>
          </w:p>
        </w:tc>
        <w:tc>
          <w:tcPr>
            <w:tcW w:w="1540" w:type="dxa"/>
            <w:tcBorders>
              <w:top w:val="nil"/>
              <w:left w:val="nil"/>
              <w:bottom w:val="single" w:sz="8" w:space="0" w:color="auto"/>
              <w:right w:val="nil"/>
            </w:tcBorders>
            <w:noWrap/>
            <w:vAlign w:val="center"/>
            <w:hideMark/>
          </w:tcPr>
          <w:p w14:paraId="0D4605EF" w14:textId="77777777" w:rsidR="00680EAE" w:rsidRPr="00023A7A" w:rsidRDefault="00680EAE" w:rsidP="00680EAE">
            <w:pPr>
              <w:spacing w:before="0" w:after="0"/>
              <w:jc w:val="center"/>
              <w:rPr>
                <w:rFonts w:eastAsia="宋体" w:cs="Times New Roman"/>
                <w:b/>
                <w:bCs/>
                <w:szCs w:val="24"/>
                <w:lang w:eastAsia="zh-CN"/>
              </w:rPr>
            </w:pPr>
            <w:r w:rsidRPr="00023A7A">
              <w:rPr>
                <w:rFonts w:eastAsia="宋体" w:cs="Times New Roman"/>
                <w:b/>
                <w:bCs/>
                <w:lang w:eastAsia="zh-CN"/>
              </w:rPr>
              <w:t>Totals</w:t>
            </w:r>
          </w:p>
        </w:tc>
        <w:tc>
          <w:tcPr>
            <w:tcW w:w="1540" w:type="dxa"/>
            <w:tcBorders>
              <w:top w:val="nil"/>
              <w:left w:val="nil"/>
              <w:bottom w:val="single" w:sz="8" w:space="0" w:color="auto"/>
              <w:right w:val="nil"/>
            </w:tcBorders>
            <w:noWrap/>
            <w:vAlign w:val="center"/>
            <w:hideMark/>
          </w:tcPr>
          <w:p w14:paraId="525E6A81" w14:textId="77777777" w:rsidR="00680EAE" w:rsidRPr="00680EAE" w:rsidRDefault="00680EAE" w:rsidP="00680EAE">
            <w:pPr>
              <w:spacing w:before="0" w:after="0"/>
              <w:jc w:val="center"/>
              <w:rPr>
                <w:rFonts w:eastAsia="宋体" w:cs="Times New Roman"/>
                <w:lang w:eastAsia="zh-CN"/>
              </w:rPr>
            </w:pPr>
            <w:r w:rsidRPr="00680EAE">
              <w:rPr>
                <w:rFonts w:eastAsia="宋体" w:cs="Times New Roman"/>
                <w:lang w:eastAsia="zh-CN"/>
              </w:rPr>
              <w:t>TP+FN</w:t>
            </w:r>
          </w:p>
        </w:tc>
        <w:tc>
          <w:tcPr>
            <w:tcW w:w="1540" w:type="dxa"/>
            <w:tcBorders>
              <w:top w:val="nil"/>
              <w:left w:val="nil"/>
              <w:bottom w:val="single" w:sz="8" w:space="0" w:color="auto"/>
              <w:right w:val="nil"/>
            </w:tcBorders>
            <w:noWrap/>
            <w:vAlign w:val="center"/>
            <w:hideMark/>
          </w:tcPr>
          <w:p w14:paraId="0B28B80C" w14:textId="77777777" w:rsidR="00680EAE" w:rsidRPr="00680EAE" w:rsidRDefault="00680EAE" w:rsidP="00680EAE">
            <w:pPr>
              <w:spacing w:before="0" w:after="0"/>
              <w:jc w:val="center"/>
              <w:rPr>
                <w:rFonts w:eastAsia="宋体" w:cs="Times New Roman"/>
                <w:lang w:eastAsia="zh-CN"/>
              </w:rPr>
            </w:pPr>
            <w:r w:rsidRPr="00680EAE">
              <w:rPr>
                <w:rFonts w:eastAsia="宋体" w:cs="Times New Roman"/>
                <w:lang w:eastAsia="zh-CN"/>
              </w:rPr>
              <w:t>FN+TN</w:t>
            </w:r>
          </w:p>
        </w:tc>
        <w:tc>
          <w:tcPr>
            <w:tcW w:w="1540" w:type="dxa"/>
            <w:tcBorders>
              <w:top w:val="nil"/>
              <w:left w:val="nil"/>
              <w:bottom w:val="single" w:sz="8" w:space="0" w:color="auto"/>
              <w:right w:val="nil"/>
            </w:tcBorders>
            <w:noWrap/>
            <w:vAlign w:val="center"/>
            <w:hideMark/>
          </w:tcPr>
          <w:p w14:paraId="34296E64" w14:textId="77777777" w:rsidR="00680EAE" w:rsidRPr="00680EAE" w:rsidRDefault="00680EAE" w:rsidP="00680EAE">
            <w:pPr>
              <w:spacing w:before="0" w:after="0"/>
              <w:jc w:val="center"/>
              <w:rPr>
                <w:rFonts w:eastAsia="宋体" w:cs="Times New Roman"/>
                <w:lang w:eastAsia="zh-CN"/>
              </w:rPr>
            </w:pPr>
            <w:r w:rsidRPr="00680EAE">
              <w:rPr>
                <w:rFonts w:eastAsia="宋体" w:cs="Times New Roman"/>
                <w:lang w:eastAsia="zh-CN"/>
              </w:rPr>
              <w:t>TP+FN+FP+TN</w:t>
            </w:r>
          </w:p>
        </w:tc>
      </w:tr>
    </w:tbl>
    <w:p w14:paraId="40D1B96C" w14:textId="110EF961" w:rsidR="00680EAE" w:rsidRPr="00680EAE" w:rsidRDefault="00680EAE" w:rsidP="00680EAE">
      <w:pPr>
        <w:spacing w:before="100" w:beforeAutospacing="1" w:after="100" w:afterAutospacing="1"/>
        <w:jc w:val="both"/>
        <w:rPr>
          <w:rFonts w:eastAsia="Times New Roman" w:cs="Times New Roman"/>
          <w:szCs w:val="24"/>
          <w:lang w:eastAsia="en-GB"/>
        </w:rPr>
      </w:pPr>
      <w:r w:rsidRPr="00680EAE">
        <w:rPr>
          <w:rFonts w:eastAsia="Times New Roman" w:cs="Times New Roman"/>
          <w:szCs w:val="24"/>
          <w:lang w:eastAsia="en-GB"/>
        </w:rPr>
        <w:t xml:space="preserve">In the above confusion matrix, the following metrics can be calculated. </w:t>
      </w:r>
    </w:p>
    <w:p w14:paraId="48C342DE" w14:textId="77777777" w:rsidR="00680EAE" w:rsidRPr="00680EAE" w:rsidRDefault="00680EAE" w:rsidP="00680EAE">
      <w:pPr>
        <w:spacing w:before="100" w:beforeAutospacing="1" w:after="100" w:afterAutospacing="1"/>
        <w:jc w:val="both"/>
        <w:rPr>
          <w:rFonts w:eastAsia="Times New Roman" w:cs="Times New Roman"/>
          <w:szCs w:val="24"/>
          <w:lang w:eastAsia="en-GB"/>
        </w:rPr>
      </w:pPr>
    </w:p>
    <w:p w14:paraId="05E9284D" w14:textId="77777777" w:rsidR="00680EAE" w:rsidRPr="00680EAE" w:rsidRDefault="00680EAE" w:rsidP="00680EAE">
      <w:pPr>
        <w:spacing w:before="100" w:beforeAutospacing="1" w:after="100" w:afterAutospacing="1"/>
        <w:jc w:val="both"/>
        <w:rPr>
          <w:rFonts w:eastAsia="Times New Roman" w:cs="Times New Roman"/>
          <w:szCs w:val="24"/>
          <w:lang w:eastAsia="en-GB"/>
        </w:rPr>
      </w:pPr>
      <w:r w:rsidRPr="00680EAE">
        <w:rPr>
          <w:rFonts w:eastAsia="Times New Roman" w:cs="Times New Roman"/>
          <w:szCs w:val="24"/>
          <w:lang w:eastAsia="en-GB"/>
        </w:rPr>
        <w:t xml:space="preserve">TP (True Positive): A sample is predicted to be positive, and its label is positive. </w:t>
      </w:r>
    </w:p>
    <w:p w14:paraId="5CBBC9CB" w14:textId="77777777" w:rsidR="00680EAE" w:rsidRPr="00680EAE" w:rsidRDefault="00680EAE" w:rsidP="00680EAE">
      <w:pPr>
        <w:spacing w:before="100" w:beforeAutospacing="1" w:after="100" w:afterAutospacing="1"/>
        <w:jc w:val="both"/>
        <w:rPr>
          <w:rFonts w:eastAsia="Times New Roman" w:cs="Times New Roman"/>
          <w:szCs w:val="24"/>
          <w:lang w:eastAsia="en-GB"/>
        </w:rPr>
      </w:pPr>
      <w:r w:rsidRPr="00680EAE">
        <w:rPr>
          <w:rFonts w:eastAsia="Times New Roman" w:cs="Times New Roman"/>
          <w:szCs w:val="24"/>
          <w:lang w:eastAsia="en-GB"/>
        </w:rPr>
        <w:t xml:space="preserve">TN (True Negative): A sample is predicted to be negative, and its label is negative. </w:t>
      </w:r>
    </w:p>
    <w:p w14:paraId="2B3956F3" w14:textId="77777777" w:rsidR="00680EAE" w:rsidRPr="00680EAE" w:rsidRDefault="00680EAE" w:rsidP="00680EAE">
      <w:pPr>
        <w:spacing w:before="100" w:beforeAutospacing="1" w:after="100" w:afterAutospacing="1"/>
        <w:jc w:val="both"/>
        <w:rPr>
          <w:rFonts w:eastAsia="Times New Roman" w:cs="Times New Roman"/>
          <w:szCs w:val="24"/>
          <w:lang w:eastAsia="en-GB"/>
        </w:rPr>
      </w:pPr>
      <w:r w:rsidRPr="00680EAE">
        <w:rPr>
          <w:rFonts w:eastAsia="Times New Roman" w:cs="Times New Roman"/>
          <w:szCs w:val="24"/>
          <w:lang w:eastAsia="en-GB"/>
        </w:rPr>
        <w:t xml:space="preserve">FP (False Positive): A sample is predicted to be positive, and its label is negative. </w:t>
      </w:r>
    </w:p>
    <w:p w14:paraId="4B30252C" w14:textId="10AA4016" w:rsidR="00680EAE" w:rsidRDefault="00680EAE" w:rsidP="00680EAE">
      <w:pPr>
        <w:spacing w:before="100" w:beforeAutospacing="1" w:after="100" w:afterAutospacing="1"/>
        <w:jc w:val="both"/>
        <w:rPr>
          <w:rFonts w:ascii="宋体" w:eastAsia="宋体" w:hAnsi="宋体" w:cs="宋体"/>
          <w:szCs w:val="24"/>
          <w:lang w:eastAsia="zh-CN"/>
        </w:rPr>
      </w:pPr>
      <w:r w:rsidRPr="00680EAE">
        <w:rPr>
          <w:rFonts w:eastAsia="Times New Roman" w:cs="Times New Roman"/>
          <w:szCs w:val="24"/>
          <w:lang w:eastAsia="en-GB"/>
        </w:rPr>
        <w:t>FN (False Negative): A sample is predicted to be negative, and its label is positive</w:t>
      </w:r>
      <w:r>
        <w:rPr>
          <w:rFonts w:ascii="宋体" w:eastAsia="宋体" w:hAnsi="宋体" w:cs="宋体" w:hint="eastAsia"/>
          <w:szCs w:val="24"/>
          <w:lang w:eastAsia="zh-CN"/>
        </w:rPr>
        <w:t>.</w:t>
      </w:r>
    </w:p>
    <w:p w14:paraId="591334FA" w14:textId="77777777" w:rsidR="00680EAE" w:rsidRPr="00680EAE" w:rsidRDefault="00680EAE" w:rsidP="00680EAE">
      <w:pPr>
        <w:spacing w:before="0" w:after="0"/>
        <w:rPr>
          <w:rFonts w:eastAsia="宋体" w:cs="Times New Roman"/>
          <w:lang w:eastAsia="zh-CN"/>
        </w:rPr>
      </w:pPr>
      <m:oMathPara>
        <m:oMath>
          <m:r>
            <m:rPr>
              <m:sty m:val="p"/>
            </m:rPr>
            <w:rPr>
              <w:rFonts w:ascii="Cambria Math" w:eastAsia="宋体" w:hAnsi="Cambria Math" w:cs="Times New Roman"/>
              <w:lang w:eastAsia="zh-CN"/>
            </w:rPr>
            <m:t xml:space="preserve">Accuracy = </m:t>
          </m:r>
          <m:f>
            <m:fPr>
              <m:ctrlPr>
                <w:rPr>
                  <w:rFonts w:ascii="Cambria Math" w:eastAsia="等线" w:hAnsi="Cambria Math" w:cs="Times New Roman"/>
                  <w:kern w:val="2"/>
                  <w:szCs w:val="24"/>
                  <w:lang w:eastAsia="zh-CN"/>
                </w:rPr>
              </m:ctrlPr>
            </m:fPr>
            <m:num>
              <m:r>
                <w:rPr>
                  <w:rFonts w:ascii="Cambria Math" w:eastAsia="宋体" w:hAnsi="Cambria Math" w:cs="Times New Roman"/>
                  <w:lang w:eastAsia="zh-CN"/>
                </w:rPr>
                <m:t>TP+TN</m:t>
              </m:r>
            </m:num>
            <m:den>
              <m:r>
                <w:rPr>
                  <w:rFonts w:ascii="Cambria Math" w:eastAsia="宋体" w:hAnsi="Cambria Math" w:cs="Times New Roman"/>
                  <w:lang w:eastAsia="zh-CN"/>
                </w:rPr>
                <m:t>TP</m:t>
              </m:r>
              <m:r>
                <m:rPr>
                  <m:sty m:val="p"/>
                </m:rPr>
                <w:rPr>
                  <w:rFonts w:ascii="Cambria Math" w:eastAsia="宋体" w:hAnsi="Cambria Math" w:cs="Times New Roman"/>
                  <w:lang w:eastAsia="zh-CN"/>
                </w:rPr>
                <m:t>+</m:t>
              </m:r>
              <m:r>
                <w:rPr>
                  <w:rFonts w:ascii="Cambria Math" w:eastAsia="宋体" w:hAnsi="Cambria Math" w:cs="Times New Roman"/>
                  <w:lang w:eastAsia="zh-CN"/>
                </w:rPr>
                <m:t>TN+FN+FP</m:t>
              </m:r>
            </m:den>
          </m:f>
        </m:oMath>
      </m:oMathPara>
    </w:p>
    <w:p w14:paraId="50E44119" w14:textId="77777777" w:rsidR="00680EAE" w:rsidRPr="00680EAE" w:rsidRDefault="00680EAE" w:rsidP="00680EAE">
      <w:pPr>
        <w:spacing w:before="0" w:after="0"/>
        <w:rPr>
          <w:rFonts w:eastAsia="宋体" w:cs="Times New Roman"/>
          <w:lang w:eastAsia="zh-CN"/>
        </w:rPr>
      </w:pPr>
      <m:oMathPara>
        <m:oMath>
          <m:r>
            <m:rPr>
              <m:sty m:val="p"/>
            </m:rPr>
            <w:rPr>
              <w:rFonts w:ascii="Cambria Math" w:eastAsia="宋体" w:hAnsi="Cambria Math" w:cs="Times New Roman"/>
              <w:lang w:eastAsia="zh-CN"/>
            </w:rPr>
            <m:t xml:space="preserve">TPR = Recall = sensitivity = </m:t>
          </m:r>
          <m:f>
            <m:fPr>
              <m:ctrlPr>
                <w:rPr>
                  <w:rFonts w:ascii="Cambria Math" w:eastAsia="等线" w:hAnsi="Cambria Math" w:cs="Times New Roman"/>
                  <w:kern w:val="2"/>
                  <w:szCs w:val="24"/>
                  <w:lang w:eastAsia="zh-CN"/>
                </w:rPr>
              </m:ctrlPr>
            </m:fPr>
            <m:num>
              <m:r>
                <w:rPr>
                  <w:rFonts w:ascii="Cambria Math" w:eastAsia="宋体" w:hAnsi="Cambria Math" w:cs="Times New Roman"/>
                  <w:lang w:eastAsia="zh-CN"/>
                </w:rPr>
                <m:t>TP</m:t>
              </m:r>
            </m:num>
            <m:den>
              <m:r>
                <w:rPr>
                  <w:rFonts w:ascii="Cambria Math" w:eastAsia="宋体" w:hAnsi="Cambria Math" w:cs="Times New Roman"/>
                  <w:lang w:eastAsia="zh-CN"/>
                </w:rPr>
                <m:t>TP</m:t>
              </m:r>
              <m:r>
                <m:rPr>
                  <m:sty m:val="p"/>
                </m:rPr>
                <w:rPr>
                  <w:rFonts w:ascii="Cambria Math" w:eastAsia="宋体" w:hAnsi="Cambria Math" w:cs="Times New Roman"/>
                  <w:lang w:eastAsia="zh-CN"/>
                </w:rPr>
                <m:t>+</m:t>
              </m:r>
              <m:r>
                <w:rPr>
                  <w:rFonts w:ascii="Cambria Math" w:eastAsia="宋体" w:hAnsi="Cambria Math" w:cs="Times New Roman"/>
                  <w:lang w:eastAsia="zh-CN"/>
                </w:rPr>
                <m:t>FN</m:t>
              </m:r>
            </m:den>
          </m:f>
        </m:oMath>
      </m:oMathPara>
    </w:p>
    <w:p w14:paraId="5FA23399" w14:textId="77777777" w:rsidR="00680EAE" w:rsidRPr="00680EAE" w:rsidRDefault="00680EAE" w:rsidP="00680EAE">
      <w:pPr>
        <w:spacing w:before="0" w:after="0"/>
        <w:rPr>
          <w:rFonts w:eastAsia="宋体" w:cs="Times New Roman"/>
          <w:lang w:eastAsia="zh-CN"/>
        </w:rPr>
      </w:pPr>
      <m:oMathPara>
        <m:oMath>
          <m:r>
            <m:rPr>
              <m:sty m:val="p"/>
            </m:rPr>
            <w:rPr>
              <w:rFonts w:ascii="Cambria Math" w:eastAsia="宋体" w:hAnsi="Cambria Math" w:cs="Times New Roman"/>
              <w:lang w:eastAsia="zh-CN"/>
            </w:rPr>
            <m:t xml:space="preserve">Specificity  = </m:t>
          </m:r>
          <m:f>
            <m:fPr>
              <m:ctrlPr>
                <w:rPr>
                  <w:rFonts w:ascii="Cambria Math" w:eastAsia="等线" w:hAnsi="Cambria Math" w:cs="Times New Roman"/>
                  <w:kern w:val="2"/>
                  <w:szCs w:val="24"/>
                  <w:lang w:eastAsia="zh-CN"/>
                </w:rPr>
              </m:ctrlPr>
            </m:fPr>
            <m:num>
              <m:r>
                <w:rPr>
                  <w:rFonts w:ascii="Cambria Math" w:eastAsia="宋体" w:hAnsi="Cambria Math" w:cs="Times New Roman"/>
                  <w:lang w:eastAsia="zh-CN"/>
                </w:rPr>
                <m:t>TN</m:t>
              </m:r>
            </m:num>
            <m:den>
              <m:r>
                <w:rPr>
                  <w:rFonts w:ascii="Cambria Math" w:eastAsia="宋体" w:hAnsi="Cambria Math" w:cs="Times New Roman"/>
                  <w:lang w:eastAsia="zh-CN"/>
                </w:rPr>
                <m:t>TN</m:t>
              </m:r>
              <m:r>
                <m:rPr>
                  <m:sty m:val="p"/>
                </m:rPr>
                <w:rPr>
                  <w:rFonts w:ascii="Cambria Math" w:eastAsia="宋体" w:hAnsi="Cambria Math" w:cs="Times New Roman"/>
                  <w:lang w:eastAsia="zh-CN"/>
                </w:rPr>
                <m:t>+</m:t>
              </m:r>
              <m:r>
                <w:rPr>
                  <w:rFonts w:ascii="Cambria Math" w:eastAsia="宋体" w:hAnsi="Cambria Math" w:cs="Times New Roman"/>
                  <w:lang w:eastAsia="zh-CN"/>
                </w:rPr>
                <m:t>FP</m:t>
              </m:r>
            </m:den>
          </m:f>
        </m:oMath>
      </m:oMathPara>
    </w:p>
    <w:p w14:paraId="6CA2546A" w14:textId="77777777" w:rsidR="00680EAE" w:rsidRPr="00680EAE" w:rsidRDefault="00680EAE" w:rsidP="00680EAE">
      <w:pPr>
        <w:spacing w:before="0" w:after="0"/>
        <w:rPr>
          <w:rFonts w:eastAsia="宋体" w:cs="Times New Roman"/>
          <w:lang w:eastAsia="zh-CN"/>
        </w:rPr>
      </w:pPr>
      <m:oMathPara>
        <m:oMath>
          <m:r>
            <m:rPr>
              <m:sty m:val="p"/>
            </m:rPr>
            <w:rPr>
              <w:rFonts w:ascii="Cambria Math" w:eastAsia="宋体" w:hAnsi="Cambria Math" w:cs="Times New Roman"/>
              <w:lang w:eastAsia="zh-CN"/>
            </w:rPr>
            <m:t xml:space="preserve">FPR = 1 – Specificity = </m:t>
          </m:r>
          <m:f>
            <m:fPr>
              <m:ctrlPr>
                <w:rPr>
                  <w:rFonts w:ascii="Cambria Math" w:eastAsia="等线" w:hAnsi="Cambria Math" w:cs="Times New Roman"/>
                  <w:kern w:val="2"/>
                  <w:szCs w:val="24"/>
                  <w:lang w:eastAsia="zh-CN"/>
                </w:rPr>
              </m:ctrlPr>
            </m:fPr>
            <m:num>
              <m:r>
                <w:rPr>
                  <w:rFonts w:ascii="Cambria Math" w:eastAsia="宋体" w:hAnsi="Cambria Math" w:cs="Times New Roman"/>
                  <w:lang w:eastAsia="zh-CN"/>
                </w:rPr>
                <m:t>FP</m:t>
              </m:r>
            </m:num>
            <m:den>
              <m:r>
                <w:rPr>
                  <w:rFonts w:ascii="Cambria Math" w:eastAsia="宋体" w:hAnsi="Cambria Math" w:cs="Times New Roman"/>
                  <w:lang w:eastAsia="zh-CN"/>
                </w:rPr>
                <m:t>TN</m:t>
              </m:r>
              <m:r>
                <m:rPr>
                  <m:sty m:val="p"/>
                </m:rPr>
                <w:rPr>
                  <w:rFonts w:ascii="Cambria Math" w:eastAsia="宋体" w:hAnsi="Cambria Math" w:cs="Times New Roman"/>
                  <w:lang w:eastAsia="zh-CN"/>
                </w:rPr>
                <m:t>+</m:t>
              </m:r>
              <m:r>
                <w:rPr>
                  <w:rFonts w:ascii="Cambria Math" w:eastAsia="宋体" w:hAnsi="Cambria Math" w:cs="Times New Roman"/>
                  <w:lang w:eastAsia="zh-CN"/>
                </w:rPr>
                <m:t>FP</m:t>
              </m:r>
            </m:den>
          </m:f>
        </m:oMath>
      </m:oMathPara>
    </w:p>
    <w:p w14:paraId="2A8D4C90" w14:textId="77777777" w:rsidR="00680EAE" w:rsidRPr="00680EAE" w:rsidRDefault="00680EAE" w:rsidP="00680EAE">
      <w:pPr>
        <w:spacing w:before="0" w:after="0"/>
        <w:rPr>
          <w:rFonts w:eastAsia="宋体" w:cs="Times New Roman"/>
          <w:lang w:eastAsia="zh-CN"/>
        </w:rPr>
      </w:pPr>
      <m:oMathPara>
        <m:oMath>
          <m:r>
            <m:rPr>
              <m:sty m:val="p"/>
            </m:rPr>
            <w:rPr>
              <w:rFonts w:ascii="Cambria Math" w:eastAsia="宋体" w:hAnsi="Cambria Math" w:cs="Times New Roman"/>
              <w:lang w:eastAsia="zh-CN"/>
            </w:rPr>
            <m:t xml:space="preserve">Precision= </m:t>
          </m:r>
          <m:f>
            <m:fPr>
              <m:ctrlPr>
                <w:rPr>
                  <w:rFonts w:ascii="Cambria Math" w:eastAsia="等线" w:hAnsi="Cambria Math" w:cs="Times New Roman"/>
                  <w:kern w:val="2"/>
                  <w:szCs w:val="24"/>
                  <w:lang w:eastAsia="zh-CN"/>
                </w:rPr>
              </m:ctrlPr>
            </m:fPr>
            <m:num>
              <m:r>
                <w:rPr>
                  <w:rFonts w:ascii="Cambria Math" w:eastAsia="宋体" w:hAnsi="Cambria Math" w:cs="Times New Roman"/>
                  <w:lang w:eastAsia="zh-CN"/>
                </w:rPr>
                <m:t>TP</m:t>
              </m:r>
            </m:num>
            <m:den>
              <m:r>
                <w:rPr>
                  <w:rFonts w:ascii="Cambria Math" w:eastAsia="宋体" w:hAnsi="Cambria Math" w:cs="Times New Roman"/>
                  <w:lang w:eastAsia="zh-CN"/>
                </w:rPr>
                <m:t>TP</m:t>
              </m:r>
              <m:r>
                <m:rPr>
                  <m:sty m:val="p"/>
                </m:rPr>
                <w:rPr>
                  <w:rFonts w:ascii="Cambria Math" w:eastAsia="宋体" w:hAnsi="Cambria Math" w:cs="Times New Roman"/>
                  <w:lang w:eastAsia="zh-CN"/>
                </w:rPr>
                <m:t>+</m:t>
              </m:r>
              <m:r>
                <w:rPr>
                  <w:rFonts w:ascii="Cambria Math" w:eastAsia="宋体" w:hAnsi="Cambria Math" w:cs="Times New Roman"/>
                  <w:lang w:eastAsia="zh-CN"/>
                </w:rPr>
                <m:t>FP</m:t>
              </m:r>
            </m:den>
          </m:f>
        </m:oMath>
      </m:oMathPara>
    </w:p>
    <w:p w14:paraId="1477671C" w14:textId="77777777" w:rsidR="00680EAE" w:rsidRDefault="00680EAE" w:rsidP="00680EAE">
      <w:pPr>
        <w:spacing w:before="100" w:beforeAutospacing="1" w:after="100" w:afterAutospacing="1"/>
        <w:jc w:val="both"/>
        <w:rPr>
          <w:rFonts w:eastAsia="Times New Roman" w:cs="Times New Roman"/>
          <w:szCs w:val="24"/>
          <w:lang w:eastAsia="en-GB"/>
        </w:rPr>
      </w:pPr>
      <w:r w:rsidRPr="00680EAE">
        <w:rPr>
          <w:rFonts w:eastAsia="Times New Roman" w:cs="Times New Roman"/>
          <w:szCs w:val="24"/>
          <w:lang w:eastAsia="en-GB"/>
        </w:rPr>
        <w:t>AUROC (area under the receiver operating characteristic curve): The curve drawn with false positive rate (FPR) as the X axis and true positive rate (TPR) as the Y axis is an ROC curve, and the area under the curve is AUROC. AUROC is used to measure the quality of the classification model, and the impact caused by the selection of threshold can be ignored. When AUROC is close to 1.0, the model is shown to have best prediction performance; When it is equal to 0.5, the performance is considered random.</w:t>
      </w:r>
    </w:p>
    <w:p w14:paraId="44E980F8" w14:textId="168C6AFB" w:rsidR="00994A3D" w:rsidRPr="00994A3D" w:rsidRDefault="00680EAE" w:rsidP="00680EAE">
      <w:pPr>
        <w:spacing w:before="100" w:beforeAutospacing="1" w:after="100" w:afterAutospacing="1"/>
        <w:jc w:val="both"/>
        <w:rPr>
          <w:rFonts w:eastAsia="Times New Roman" w:cs="Times New Roman"/>
          <w:szCs w:val="24"/>
          <w:lang w:val="en-GB" w:eastAsia="en-GB"/>
        </w:rPr>
      </w:pPr>
      <w:r w:rsidRPr="00680EAE">
        <w:rPr>
          <w:rFonts w:eastAsia="Times New Roman" w:cs="Times New Roman"/>
          <w:szCs w:val="24"/>
          <w:lang w:eastAsia="en-GB"/>
        </w:rPr>
        <w:t>AUPRC (area under the precision-recall curve)</w:t>
      </w:r>
      <w:r w:rsidRPr="00680EAE">
        <w:rPr>
          <w:rFonts w:eastAsia="Times New Roman" w:cs="Times New Roman" w:hint="eastAsia"/>
          <w:szCs w:val="24"/>
          <w:lang w:eastAsia="en-GB"/>
        </w:rPr>
        <w:t>:</w:t>
      </w:r>
      <w:r w:rsidRPr="00680EAE">
        <w:rPr>
          <w:rFonts w:eastAsia="Times New Roman" w:cs="Times New Roman"/>
          <w:szCs w:val="24"/>
          <w:lang w:eastAsia="en-GB"/>
        </w:rPr>
        <w:t xml:space="preserve"> The precision-recall (PR) curve is drawn with recall as the X axis and precision as the Y axis. AUPRC is calculated as the area under the PR curve. The PR curve shows the trade-off between accuracy and recall across different decision thresholds</w:t>
      </w:r>
      <w:r w:rsidR="003123F4">
        <w:rPr>
          <w:rFonts w:eastAsia="Times New Roman" w:cs="Times New Roman"/>
          <w:szCs w:val="24"/>
          <w:lang w:val="en-GB" w:eastAsia="en-GB"/>
        </w:rPr>
        <w:t>s.</w:t>
      </w:r>
    </w:p>
    <w:p w14:paraId="6754D378" w14:textId="4F7FB923" w:rsidR="00994A3D" w:rsidRPr="00680EAE" w:rsidRDefault="00654E8F" w:rsidP="00680EAE">
      <w:pPr>
        <w:pStyle w:val="1"/>
      </w:pPr>
      <w:r w:rsidRPr="00994A3D">
        <w:lastRenderedPageBreak/>
        <w:t>Supplementary Figures</w:t>
      </w:r>
    </w:p>
    <w:p w14:paraId="3C419443" w14:textId="66F5DD54" w:rsidR="00994A3D" w:rsidRPr="001549D3" w:rsidRDefault="00680EAE" w:rsidP="00994A3D">
      <w:pPr>
        <w:keepNext/>
        <w:jc w:val="center"/>
        <w:rPr>
          <w:rFonts w:cs="Times New Roman"/>
          <w:szCs w:val="24"/>
        </w:rPr>
      </w:pPr>
      <w:r w:rsidRPr="00532408">
        <w:rPr>
          <w:rFonts w:cs="Times New Roman"/>
          <w:noProof/>
        </w:rPr>
        <w:object w:dxaOrig="8101" w:dyaOrig="3931" w14:anchorId="6C18A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9pt;height:144.05pt;mso-width-percent:0;mso-height-percent:0;mso-width-percent:0;mso-height-percent:0" o:ole="">
            <v:imagedata r:id="rId8" o:title=""/>
          </v:shape>
          <o:OLEObject Type="Embed" ProgID="Visio.Drawing.15" ShapeID="_x0000_i1025" DrawAspect="Content" ObjectID="_1709299946" r:id="rId9"/>
        </w:object>
      </w:r>
    </w:p>
    <w:p w14:paraId="3AE196DF" w14:textId="2CAB1452" w:rsidR="00994A3D" w:rsidRPr="002B4A57" w:rsidRDefault="00994A3D" w:rsidP="002B4A57">
      <w:pPr>
        <w:keepNext/>
        <w:rPr>
          <w:rFonts w:cs="Times New Roman"/>
          <w:b/>
          <w:szCs w:val="24"/>
        </w:rPr>
      </w:pPr>
      <w:r w:rsidRPr="0001436A">
        <w:rPr>
          <w:rFonts w:cs="Times New Roman"/>
          <w:b/>
          <w:szCs w:val="24"/>
        </w:rPr>
        <w:t xml:space="preserve">Supplementary Figure </w:t>
      </w:r>
      <w:r w:rsidR="00680EAE">
        <w:rPr>
          <w:rFonts w:cs="Times New Roman"/>
          <w:b/>
          <w:szCs w:val="24"/>
        </w:rPr>
        <w:t>S</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ED20B5">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680EAE" w:rsidRPr="00680EAE">
        <w:rPr>
          <w:rFonts w:cs="Times New Roman"/>
          <w:szCs w:val="24"/>
        </w:rPr>
        <w:t>The decision rule of key features in the XGBoost model from the COVID-19 data</w:t>
      </w:r>
      <w:r w:rsidRPr="001549D3">
        <w:rPr>
          <w:rFonts w:cs="Times New Roman"/>
          <w:szCs w:val="24"/>
        </w:rPr>
        <w:t xml:space="preserve">. </w:t>
      </w:r>
      <w:r w:rsidR="002E6559" w:rsidRPr="002E6559">
        <w:rPr>
          <w:rFonts w:cs="Times New Roman"/>
          <w:szCs w:val="24"/>
        </w:rPr>
        <w:t>APACHE II: acute physiology and chronic health evaluation II</w:t>
      </w:r>
      <w:r w:rsidR="002E6559">
        <w:rPr>
          <w:rFonts w:cs="Times New Roman"/>
          <w:szCs w:val="24"/>
        </w:rPr>
        <w:t>.</w:t>
      </w:r>
    </w:p>
    <w:p w14:paraId="1CFD693B" w14:textId="6E77BB23" w:rsidR="00680EAE" w:rsidRPr="001549D3" w:rsidRDefault="00680EAE" w:rsidP="00680EAE">
      <w:pPr>
        <w:keepNext/>
        <w:jc w:val="center"/>
        <w:rPr>
          <w:rFonts w:cs="Times New Roman"/>
          <w:szCs w:val="24"/>
        </w:rPr>
      </w:pPr>
      <w:r w:rsidRPr="00BD2A0E">
        <w:rPr>
          <w:rFonts w:cs="Times New Roman"/>
          <w:b/>
          <w:noProof/>
        </w:rPr>
        <w:drawing>
          <wp:inline distT="0" distB="0" distL="0" distR="0" wp14:anchorId="02533304" wp14:editId="4CD8D953">
            <wp:extent cx="3721210" cy="4410703"/>
            <wp:effectExtent l="0" t="0" r="0" b="9525"/>
            <wp:docPr id="4" name="图片 4" descr="图表, 折线图,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 折线图, 直方图&#10;&#10;描述已自动生成"/>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0500" cy="4421715"/>
                    </a:xfrm>
                    <a:prstGeom prst="rect">
                      <a:avLst/>
                    </a:prstGeom>
                  </pic:spPr>
                </pic:pic>
              </a:graphicData>
            </a:graphic>
          </wp:inline>
        </w:drawing>
      </w:r>
    </w:p>
    <w:p w14:paraId="082B2E72" w14:textId="04A42172" w:rsidR="00680EAE" w:rsidRPr="00680EAE" w:rsidRDefault="00680EAE" w:rsidP="00680EAE">
      <w:pPr>
        <w:keepNext/>
        <w:rPr>
          <w:rFonts w:cs="Times New Roman"/>
          <w:b/>
          <w:szCs w:val="24"/>
        </w:rPr>
      </w:pPr>
      <w:r w:rsidRPr="0001436A">
        <w:rPr>
          <w:rFonts w:cs="Times New Roman"/>
          <w:b/>
          <w:szCs w:val="24"/>
        </w:rPr>
        <w:t xml:space="preserve">Supplementary Figure </w:t>
      </w:r>
      <w:r>
        <w:rPr>
          <w:rFonts w:cs="Times New Roman"/>
          <w:b/>
          <w:szCs w:val="24"/>
        </w:rPr>
        <w:t>S2</w:t>
      </w:r>
      <w:r w:rsidRPr="0001436A">
        <w:rPr>
          <w:rFonts w:cs="Times New Roman"/>
          <w:b/>
          <w:szCs w:val="24"/>
        </w:rPr>
        <w:t>.</w:t>
      </w:r>
      <w:r w:rsidRPr="001549D3">
        <w:rPr>
          <w:rFonts w:cs="Times New Roman"/>
          <w:szCs w:val="24"/>
        </w:rPr>
        <w:t xml:space="preserve"> </w:t>
      </w:r>
      <w:r w:rsidRPr="00680EAE">
        <w:rPr>
          <w:rFonts w:cs="Times New Roman"/>
          <w:szCs w:val="24"/>
          <w:lang w:val="x-none"/>
        </w:rPr>
        <w:t>Performance of our proposed model (Bi-LSTM and Bi-LSTM_Attn) to predict pneumonia patient survival using different prediction and observation windows based on the test set of eICU. The left column showed AUROC values and the right column showed AUPRC values</w:t>
      </w:r>
      <w:r w:rsidRPr="001549D3">
        <w:rPr>
          <w:rFonts w:cs="Times New Roman"/>
          <w:szCs w:val="24"/>
        </w:rPr>
        <w:t>.</w:t>
      </w:r>
      <w:r w:rsidR="00081581">
        <w:rPr>
          <w:rFonts w:cs="Times New Roman"/>
          <w:szCs w:val="24"/>
        </w:rPr>
        <w:t xml:space="preserve"> </w:t>
      </w:r>
      <w:r w:rsidR="00081581" w:rsidRPr="00081581">
        <w:rPr>
          <w:rFonts w:cs="Times New Roman"/>
          <w:bCs/>
          <w:color w:val="FF0000"/>
          <w:szCs w:val="24"/>
        </w:rPr>
        <w:t>(</w:t>
      </w:r>
      <w:r w:rsidR="00081581">
        <w:rPr>
          <w:rFonts w:cs="Times New Roman" w:hint="eastAsia"/>
          <w:bCs/>
          <w:color w:val="FF0000"/>
          <w:szCs w:val="24"/>
          <w:lang w:eastAsia="zh-CN"/>
        </w:rPr>
        <w:t>a</w:t>
      </w:r>
      <w:r w:rsidR="00081581" w:rsidRPr="00081581">
        <w:rPr>
          <w:rFonts w:cs="Times New Roman"/>
          <w:bCs/>
          <w:color w:val="FF0000"/>
          <w:szCs w:val="24"/>
        </w:rPr>
        <w:t>) and (</w:t>
      </w:r>
      <w:r w:rsidR="00081581">
        <w:rPr>
          <w:rFonts w:cs="Times New Roman"/>
          <w:bCs/>
          <w:color w:val="FF0000"/>
          <w:szCs w:val="24"/>
        </w:rPr>
        <w:t>b</w:t>
      </w:r>
      <w:r w:rsidR="00081581" w:rsidRPr="00081581">
        <w:rPr>
          <w:rFonts w:cs="Times New Roman"/>
          <w:bCs/>
          <w:color w:val="FF0000"/>
          <w:szCs w:val="24"/>
        </w:rPr>
        <w:t>) are AUROC and AUPRC of different models under different 24-hour observation windows and different prediction windows, respectively. (</w:t>
      </w:r>
      <w:r w:rsidR="00081581">
        <w:rPr>
          <w:rFonts w:cs="Times New Roman"/>
          <w:bCs/>
          <w:color w:val="FF0000"/>
          <w:szCs w:val="24"/>
        </w:rPr>
        <w:t>c</w:t>
      </w:r>
      <w:r w:rsidR="00081581" w:rsidRPr="00081581">
        <w:rPr>
          <w:rFonts w:cs="Times New Roman"/>
          <w:bCs/>
          <w:color w:val="FF0000"/>
          <w:szCs w:val="24"/>
        </w:rPr>
        <w:t>) and (</w:t>
      </w:r>
      <w:r w:rsidR="00081581">
        <w:rPr>
          <w:rFonts w:cs="Times New Roman"/>
          <w:bCs/>
          <w:color w:val="FF0000"/>
          <w:szCs w:val="24"/>
        </w:rPr>
        <w:t>d</w:t>
      </w:r>
      <w:r w:rsidR="00081581" w:rsidRPr="00081581">
        <w:rPr>
          <w:rFonts w:cs="Times New Roman"/>
          <w:bCs/>
          <w:color w:val="FF0000"/>
          <w:szCs w:val="24"/>
        </w:rPr>
        <w:t xml:space="preserve">) are AUROC and AUPRC of </w:t>
      </w:r>
      <w:r w:rsidR="00081581" w:rsidRPr="00081581">
        <w:rPr>
          <w:rFonts w:cs="Times New Roman"/>
          <w:bCs/>
          <w:color w:val="FF0000"/>
          <w:szCs w:val="24"/>
        </w:rPr>
        <w:lastRenderedPageBreak/>
        <w:t>different models under different 48-hour observation windows and different prediction windows, respectively. (</w:t>
      </w:r>
      <w:r w:rsidR="00081581">
        <w:rPr>
          <w:rFonts w:cs="Times New Roman"/>
          <w:bCs/>
          <w:color w:val="FF0000"/>
          <w:szCs w:val="24"/>
        </w:rPr>
        <w:t>e</w:t>
      </w:r>
      <w:r w:rsidR="00081581" w:rsidRPr="00081581">
        <w:rPr>
          <w:rFonts w:cs="Times New Roman"/>
          <w:bCs/>
          <w:color w:val="FF0000"/>
          <w:szCs w:val="24"/>
        </w:rPr>
        <w:t>) and (</w:t>
      </w:r>
      <w:r w:rsidR="00081581">
        <w:rPr>
          <w:rFonts w:cs="Times New Roman"/>
          <w:bCs/>
          <w:color w:val="FF0000"/>
          <w:szCs w:val="24"/>
        </w:rPr>
        <w:t>f</w:t>
      </w:r>
      <w:r w:rsidR="00081581" w:rsidRPr="00081581">
        <w:rPr>
          <w:rFonts w:cs="Times New Roman"/>
          <w:bCs/>
          <w:color w:val="FF0000"/>
          <w:szCs w:val="24"/>
        </w:rPr>
        <w:t>) are AUROC and AUPRC of different models under different 72-hour observation windows and different prediction windows, respectively.</w:t>
      </w:r>
    </w:p>
    <w:sectPr w:rsidR="00680EAE" w:rsidRPr="00680EAE"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FB6A" w14:textId="77777777" w:rsidR="00B1235C" w:rsidRDefault="00B1235C" w:rsidP="00117666">
      <w:pPr>
        <w:spacing w:after="0"/>
      </w:pPr>
      <w:r>
        <w:separator/>
      </w:r>
    </w:p>
  </w:endnote>
  <w:endnote w:type="continuationSeparator" w:id="0">
    <w:p w14:paraId="1F8DAD49" w14:textId="77777777" w:rsidR="00B1235C" w:rsidRDefault="00B1235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BA9C" w14:textId="77777777" w:rsidR="00B1235C" w:rsidRDefault="00B1235C" w:rsidP="00117666">
      <w:pPr>
        <w:spacing w:after="0"/>
      </w:pPr>
      <w:r>
        <w:separator/>
      </w:r>
    </w:p>
  </w:footnote>
  <w:footnote w:type="continuationSeparator" w:id="0">
    <w:p w14:paraId="4B89722E" w14:textId="77777777" w:rsidR="00B1235C" w:rsidRDefault="00B1235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23A7A"/>
    <w:rsid w:val="00034304"/>
    <w:rsid w:val="00035434"/>
    <w:rsid w:val="00042EA2"/>
    <w:rsid w:val="00052A14"/>
    <w:rsid w:val="00077D53"/>
    <w:rsid w:val="00081581"/>
    <w:rsid w:val="00105FD9"/>
    <w:rsid w:val="00117666"/>
    <w:rsid w:val="001549D3"/>
    <w:rsid w:val="00160065"/>
    <w:rsid w:val="00177D84"/>
    <w:rsid w:val="00267D18"/>
    <w:rsid w:val="00274347"/>
    <w:rsid w:val="002868E2"/>
    <w:rsid w:val="002869C3"/>
    <w:rsid w:val="002936E4"/>
    <w:rsid w:val="002B4A57"/>
    <w:rsid w:val="002C74CA"/>
    <w:rsid w:val="002E6559"/>
    <w:rsid w:val="003123F4"/>
    <w:rsid w:val="003544FB"/>
    <w:rsid w:val="003D2F2D"/>
    <w:rsid w:val="00401590"/>
    <w:rsid w:val="00447801"/>
    <w:rsid w:val="00452E9C"/>
    <w:rsid w:val="004735C8"/>
    <w:rsid w:val="004947A6"/>
    <w:rsid w:val="004961FF"/>
    <w:rsid w:val="004968A5"/>
    <w:rsid w:val="00517A89"/>
    <w:rsid w:val="005250F2"/>
    <w:rsid w:val="00593EEA"/>
    <w:rsid w:val="005A5EEE"/>
    <w:rsid w:val="006375C7"/>
    <w:rsid w:val="00654E8F"/>
    <w:rsid w:val="00660D05"/>
    <w:rsid w:val="00680EAE"/>
    <w:rsid w:val="006820B1"/>
    <w:rsid w:val="006B7D14"/>
    <w:rsid w:val="00701727"/>
    <w:rsid w:val="0070566C"/>
    <w:rsid w:val="00714C50"/>
    <w:rsid w:val="00725A7D"/>
    <w:rsid w:val="007501BE"/>
    <w:rsid w:val="00790BB3"/>
    <w:rsid w:val="007C206C"/>
    <w:rsid w:val="007F4185"/>
    <w:rsid w:val="00817DD6"/>
    <w:rsid w:val="0083759F"/>
    <w:rsid w:val="00885156"/>
    <w:rsid w:val="008A6B94"/>
    <w:rsid w:val="009151AA"/>
    <w:rsid w:val="0093429D"/>
    <w:rsid w:val="00943573"/>
    <w:rsid w:val="00964134"/>
    <w:rsid w:val="00970F7D"/>
    <w:rsid w:val="00994A3D"/>
    <w:rsid w:val="009C2B12"/>
    <w:rsid w:val="00A174D9"/>
    <w:rsid w:val="00AA4D24"/>
    <w:rsid w:val="00AB6715"/>
    <w:rsid w:val="00B1235C"/>
    <w:rsid w:val="00B1671E"/>
    <w:rsid w:val="00B2496B"/>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27</TotalTime>
  <Pages>3</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Z Yu</cp:lastModifiedBy>
  <cp:revision>7</cp:revision>
  <cp:lastPrinted>2013-10-03T12:51:00Z</cp:lastPrinted>
  <dcterms:created xsi:type="dcterms:W3CDTF">2022-02-28T03:14:00Z</dcterms:created>
  <dcterms:modified xsi:type="dcterms:W3CDTF">2022-03-20T08:46:00Z</dcterms:modified>
</cp:coreProperties>
</file>