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D23D8" w14:textId="77777777" w:rsidR="007F4080" w:rsidRPr="00642532" w:rsidRDefault="007F4080" w:rsidP="007F408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29545101"/>
      <w:bookmarkStart w:id="1" w:name="_Hlk29545548"/>
      <w:bookmarkStart w:id="2" w:name="_Hlk39580743"/>
      <w:bookmarkStart w:id="3" w:name="_Hlk39104145"/>
      <w:r w:rsidRPr="00642532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Supporting Information</w:t>
      </w:r>
    </w:p>
    <w:p w14:paraId="6746BC30" w14:textId="77777777" w:rsidR="007F4080" w:rsidRDefault="007F4080" w:rsidP="00C10F6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094871" w14:textId="77777777" w:rsidR="007F4080" w:rsidRDefault="007F4080" w:rsidP="00C10F6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9F63288" w14:textId="1FAE5BED" w:rsidR="002F25C1" w:rsidRPr="00C10F61" w:rsidRDefault="002F25C1" w:rsidP="00C10F61">
      <w:pPr>
        <w:spacing w:after="12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C10F61">
        <w:rPr>
          <w:rFonts w:ascii="Times New Roman" w:hAnsi="Times New Roman" w:cs="Times New Roman"/>
          <w:b/>
          <w:bCs/>
          <w:sz w:val="24"/>
          <w:szCs w:val="24"/>
          <w:lang w:val="en-US"/>
        </w:rPr>
        <w:t>Light triggered enhancement of antibiotic efficacy in biofilm elimination mediated by gold-silver alloy nanoparticles.</w:t>
      </w:r>
      <w:bookmarkEnd w:id="0"/>
      <w:bookmarkEnd w:id="1"/>
      <w:bookmarkEnd w:id="2"/>
    </w:p>
    <w:bookmarkEnd w:id="3"/>
    <w:p w14:paraId="54FD64A5" w14:textId="77777777" w:rsidR="002F25C1" w:rsidRPr="00C10F61" w:rsidRDefault="002F25C1" w:rsidP="00C10F61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80AF499" w14:textId="77777777" w:rsidR="002F25C1" w:rsidRPr="00C10F61" w:rsidRDefault="002F25C1" w:rsidP="00C10F61">
      <w:pPr>
        <w:spacing w:after="120" w:line="36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10F61">
        <w:rPr>
          <w:rFonts w:ascii="Times New Roman" w:eastAsia="Calibri" w:hAnsi="Times New Roman" w:cs="Times New Roman"/>
          <w:sz w:val="24"/>
          <w:szCs w:val="24"/>
        </w:rPr>
        <w:t>Cinthia Alves-Barroco</w:t>
      </w:r>
      <w:r w:rsidRPr="00C10F61">
        <w:rPr>
          <w:rFonts w:ascii="Times New Roman" w:eastAsia="Calibri" w:hAnsi="Times New Roman" w:cs="Times New Roman"/>
          <w:sz w:val="24"/>
          <w:szCs w:val="24"/>
          <w:vertAlign w:val="superscript"/>
        </w:rPr>
        <w:t>1,2</w:t>
      </w:r>
      <w:r w:rsidRPr="00C10F61">
        <w:rPr>
          <w:rFonts w:ascii="Times New Roman" w:eastAsia="Calibri" w:hAnsi="Times New Roman" w:cs="Times New Roman"/>
          <w:sz w:val="24"/>
          <w:szCs w:val="24"/>
        </w:rPr>
        <w:t>, Lorenzo Rivas-García</w:t>
      </w:r>
      <w:r w:rsidRPr="00C10F61">
        <w:rPr>
          <w:rFonts w:ascii="Times New Roman" w:eastAsia="Calibri" w:hAnsi="Times New Roman" w:cs="Times New Roman"/>
          <w:sz w:val="24"/>
          <w:szCs w:val="24"/>
          <w:vertAlign w:val="superscript"/>
        </w:rPr>
        <w:t>1,3</w:t>
      </w:r>
      <w:r w:rsidRPr="00C10F61">
        <w:rPr>
          <w:rFonts w:ascii="Times New Roman" w:eastAsia="Calibri" w:hAnsi="Times New Roman" w:cs="Times New Roman"/>
          <w:sz w:val="24"/>
          <w:szCs w:val="24"/>
        </w:rPr>
        <w:t>, Alexandra R. Fernandes</w:t>
      </w:r>
      <w:r w:rsidRPr="00C10F61">
        <w:rPr>
          <w:rFonts w:ascii="Times New Roman" w:eastAsia="Calibri" w:hAnsi="Times New Roman" w:cs="Times New Roman"/>
          <w:sz w:val="24"/>
          <w:szCs w:val="24"/>
          <w:vertAlign w:val="superscript"/>
        </w:rPr>
        <w:t>1,2*</w:t>
      </w:r>
      <w:r w:rsidRPr="00C10F61">
        <w:rPr>
          <w:rFonts w:ascii="Times New Roman" w:eastAsia="MS Mincho" w:hAnsi="Times New Roman" w:cs="Times New Roman"/>
          <w:sz w:val="24"/>
          <w:szCs w:val="24"/>
        </w:rPr>
        <w:t xml:space="preserve">, Pedro Viana </w:t>
      </w:r>
      <w:r w:rsidRPr="00C10F61">
        <w:rPr>
          <w:rFonts w:ascii="Times New Roman" w:eastAsia="Calibri" w:hAnsi="Times New Roman" w:cs="Times New Roman"/>
          <w:sz w:val="24"/>
          <w:szCs w:val="24"/>
        </w:rPr>
        <w:t>Baptista</w:t>
      </w:r>
      <w:r w:rsidRPr="00C10F61">
        <w:rPr>
          <w:rFonts w:ascii="Times New Roman" w:eastAsia="Calibri" w:hAnsi="Times New Roman" w:cs="Times New Roman"/>
          <w:sz w:val="24"/>
          <w:szCs w:val="24"/>
          <w:vertAlign w:val="superscript"/>
        </w:rPr>
        <w:t>1,2*</w:t>
      </w:r>
    </w:p>
    <w:p w14:paraId="77563F36" w14:textId="77777777" w:rsidR="002F25C1" w:rsidRPr="00C10F61" w:rsidRDefault="002F25C1" w:rsidP="00C10F61">
      <w:pPr>
        <w:suppressLineNumbers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F61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C10F61">
        <w:rPr>
          <w:rFonts w:ascii="Times New Roman" w:eastAsia="Calibri" w:hAnsi="Times New Roman" w:cs="Times New Roman"/>
          <w:sz w:val="24"/>
          <w:szCs w:val="24"/>
        </w:rPr>
        <w:t xml:space="preserve">UCIBIO, </w:t>
      </w:r>
      <w:proofErr w:type="spellStart"/>
      <w:r w:rsidRPr="00C10F61">
        <w:rPr>
          <w:rFonts w:ascii="Times New Roman" w:eastAsia="Calibri" w:hAnsi="Times New Roman" w:cs="Times New Roman"/>
          <w:sz w:val="24"/>
          <w:szCs w:val="24"/>
        </w:rPr>
        <w:t>Dept</w:t>
      </w:r>
      <w:proofErr w:type="spellEnd"/>
      <w:r w:rsidRPr="00C10F61">
        <w:rPr>
          <w:rFonts w:ascii="Times New Roman" w:eastAsia="Calibri" w:hAnsi="Times New Roman" w:cs="Times New Roman"/>
          <w:sz w:val="24"/>
          <w:szCs w:val="24"/>
        </w:rPr>
        <w:t>. Ciências da Vida, Faculdade de Ciências e Tecnologia, Universidade NOVA de Lisboa, 2819-516 Caparica, Portugal</w:t>
      </w:r>
    </w:p>
    <w:p w14:paraId="42C3EC35" w14:textId="77777777" w:rsidR="002F25C1" w:rsidRPr="00C10F61" w:rsidRDefault="002F25C1" w:rsidP="00C10F61">
      <w:pPr>
        <w:suppressLineNumbers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F6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C10F61">
        <w:rPr>
          <w:rFonts w:ascii="Times New Roman" w:eastAsia="Calibri" w:hAnsi="Times New Roman" w:cs="Times New Roman"/>
          <w:sz w:val="24"/>
          <w:szCs w:val="24"/>
        </w:rPr>
        <w:t xml:space="preserve">i4HB, </w:t>
      </w:r>
      <w:proofErr w:type="spellStart"/>
      <w:r w:rsidRPr="00C10F61">
        <w:rPr>
          <w:rFonts w:ascii="Times New Roman" w:eastAsia="Calibri" w:hAnsi="Times New Roman" w:cs="Times New Roman"/>
          <w:sz w:val="24"/>
          <w:szCs w:val="24"/>
        </w:rPr>
        <w:t>Associate</w:t>
      </w:r>
      <w:proofErr w:type="spellEnd"/>
      <w:r w:rsidRPr="00C10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0F61">
        <w:rPr>
          <w:rFonts w:ascii="Times New Roman" w:eastAsia="Calibri" w:hAnsi="Times New Roman" w:cs="Times New Roman"/>
          <w:sz w:val="24"/>
          <w:szCs w:val="24"/>
        </w:rPr>
        <w:t>Laboratory</w:t>
      </w:r>
      <w:proofErr w:type="spellEnd"/>
      <w:r w:rsidRPr="00C10F61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Pr="00C10F61">
        <w:rPr>
          <w:rFonts w:ascii="Times New Roman" w:eastAsia="Calibri" w:hAnsi="Times New Roman" w:cs="Times New Roman"/>
          <w:sz w:val="24"/>
          <w:szCs w:val="24"/>
        </w:rPr>
        <w:t>Institute</w:t>
      </w:r>
      <w:proofErr w:type="spellEnd"/>
      <w:r w:rsidRPr="00C10F61">
        <w:rPr>
          <w:rFonts w:ascii="Times New Roman" w:eastAsia="Calibri" w:hAnsi="Times New Roman" w:cs="Times New Roman"/>
          <w:sz w:val="24"/>
          <w:szCs w:val="24"/>
        </w:rPr>
        <w:t xml:space="preserve"> for </w:t>
      </w:r>
      <w:proofErr w:type="spellStart"/>
      <w:r w:rsidRPr="00C10F61">
        <w:rPr>
          <w:rFonts w:ascii="Times New Roman" w:eastAsia="Calibri" w:hAnsi="Times New Roman" w:cs="Times New Roman"/>
          <w:sz w:val="24"/>
          <w:szCs w:val="24"/>
        </w:rPr>
        <w:t>Health</w:t>
      </w:r>
      <w:proofErr w:type="spellEnd"/>
      <w:r w:rsidRPr="00C10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0F61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C10F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0F61">
        <w:rPr>
          <w:rFonts w:ascii="Times New Roman" w:eastAsia="Calibri" w:hAnsi="Times New Roman" w:cs="Times New Roman"/>
          <w:sz w:val="24"/>
          <w:szCs w:val="24"/>
        </w:rPr>
        <w:t>Bioeconomy</w:t>
      </w:r>
      <w:proofErr w:type="spellEnd"/>
      <w:r w:rsidRPr="00C10F61">
        <w:rPr>
          <w:rFonts w:ascii="Times New Roman" w:eastAsia="Calibri" w:hAnsi="Times New Roman" w:cs="Times New Roman"/>
          <w:sz w:val="24"/>
          <w:szCs w:val="24"/>
        </w:rPr>
        <w:t>, Faculdade de Ciências e Tecnologia, Universidade NOVA de Lisboa, 2819-516 Caparica, Portugal</w:t>
      </w:r>
    </w:p>
    <w:p w14:paraId="7149952D" w14:textId="77777777" w:rsidR="002F25C1" w:rsidRPr="00C10F61" w:rsidRDefault="002F25C1" w:rsidP="00C10F61">
      <w:pPr>
        <w:suppressLineNumbers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10F61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3</w:t>
      </w:r>
      <w:r w:rsidRPr="00C10F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Biomedical Research Centre, Institute of Nutrition and Food Technology, Department of Physiology, Faculty of Pharmacy, University of Granada, Avda. del </w:t>
      </w:r>
      <w:proofErr w:type="spellStart"/>
      <w:r w:rsidRPr="00C10F61">
        <w:rPr>
          <w:rFonts w:ascii="Times New Roman" w:eastAsia="Calibri" w:hAnsi="Times New Roman" w:cs="Times New Roman"/>
          <w:sz w:val="24"/>
          <w:szCs w:val="24"/>
          <w:lang w:val="en-US"/>
        </w:rPr>
        <w:t>Conocimiento</w:t>
      </w:r>
      <w:proofErr w:type="spellEnd"/>
      <w:r w:rsidRPr="00C10F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s/n. 18071 Armilla, Granada, Spain.</w:t>
      </w:r>
    </w:p>
    <w:p w14:paraId="2EECDD14" w14:textId="77777777" w:rsidR="002F25C1" w:rsidRPr="00C10F61" w:rsidRDefault="002F25C1" w:rsidP="00C10F61">
      <w:pPr>
        <w:suppressLineNumbers/>
        <w:spacing w:after="12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en-US"/>
        </w:rPr>
      </w:pPr>
    </w:p>
    <w:p w14:paraId="4FEA1A50" w14:textId="77777777" w:rsidR="002F25C1" w:rsidRPr="00C10F61" w:rsidRDefault="002F25C1" w:rsidP="00C10F61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10F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*Co-last and corresponding authors - E-mail: </w:t>
      </w:r>
      <w:hyperlink r:id="rId5" w:history="1">
        <w:r w:rsidRPr="00C10F61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ma.fernandes@fct.unl.pt</w:t>
        </w:r>
      </w:hyperlink>
      <w:r w:rsidRPr="00C10F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(ARF); </w:t>
      </w:r>
      <w:hyperlink r:id="rId6" w:history="1">
        <w:r w:rsidRPr="00C10F61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pmvb@fct.unl.pt</w:t>
        </w:r>
      </w:hyperlink>
      <w:r w:rsidRPr="00C10F6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(PVB)</w:t>
      </w:r>
    </w:p>
    <w:p w14:paraId="60367565" w14:textId="2B32546C" w:rsidR="006B150F" w:rsidRPr="00C10F61" w:rsidRDefault="006B150F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DD74F2" w14:textId="7EDC4D37" w:rsidR="002F25C1" w:rsidRPr="00C10F61" w:rsidRDefault="002F25C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8B26FF" w14:textId="4963F3C1" w:rsidR="002F25C1" w:rsidRPr="00C10F61" w:rsidRDefault="002F25C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8B1B44" w14:textId="65A1C59C" w:rsidR="002F25C1" w:rsidRPr="00C10F61" w:rsidRDefault="002F25C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26DD92" w14:textId="100EF319" w:rsidR="002F25C1" w:rsidRPr="00C10F61" w:rsidRDefault="002F25C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90BD62" w14:textId="53BE0E06" w:rsidR="002F25C1" w:rsidRPr="00C10F61" w:rsidRDefault="002F25C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D2CE993" w14:textId="7F098DBB" w:rsidR="002F25C1" w:rsidRPr="00C10F61" w:rsidRDefault="002F25C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8F3D44" w14:textId="0E2E16C6" w:rsidR="002F25C1" w:rsidRPr="00C10F61" w:rsidRDefault="002F25C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92C5ED5" w14:textId="563ECDFF" w:rsidR="002F25C1" w:rsidRPr="00C10F61" w:rsidRDefault="002F25C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718774" w14:textId="1866427D" w:rsidR="002F25C1" w:rsidRPr="00C10F61" w:rsidRDefault="002F25C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0EED9D" w14:textId="12631B46" w:rsidR="002F25C1" w:rsidRPr="00C10F61" w:rsidRDefault="002F25C1" w:rsidP="00C10F61">
      <w:pPr>
        <w:pStyle w:val="NormalWeb"/>
        <w:spacing w:before="0" w:beforeAutospacing="0" w:after="160" w:afterAutospacing="0" w:line="360" w:lineRule="auto"/>
        <w:jc w:val="both"/>
        <w:rPr>
          <w:lang w:val="en-US"/>
        </w:rPr>
      </w:pPr>
      <w:r w:rsidRPr="00C10F61">
        <w:rPr>
          <w:rFonts w:eastAsia="Calibri"/>
          <w:b/>
          <w:bCs/>
          <w:color w:val="000000" w:themeColor="text1"/>
          <w:kern w:val="24"/>
          <w:lang w:val="en-US"/>
        </w:rPr>
        <w:t>Table</w:t>
      </w:r>
      <w:r w:rsidR="006C6589">
        <w:rPr>
          <w:rFonts w:eastAsia="Calibri"/>
          <w:b/>
          <w:bCs/>
          <w:color w:val="000000" w:themeColor="text1"/>
          <w:kern w:val="24"/>
          <w:lang w:val="en-US"/>
        </w:rPr>
        <w:t xml:space="preserve"> S1</w:t>
      </w:r>
      <w:r w:rsidRPr="00C10F61">
        <w:rPr>
          <w:rFonts w:eastAsia="Calibri"/>
          <w:b/>
          <w:bCs/>
          <w:color w:val="000000" w:themeColor="text1"/>
          <w:kern w:val="24"/>
          <w:lang w:val="en-US"/>
        </w:rPr>
        <w:t xml:space="preserve">. </w:t>
      </w:r>
      <w:r w:rsidRPr="00C10F61">
        <w:rPr>
          <w:rFonts w:eastAsia="Calibri"/>
          <w:color w:val="000000" w:themeColor="text1"/>
          <w:kern w:val="24"/>
          <w:lang w:val="en-US"/>
        </w:rPr>
        <w:t>Isolates selected for the analysis of the eradication of the biofilms formed, with information on the PFGE profiles, antibiotic resistance profiles, and the ability to accumulate biofilms in vitro.</w:t>
      </w:r>
    </w:p>
    <w:tbl>
      <w:tblPr>
        <w:tblW w:w="939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21"/>
        <w:gridCol w:w="1036"/>
        <w:gridCol w:w="834"/>
        <w:gridCol w:w="1480"/>
        <w:gridCol w:w="1210"/>
        <w:gridCol w:w="714"/>
        <w:gridCol w:w="628"/>
        <w:gridCol w:w="1210"/>
        <w:gridCol w:w="731"/>
        <w:gridCol w:w="629"/>
      </w:tblGrid>
      <w:tr w:rsidR="00C10F61" w:rsidRPr="00C10F61" w14:paraId="4457D86A" w14:textId="77777777" w:rsidTr="00C10F61">
        <w:trPr>
          <w:trHeight w:val="203"/>
        </w:trPr>
        <w:tc>
          <w:tcPr>
            <w:tcW w:w="921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F872EA" w14:textId="77777777" w:rsidR="002F25C1" w:rsidRPr="002F25C1" w:rsidRDefault="002F25C1" w:rsidP="00C10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PT"/>
              </w:rPr>
            </w:pPr>
          </w:p>
        </w:tc>
        <w:tc>
          <w:tcPr>
            <w:tcW w:w="103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5D287E" w14:textId="77777777" w:rsidR="002F25C1" w:rsidRPr="002F25C1" w:rsidRDefault="002F25C1" w:rsidP="00C10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PT"/>
              </w:rPr>
            </w:pPr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E72712" w14:textId="77777777" w:rsidR="002F25C1" w:rsidRPr="002F25C1" w:rsidRDefault="002F25C1" w:rsidP="00C10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PT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D280FB" w14:textId="77777777" w:rsidR="002F25C1" w:rsidRPr="002F25C1" w:rsidRDefault="002F25C1" w:rsidP="00C10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PT"/>
              </w:rPr>
            </w:pPr>
          </w:p>
        </w:tc>
        <w:tc>
          <w:tcPr>
            <w:tcW w:w="5122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AAF3CE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Biofilm</w:t>
            </w:r>
            <w:proofErr w:type="spellEnd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formation</w:t>
            </w:r>
            <w:proofErr w:type="spellEnd"/>
          </w:p>
        </w:tc>
      </w:tr>
      <w:tr w:rsidR="002F25C1" w:rsidRPr="00C10F61" w14:paraId="0E8BE58F" w14:textId="77777777" w:rsidTr="00C10F61">
        <w:trPr>
          <w:trHeight w:val="203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9162548" w14:textId="77777777" w:rsidR="002F25C1" w:rsidRPr="002F25C1" w:rsidRDefault="002F25C1" w:rsidP="00C10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1A145FF" w14:textId="77777777" w:rsidR="002F25C1" w:rsidRPr="002F25C1" w:rsidRDefault="002F25C1" w:rsidP="00C10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30737CF" w14:textId="77777777" w:rsidR="002F25C1" w:rsidRPr="002F25C1" w:rsidRDefault="002F25C1" w:rsidP="00C10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6F4B074" w14:textId="77777777" w:rsidR="002F25C1" w:rsidRPr="002F25C1" w:rsidRDefault="002F25C1" w:rsidP="00C10F6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222B15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pt-PT"/>
              </w:rPr>
              <w:t>Glass surface</w:t>
            </w:r>
          </w:p>
        </w:tc>
        <w:tc>
          <w:tcPr>
            <w:tcW w:w="256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DBA66A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Polystyrene</w:t>
            </w:r>
            <w:proofErr w:type="spellEnd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surface</w:t>
            </w:r>
            <w:proofErr w:type="spellEnd"/>
          </w:p>
        </w:tc>
      </w:tr>
      <w:tr w:rsidR="002F25C1" w:rsidRPr="00C10F61" w14:paraId="1F38C6CD" w14:textId="77777777" w:rsidTr="00C10F61">
        <w:trPr>
          <w:trHeight w:val="436"/>
        </w:trPr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26981" w14:textId="77777777" w:rsidR="002F25C1" w:rsidRPr="002F25C1" w:rsidRDefault="002F25C1" w:rsidP="00C10F61">
            <w:pPr>
              <w:spacing w:after="360"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Strain</w:t>
            </w:r>
            <w:proofErr w:type="spellEnd"/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64971" w14:textId="77777777" w:rsidR="002F25C1" w:rsidRPr="002F25C1" w:rsidRDefault="002F25C1" w:rsidP="00C10F61">
            <w:pPr>
              <w:spacing w:after="360"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Year</w:t>
            </w:r>
            <w:proofErr w:type="spellEnd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of</w:t>
            </w:r>
            <w:proofErr w:type="spellEnd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isolation</w:t>
            </w:r>
            <w:proofErr w:type="spellEnd"/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C23C7" w14:textId="77777777" w:rsidR="002F25C1" w:rsidRPr="002F25C1" w:rsidRDefault="002F25C1" w:rsidP="00C10F61">
            <w:pPr>
              <w:spacing w:after="360"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 xml:space="preserve">PFGE </w:t>
            </w: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type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57E2E" w14:textId="77777777" w:rsidR="002F25C1" w:rsidRPr="002F25C1" w:rsidRDefault="002F25C1" w:rsidP="00C10F61">
            <w:pPr>
              <w:spacing w:after="360"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Resistance</w:t>
            </w:r>
            <w:proofErr w:type="spellEnd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 xml:space="preserve"> </w:t>
            </w: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phenotype</w:t>
            </w:r>
            <w:proofErr w:type="spellEnd"/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9256" w14:textId="77777777" w:rsidR="002F25C1" w:rsidRPr="002F25C1" w:rsidRDefault="002F25C1" w:rsidP="00C10F61">
            <w:pPr>
              <w:spacing w:after="360"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Phenotype</w:t>
            </w:r>
            <w:proofErr w:type="spellEnd"/>
          </w:p>
        </w:tc>
        <w:tc>
          <w:tcPr>
            <w:tcW w:w="13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8CF2D" w14:textId="77777777" w:rsidR="002F25C1" w:rsidRPr="002F25C1" w:rsidRDefault="002F25C1" w:rsidP="00C10F61">
            <w:pPr>
              <w:spacing w:after="360"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OD600 ± SD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0B469" w14:textId="77777777" w:rsidR="002F25C1" w:rsidRPr="002F25C1" w:rsidRDefault="002F25C1" w:rsidP="00C10F61">
            <w:pPr>
              <w:spacing w:after="360"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Phenotype</w:t>
            </w:r>
            <w:proofErr w:type="spellEnd"/>
          </w:p>
        </w:tc>
        <w:tc>
          <w:tcPr>
            <w:tcW w:w="13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5E96C" w14:textId="77777777" w:rsidR="002F25C1" w:rsidRPr="002F25C1" w:rsidRDefault="002F25C1" w:rsidP="00C10F61">
            <w:pPr>
              <w:spacing w:after="360"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OD570± SD</w:t>
            </w:r>
          </w:p>
        </w:tc>
      </w:tr>
      <w:tr w:rsidR="00C10F61" w:rsidRPr="00C10F61" w14:paraId="3BFA843B" w14:textId="77777777" w:rsidTr="00C10F61">
        <w:trPr>
          <w:trHeight w:val="392"/>
        </w:trPr>
        <w:tc>
          <w:tcPr>
            <w:tcW w:w="9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F75E5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VSD9</w:t>
            </w:r>
          </w:p>
        </w:tc>
        <w:tc>
          <w:tcPr>
            <w:tcW w:w="10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AC0B7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2002</w:t>
            </w:r>
          </w:p>
        </w:tc>
        <w:tc>
          <w:tcPr>
            <w:tcW w:w="8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FDCE2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N1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9B0FB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cMLSB</w:t>
            </w:r>
            <w:proofErr w:type="spellEnd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 xml:space="preserve"> + </w:t>
            </w: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tet</w:t>
            </w:r>
            <w:proofErr w:type="spellEnd"/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74FB8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Strong</w:t>
            </w:r>
            <w:proofErr w:type="spellEnd"/>
          </w:p>
        </w:tc>
        <w:tc>
          <w:tcPr>
            <w:tcW w:w="71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A2B13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0,75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33A97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0,03</w:t>
            </w: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EB7FA9" w14:textId="6F367F52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Strong</w:t>
            </w:r>
            <w:proofErr w:type="spellEnd"/>
          </w:p>
        </w:tc>
        <w:tc>
          <w:tcPr>
            <w:tcW w:w="7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D47D8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0,34</w:t>
            </w:r>
          </w:p>
        </w:tc>
        <w:tc>
          <w:tcPr>
            <w:tcW w:w="62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9EDF3" w14:textId="77777777" w:rsidR="002F25C1" w:rsidRPr="002F25C1" w:rsidRDefault="002F25C1" w:rsidP="00C10F61">
            <w:pPr>
              <w:spacing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0,08</w:t>
            </w:r>
          </w:p>
        </w:tc>
      </w:tr>
      <w:tr w:rsidR="00C10F61" w:rsidRPr="00C10F61" w14:paraId="412E0567" w14:textId="77777777" w:rsidTr="00C10F61">
        <w:trPr>
          <w:trHeight w:val="392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F9624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VSD13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F9A3A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2002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C70EB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I1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4DD02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cMLSB</w:t>
            </w:r>
            <w:proofErr w:type="spellEnd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 xml:space="preserve"> + </w:t>
            </w: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tet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F764F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Weak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A93B4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0,22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16CE1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AE3C1" w14:textId="18BF7084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Weak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0523B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0,08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F8995" w14:textId="77777777" w:rsidR="002F25C1" w:rsidRPr="002F25C1" w:rsidRDefault="002F25C1" w:rsidP="00C10F61">
            <w:pPr>
              <w:spacing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0,04</w:t>
            </w:r>
          </w:p>
        </w:tc>
      </w:tr>
      <w:tr w:rsidR="00C10F61" w:rsidRPr="00C10F61" w14:paraId="78EA1DA5" w14:textId="77777777" w:rsidTr="00C10F61">
        <w:trPr>
          <w:trHeight w:val="392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205F4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VSD16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B2AB3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2002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1CC54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A2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867F0" w14:textId="034C3805" w:rsidR="002F25C1" w:rsidRPr="002F25C1" w:rsidRDefault="002F25C1" w:rsidP="00C10F61">
            <w:pPr>
              <w:spacing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tet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84F96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Strong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1E875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0,88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FCED5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EA4D0" w14:textId="1E0DD6E9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Moderate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57477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0,12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1B5D9" w14:textId="77777777" w:rsidR="002F25C1" w:rsidRPr="002F25C1" w:rsidRDefault="002F25C1" w:rsidP="00C10F61">
            <w:pPr>
              <w:spacing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0,03</w:t>
            </w:r>
          </w:p>
        </w:tc>
      </w:tr>
      <w:tr w:rsidR="00C10F61" w:rsidRPr="00C10F61" w14:paraId="2EF9FE1F" w14:textId="77777777" w:rsidTr="00C10F61">
        <w:trPr>
          <w:trHeight w:val="36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3EA6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VSD22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03BF2" w14:textId="77777777" w:rsidR="002F25C1" w:rsidRPr="002F25C1" w:rsidRDefault="002F25C1" w:rsidP="00C10F61">
            <w:pPr>
              <w:spacing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2013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8A45A" w14:textId="77777777" w:rsidR="002F25C1" w:rsidRPr="002F25C1" w:rsidRDefault="002F25C1" w:rsidP="00C10F61">
            <w:pPr>
              <w:spacing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Q1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61133" w14:textId="77777777" w:rsidR="002F25C1" w:rsidRPr="002F25C1" w:rsidRDefault="002F25C1" w:rsidP="00C10F61">
            <w:pPr>
              <w:spacing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tet</w:t>
            </w:r>
            <w:proofErr w:type="spellEnd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 xml:space="preserve"> + </w:t>
            </w: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gen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E98C9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Strong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826E5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0,92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8EACB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45226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strong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064EE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1,06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CD23C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0,65</w:t>
            </w:r>
          </w:p>
        </w:tc>
      </w:tr>
      <w:tr w:rsidR="00C10F61" w:rsidRPr="00C10F61" w14:paraId="2C51A287" w14:textId="77777777" w:rsidTr="00C10F61">
        <w:trPr>
          <w:trHeight w:val="364"/>
        </w:trPr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B930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VSD45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B3CAD" w14:textId="77777777" w:rsidR="002F25C1" w:rsidRPr="002F25C1" w:rsidRDefault="002F25C1" w:rsidP="00C10F61">
            <w:pPr>
              <w:spacing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2012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3BBAC" w14:textId="77777777" w:rsidR="002F25C1" w:rsidRPr="002F25C1" w:rsidRDefault="002F25C1" w:rsidP="00C10F61">
            <w:pPr>
              <w:spacing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AH1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39505" w14:textId="77777777" w:rsidR="002F25C1" w:rsidRPr="002F25C1" w:rsidRDefault="002F25C1" w:rsidP="00C10F61">
            <w:pPr>
              <w:spacing w:line="36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tet</w:t>
            </w:r>
            <w:proofErr w:type="spellEnd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 xml:space="preserve"> + </w:t>
            </w: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gen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8AB12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Weak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7AB9A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0,14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F1986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2F6B4" w14:textId="13FA59E1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proofErr w:type="spellStart"/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Moderate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F4D1A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0,17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DC5FF" w14:textId="77777777" w:rsidR="002F25C1" w:rsidRPr="002F25C1" w:rsidRDefault="002F25C1" w:rsidP="00C10F61">
            <w:pPr>
              <w:spacing w:line="360" w:lineRule="auto"/>
              <w:jc w:val="both"/>
              <w:textAlignment w:val="bottom"/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  <w:r w:rsidRPr="002F25C1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pt-PT"/>
              </w:rPr>
              <w:t>0,05</w:t>
            </w:r>
          </w:p>
        </w:tc>
      </w:tr>
    </w:tbl>
    <w:p w14:paraId="79EA48F4" w14:textId="77777777" w:rsidR="009452D5" w:rsidRDefault="009452D5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5CA165" w14:textId="18D62936" w:rsidR="009452D5" w:rsidRDefault="002F25C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25C1">
        <w:rPr>
          <w:rFonts w:ascii="Times New Roman" w:hAnsi="Times New Roman" w:cs="Times New Roman"/>
          <w:sz w:val="24"/>
          <w:szCs w:val="24"/>
          <w:lang w:val="en-US"/>
        </w:rPr>
        <w:t>Interpretation of biofilm formation on polystyrene was performed according to the criteria previously described, and the isolates were therefore categorized as follows: non-producer: OD ≤ </w:t>
      </w:r>
      <w:proofErr w:type="spellStart"/>
      <w:r w:rsidRPr="002F25C1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2F25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ctrl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US"/>
        </w:rPr>
        <w:t xml:space="preserve">, (all strains which OD values were below 0.060); weak producer: </w:t>
      </w:r>
      <w:proofErr w:type="spellStart"/>
      <w:r w:rsidRPr="002F25C1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2F25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ctrl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US"/>
        </w:rPr>
        <w:t xml:space="preserve"> &lt; OD ≤ 2 × </w:t>
      </w:r>
      <w:proofErr w:type="spellStart"/>
      <w:r w:rsidRPr="002F25C1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2F25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ctrl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US"/>
        </w:rPr>
        <w:t xml:space="preserve">, (all strains which OD values were above 0.060 and below 0.120); moderate producer: 2 × </w:t>
      </w:r>
      <w:proofErr w:type="spellStart"/>
      <w:r w:rsidRPr="002F25C1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2F25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ctrl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US"/>
        </w:rPr>
        <w:t xml:space="preserve"> &lt; OD ≤ 4 × </w:t>
      </w:r>
      <w:proofErr w:type="spellStart"/>
      <w:r w:rsidRPr="002F25C1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2F25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ctrl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US"/>
        </w:rPr>
        <w:t xml:space="preserve"> (all strains which OD values were above 0.120 and below 0.240), strong producer: OD &gt; 4 × </w:t>
      </w:r>
      <w:proofErr w:type="spellStart"/>
      <w:r w:rsidRPr="002F25C1">
        <w:rPr>
          <w:rFonts w:ascii="Times New Roman" w:hAnsi="Times New Roman" w:cs="Times New Roman"/>
          <w:sz w:val="24"/>
          <w:szCs w:val="24"/>
          <w:lang w:val="en-US"/>
        </w:rPr>
        <w:t>OD</w:t>
      </w:r>
      <w:r w:rsidRPr="002F25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ctrl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US"/>
        </w:rPr>
        <w:t> (all strains which OD values were above 0.240) and interpretation of biofilm formation on glass were performed according to the criteria: OD</w:t>
      </w:r>
      <w:r w:rsidRPr="002F25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600</w:t>
      </w:r>
      <w:r w:rsidRPr="002F25C1">
        <w:rPr>
          <w:rFonts w:ascii="Times New Roman" w:hAnsi="Times New Roman" w:cs="Times New Roman"/>
          <w:sz w:val="24"/>
          <w:szCs w:val="24"/>
          <w:lang w:val="en-US"/>
        </w:rPr>
        <w:t>≤0.099, no formation; OD</w:t>
      </w:r>
      <w:r w:rsidRPr="002F25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600</w:t>
      </w:r>
      <w:r w:rsidRPr="002F25C1">
        <w:rPr>
          <w:rFonts w:ascii="Times New Roman" w:hAnsi="Times New Roman" w:cs="Times New Roman"/>
          <w:sz w:val="24"/>
          <w:szCs w:val="24"/>
          <w:lang w:val="en-US"/>
        </w:rPr>
        <w:t> between 0.1–0.299, weak; OD</w:t>
      </w:r>
      <w:r w:rsidRPr="002F25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600</w:t>
      </w:r>
      <w:r w:rsidRPr="002F25C1">
        <w:rPr>
          <w:rFonts w:ascii="Times New Roman" w:hAnsi="Times New Roman" w:cs="Times New Roman"/>
          <w:sz w:val="24"/>
          <w:szCs w:val="24"/>
          <w:lang w:val="en-US"/>
        </w:rPr>
        <w:t> between 0.3–0.599, moderate; OD</w:t>
      </w:r>
      <w:r w:rsidRPr="002F25C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600</w:t>
      </w:r>
      <w:r w:rsidRPr="002F25C1">
        <w:rPr>
          <w:rFonts w:ascii="Times New Roman" w:hAnsi="Times New Roman" w:cs="Times New Roman"/>
          <w:sz w:val="24"/>
          <w:szCs w:val="24"/>
          <w:lang w:val="en-US"/>
        </w:rPr>
        <w:t xml:space="preserve">&gt;0.600, strong. </w:t>
      </w:r>
      <w:proofErr w:type="spellStart"/>
      <w:r w:rsidRPr="002F25C1">
        <w:rPr>
          <w:rFonts w:ascii="Times New Roman" w:hAnsi="Times New Roman" w:cs="Times New Roman"/>
          <w:sz w:val="24"/>
          <w:szCs w:val="24"/>
          <w:lang w:val="en-US"/>
        </w:rPr>
        <w:t>cMLSB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US"/>
        </w:rPr>
        <w:t xml:space="preserve">: resistance constitutive to macrolide, </w:t>
      </w:r>
      <w:proofErr w:type="spellStart"/>
      <w:r w:rsidRPr="002F25C1">
        <w:rPr>
          <w:rFonts w:ascii="Times New Roman" w:hAnsi="Times New Roman" w:cs="Times New Roman"/>
          <w:sz w:val="24"/>
          <w:szCs w:val="24"/>
          <w:lang w:val="en-US"/>
        </w:rPr>
        <w:t>lincosamide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US"/>
        </w:rPr>
        <w:t xml:space="preserve">, and streptogramin B. </w:t>
      </w:r>
      <w:proofErr w:type="spellStart"/>
      <w:r w:rsidRPr="002F25C1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US"/>
        </w:rPr>
        <w:t xml:space="preserve">: resistance to tetracycline. gen: resistance to gentamicin. VSD9, VSD13, VSD16 were partially characterized in </w:t>
      </w:r>
      <w:proofErr w:type="spellStart"/>
      <w:r w:rsidRPr="002F25C1">
        <w:rPr>
          <w:rFonts w:ascii="Times New Roman" w:hAnsi="Times New Roman" w:cs="Times New Roman"/>
          <w:sz w:val="24"/>
          <w:szCs w:val="24"/>
          <w:lang w:val="en-US"/>
        </w:rPr>
        <w:t>Rato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US"/>
        </w:rPr>
        <w:t xml:space="preserve"> et al., 2013; Alves-</w:t>
      </w:r>
      <w:proofErr w:type="spellStart"/>
      <w:r w:rsidRPr="002F25C1">
        <w:rPr>
          <w:rFonts w:ascii="Times New Roman" w:hAnsi="Times New Roman" w:cs="Times New Roman"/>
          <w:sz w:val="24"/>
          <w:szCs w:val="24"/>
          <w:lang w:val="en-US"/>
        </w:rPr>
        <w:t>Barroco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US"/>
        </w:rPr>
        <w:t xml:space="preserve"> et al., 2019; Alves-</w:t>
      </w:r>
      <w:proofErr w:type="spellStart"/>
      <w:r w:rsidRPr="002F25C1">
        <w:rPr>
          <w:rFonts w:ascii="Times New Roman" w:hAnsi="Times New Roman" w:cs="Times New Roman"/>
          <w:sz w:val="24"/>
          <w:szCs w:val="24"/>
          <w:lang w:val="en-US"/>
        </w:rPr>
        <w:t>Barroco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US"/>
        </w:rPr>
        <w:t xml:space="preserve"> et al., 2021.</w:t>
      </w:r>
    </w:p>
    <w:p w14:paraId="6AF7C72B" w14:textId="77777777" w:rsidR="009452D5" w:rsidRDefault="009452D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2ABFDBE5" w14:textId="1C26F959" w:rsidR="002F25C1" w:rsidRPr="00C10F61" w:rsidRDefault="002F25C1" w:rsidP="00C10F61">
      <w:pPr>
        <w:pStyle w:val="NormalWeb"/>
        <w:spacing w:before="0" w:beforeAutospacing="0" w:after="160" w:afterAutospacing="0" w:line="360" w:lineRule="auto"/>
        <w:jc w:val="both"/>
        <w:rPr>
          <w:lang w:val="en-US"/>
        </w:rPr>
      </w:pPr>
      <w:r w:rsidRPr="00C10F61">
        <w:rPr>
          <w:rFonts w:eastAsia="Calibri"/>
          <w:b/>
          <w:bCs/>
          <w:color w:val="000000" w:themeColor="text1"/>
          <w:kern w:val="24"/>
          <w:lang w:val="en-GB"/>
        </w:rPr>
        <w:lastRenderedPageBreak/>
        <w:t>Table</w:t>
      </w:r>
      <w:r w:rsidR="006C6589">
        <w:rPr>
          <w:rFonts w:eastAsia="Calibri"/>
          <w:b/>
          <w:bCs/>
          <w:color w:val="000000" w:themeColor="text1"/>
          <w:kern w:val="24"/>
          <w:lang w:val="en-GB"/>
        </w:rPr>
        <w:t xml:space="preserve"> S2</w:t>
      </w:r>
      <w:r w:rsidRPr="00C10F61">
        <w:rPr>
          <w:rFonts w:eastAsia="Calibri"/>
          <w:b/>
          <w:bCs/>
          <w:color w:val="000000" w:themeColor="text1"/>
          <w:kern w:val="24"/>
          <w:lang w:val="en-GB"/>
        </w:rPr>
        <w:t>.</w:t>
      </w:r>
      <w:r w:rsidRPr="00C10F61">
        <w:rPr>
          <w:rFonts w:eastAsia="Calibri"/>
          <w:color w:val="000000" w:themeColor="text1"/>
          <w:kern w:val="24"/>
          <w:lang w:val="en-GB"/>
        </w:rPr>
        <w:t xml:space="preserve"> </w:t>
      </w:r>
      <w:r w:rsidRPr="00C10F61">
        <w:rPr>
          <w:rFonts w:eastAsia="Calibri"/>
          <w:color w:val="000000" w:themeColor="text1"/>
          <w:kern w:val="24"/>
          <w:lang w:val="en-US"/>
        </w:rPr>
        <w:t>P</w:t>
      </w:r>
      <w:r w:rsidRPr="00C10F61">
        <w:rPr>
          <w:rFonts w:eastAsiaTheme="minorEastAsia"/>
          <w:color w:val="000000" w:themeColor="text1"/>
          <w:kern w:val="24"/>
          <w:lang w:val="en-US"/>
        </w:rPr>
        <w:t>rimer sequences used for RT-PCR analysis in this study</w:t>
      </w:r>
    </w:p>
    <w:tbl>
      <w:tblPr>
        <w:tblW w:w="89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auto"/>
          <w:insideV w:val="single" w:sz="8" w:space="0" w:color="FFFFFF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889"/>
        <w:gridCol w:w="4191"/>
        <w:gridCol w:w="2820"/>
      </w:tblGrid>
      <w:tr w:rsidR="002F25C1" w:rsidRPr="002F25C1" w14:paraId="05F2734E" w14:textId="77777777" w:rsidTr="00C10F61">
        <w:trPr>
          <w:trHeight w:val="558"/>
        </w:trPr>
        <w:tc>
          <w:tcPr>
            <w:tcW w:w="188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C24C827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Primer name</w:t>
            </w:r>
          </w:p>
        </w:tc>
        <w:tc>
          <w:tcPr>
            <w:tcW w:w="419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A1F6852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Sequence (5’-3’)</w:t>
            </w:r>
          </w:p>
        </w:tc>
        <w:tc>
          <w:tcPr>
            <w:tcW w:w="282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1F1D7DA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PCR product size (bp)</w:t>
            </w:r>
          </w:p>
        </w:tc>
      </w:tr>
      <w:tr w:rsidR="002F25C1" w:rsidRPr="002F25C1" w14:paraId="025655C2" w14:textId="77777777" w:rsidTr="00C10F61">
        <w:trPr>
          <w:trHeight w:val="289"/>
        </w:trPr>
        <w:tc>
          <w:tcPr>
            <w:tcW w:w="188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3E3826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fbpA</w:t>
            </w:r>
            <w:proofErr w:type="spellEnd"/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-like </w:t>
            </w:r>
          </w:p>
        </w:tc>
        <w:tc>
          <w:tcPr>
            <w:tcW w:w="419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AFCE838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3655ABA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C1" w:rsidRPr="002F25C1" w14:paraId="4F989514" w14:textId="77777777" w:rsidTr="00C10F61">
        <w:trPr>
          <w:trHeight w:val="289"/>
        </w:trPr>
        <w:tc>
          <w:tcPr>
            <w:tcW w:w="188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524B231" w14:textId="77777777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</w:p>
        </w:tc>
        <w:tc>
          <w:tcPr>
            <w:tcW w:w="419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BD4DCEB" w14:textId="77777777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CGCACCATTTTACCAGGCTC</w:t>
            </w:r>
          </w:p>
        </w:tc>
        <w:tc>
          <w:tcPr>
            <w:tcW w:w="2820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2BE90F" w14:textId="77777777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376</w:t>
            </w:r>
          </w:p>
        </w:tc>
      </w:tr>
      <w:tr w:rsidR="002F25C1" w:rsidRPr="002F25C1" w14:paraId="3148BA2A" w14:textId="77777777" w:rsidTr="00C10F61">
        <w:trPr>
          <w:trHeight w:val="289"/>
        </w:trPr>
        <w:tc>
          <w:tcPr>
            <w:tcW w:w="188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B9BF5AF" w14:textId="77777777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</w:t>
            </w:r>
          </w:p>
        </w:tc>
        <w:tc>
          <w:tcPr>
            <w:tcW w:w="419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92D171D" w14:textId="77777777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TCAAGTCACTCGCTTGCTGA</w:t>
            </w:r>
          </w:p>
        </w:tc>
        <w:tc>
          <w:tcPr>
            <w:tcW w:w="2820" w:type="dxa"/>
            <w:vMerge/>
            <w:shd w:val="clear" w:color="auto" w:fill="auto"/>
            <w:vAlign w:val="center"/>
            <w:hideMark/>
          </w:tcPr>
          <w:p w14:paraId="71DC7385" w14:textId="77777777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C1" w:rsidRPr="002F25C1" w14:paraId="27197C70" w14:textId="77777777" w:rsidTr="00C10F61">
        <w:trPr>
          <w:trHeight w:val="289"/>
        </w:trPr>
        <w:tc>
          <w:tcPr>
            <w:tcW w:w="188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E1AB90B" w14:textId="389D2819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brpA-like</w:t>
            </w:r>
          </w:p>
        </w:tc>
        <w:tc>
          <w:tcPr>
            <w:tcW w:w="419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239C863" w14:textId="77777777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DC985A9" w14:textId="77777777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5C1" w:rsidRPr="002F25C1" w14:paraId="345A50D4" w14:textId="77777777" w:rsidTr="00C10F61">
        <w:trPr>
          <w:trHeight w:val="289"/>
        </w:trPr>
        <w:tc>
          <w:tcPr>
            <w:tcW w:w="188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7C79893" w14:textId="77777777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</w:p>
        </w:tc>
        <w:tc>
          <w:tcPr>
            <w:tcW w:w="419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35089B" w14:textId="77777777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TGAAGCTAAGTTGAATGCTGC</w:t>
            </w:r>
          </w:p>
        </w:tc>
        <w:tc>
          <w:tcPr>
            <w:tcW w:w="2820" w:type="dxa"/>
            <w:vMerge w:val="restart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0980DE9" w14:textId="77777777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534</w:t>
            </w:r>
          </w:p>
        </w:tc>
      </w:tr>
      <w:tr w:rsidR="002F25C1" w:rsidRPr="002F25C1" w14:paraId="65BC3D02" w14:textId="77777777" w:rsidTr="00C10F61">
        <w:trPr>
          <w:trHeight w:val="289"/>
        </w:trPr>
        <w:tc>
          <w:tcPr>
            <w:tcW w:w="1889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7DB9CCD" w14:textId="77777777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</w:t>
            </w:r>
          </w:p>
        </w:tc>
        <w:tc>
          <w:tcPr>
            <w:tcW w:w="4191" w:type="dxa"/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F1B1867" w14:textId="77777777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GAACCACCATCAGACAAGGT</w:t>
            </w:r>
          </w:p>
        </w:tc>
        <w:tc>
          <w:tcPr>
            <w:tcW w:w="2820" w:type="dxa"/>
            <w:vMerge/>
            <w:shd w:val="clear" w:color="auto" w:fill="auto"/>
            <w:vAlign w:val="center"/>
            <w:hideMark/>
          </w:tcPr>
          <w:p w14:paraId="1D83D62D" w14:textId="77777777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090C17" w14:textId="12C8B116" w:rsidR="002F25C1" w:rsidRPr="00C10F61" w:rsidRDefault="002F25C1" w:rsidP="00C10F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6A62BE0" w14:textId="77777777" w:rsidR="002F25C1" w:rsidRPr="002F25C1" w:rsidRDefault="002F25C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25C1">
        <w:rPr>
          <w:rFonts w:ascii="Times New Roman" w:hAnsi="Times New Roman" w:cs="Times New Roman"/>
          <w:i/>
          <w:iCs/>
          <w:sz w:val="24"/>
          <w:szCs w:val="24"/>
          <w:lang w:val="en-US"/>
        </w:rPr>
        <w:t>brpA</w:t>
      </w:r>
      <w:r w:rsidRPr="002F25C1">
        <w:rPr>
          <w:rFonts w:ascii="Times New Roman" w:hAnsi="Times New Roman" w:cs="Times New Roman"/>
          <w:sz w:val="24"/>
          <w:szCs w:val="24"/>
          <w:lang w:val="en-US"/>
        </w:rPr>
        <w:t xml:space="preserve">-like - encoding biofilm regulatory protein  </w:t>
      </w:r>
    </w:p>
    <w:p w14:paraId="48C1E451" w14:textId="77777777" w:rsidR="009452D5" w:rsidRDefault="002F25C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F25C1">
        <w:rPr>
          <w:rFonts w:ascii="Times New Roman" w:hAnsi="Times New Roman" w:cs="Times New Roman"/>
          <w:i/>
          <w:iCs/>
          <w:sz w:val="24"/>
          <w:szCs w:val="24"/>
          <w:lang w:val="en-US"/>
        </w:rPr>
        <w:t>fbpA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US"/>
        </w:rPr>
        <w:t>-like - fibronectin-binding protein A</w:t>
      </w:r>
    </w:p>
    <w:p w14:paraId="0B51637B" w14:textId="77777777" w:rsidR="009452D5" w:rsidRDefault="009452D5" w:rsidP="00C10F6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B074495" w14:textId="77777777" w:rsidR="009452D5" w:rsidRDefault="009452D5" w:rsidP="00C10F6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BFD69B" w14:textId="4C621D34" w:rsidR="002F25C1" w:rsidRPr="002F25C1" w:rsidRDefault="002F25C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F25C1"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</w:t>
      </w:r>
      <w:r w:rsidR="006C658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S3</w:t>
      </w:r>
      <w:r w:rsidRPr="002F25C1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Pr="002F25C1">
        <w:rPr>
          <w:rFonts w:ascii="Times New Roman" w:hAnsi="Times New Roman" w:cs="Times New Roman"/>
          <w:sz w:val="24"/>
          <w:szCs w:val="24"/>
          <w:lang w:val="en-GB"/>
        </w:rPr>
        <w:t xml:space="preserve"> Characterization of gold, silver and alloy nanoparticles by Dynamic Light Scattering and Zeta Potential</w:t>
      </w:r>
    </w:p>
    <w:tbl>
      <w:tblPr>
        <w:tblW w:w="92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4" w:space="0" w:color="auto"/>
          <w:insideV w:val="single" w:sz="8" w:space="0" w:color="FFFF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263"/>
        <w:gridCol w:w="1674"/>
        <w:gridCol w:w="1045"/>
        <w:gridCol w:w="1731"/>
        <w:gridCol w:w="1574"/>
      </w:tblGrid>
      <w:tr w:rsidR="002F25C1" w:rsidRPr="002F25C1" w14:paraId="2A7C1D11" w14:textId="77777777" w:rsidTr="00C10F61">
        <w:trPr>
          <w:trHeight w:val="435"/>
        </w:trPr>
        <w:tc>
          <w:tcPr>
            <w:tcW w:w="32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E8FCCD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9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36E7EA" w14:textId="77777777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DLS</w:t>
            </w:r>
          </w:p>
        </w:tc>
        <w:tc>
          <w:tcPr>
            <w:tcW w:w="3305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6BD2A1" w14:textId="77777777" w:rsidR="002F25C1" w:rsidRPr="002F25C1" w:rsidRDefault="002F25C1" w:rsidP="00C10F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Zeta</w:t>
            </w:r>
          </w:p>
        </w:tc>
      </w:tr>
      <w:tr w:rsidR="00C10F61" w:rsidRPr="002F25C1" w14:paraId="4DF0F3B7" w14:textId="77777777" w:rsidTr="00C10F61">
        <w:trPr>
          <w:trHeight w:val="708"/>
        </w:trPr>
        <w:tc>
          <w:tcPr>
            <w:tcW w:w="32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73DFF4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3781E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Average (nm)</w:t>
            </w:r>
          </w:p>
        </w:tc>
        <w:tc>
          <w:tcPr>
            <w:tcW w:w="10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0711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 Dev</w:t>
            </w:r>
          </w:p>
        </w:tc>
        <w:tc>
          <w:tcPr>
            <w:tcW w:w="17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FEDCB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Average (mV)</w:t>
            </w:r>
          </w:p>
        </w:tc>
        <w:tc>
          <w:tcPr>
            <w:tcW w:w="15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25DAF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 Dev</w:t>
            </w:r>
          </w:p>
        </w:tc>
      </w:tr>
      <w:tr w:rsidR="00C10F61" w:rsidRPr="002F25C1" w14:paraId="0D82A486" w14:textId="77777777" w:rsidTr="00C10F61">
        <w:trPr>
          <w:trHeight w:val="435"/>
        </w:trPr>
        <w:tc>
          <w:tcPr>
            <w:tcW w:w="32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C2981C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AuNPs</w:t>
            </w:r>
          </w:p>
        </w:tc>
        <w:tc>
          <w:tcPr>
            <w:tcW w:w="16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5241D6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16.8</w:t>
            </w:r>
          </w:p>
        </w:tc>
        <w:tc>
          <w:tcPr>
            <w:tcW w:w="10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B49C84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17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E52B66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-57.2</w:t>
            </w:r>
          </w:p>
        </w:tc>
        <w:tc>
          <w:tcPr>
            <w:tcW w:w="15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BED1C8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</w:tr>
      <w:tr w:rsidR="00C10F61" w:rsidRPr="002F25C1" w14:paraId="54FBB40B" w14:textId="77777777" w:rsidTr="00C10F61">
        <w:trPr>
          <w:trHeight w:val="435"/>
        </w:trPr>
        <w:tc>
          <w:tcPr>
            <w:tcW w:w="32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EE6B5D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AuNPs@PEG</w:t>
            </w:r>
            <w:proofErr w:type="spellEnd"/>
          </w:p>
        </w:tc>
        <w:tc>
          <w:tcPr>
            <w:tcW w:w="16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99C1F3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19.6</w:t>
            </w:r>
          </w:p>
        </w:tc>
        <w:tc>
          <w:tcPr>
            <w:tcW w:w="10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B26815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17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4FE18C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-79.0</w:t>
            </w:r>
          </w:p>
        </w:tc>
        <w:tc>
          <w:tcPr>
            <w:tcW w:w="15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8C6B42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</w:tr>
      <w:tr w:rsidR="00C10F61" w:rsidRPr="002F25C1" w14:paraId="2E318556" w14:textId="77777777" w:rsidTr="00C10F61">
        <w:trPr>
          <w:trHeight w:val="435"/>
        </w:trPr>
        <w:tc>
          <w:tcPr>
            <w:tcW w:w="32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36E795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AgNPs</w:t>
            </w:r>
          </w:p>
        </w:tc>
        <w:tc>
          <w:tcPr>
            <w:tcW w:w="16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5F13F2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24.1</w:t>
            </w:r>
          </w:p>
        </w:tc>
        <w:tc>
          <w:tcPr>
            <w:tcW w:w="10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8D1C6F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17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8888FE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-53.5</w:t>
            </w:r>
          </w:p>
        </w:tc>
        <w:tc>
          <w:tcPr>
            <w:tcW w:w="15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FC5ABB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</w:tr>
      <w:tr w:rsidR="00C10F61" w:rsidRPr="002F25C1" w14:paraId="29848AF1" w14:textId="77777777" w:rsidTr="00C10F61">
        <w:trPr>
          <w:trHeight w:val="435"/>
        </w:trPr>
        <w:tc>
          <w:tcPr>
            <w:tcW w:w="32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D50012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AgNPs@PEG</w:t>
            </w:r>
            <w:proofErr w:type="spellEnd"/>
          </w:p>
        </w:tc>
        <w:tc>
          <w:tcPr>
            <w:tcW w:w="16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270857C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36.2</w:t>
            </w:r>
          </w:p>
        </w:tc>
        <w:tc>
          <w:tcPr>
            <w:tcW w:w="10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1BDC2CF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17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E75418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-65.5</w:t>
            </w:r>
          </w:p>
        </w:tc>
        <w:tc>
          <w:tcPr>
            <w:tcW w:w="15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91EED6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</w:tr>
      <w:tr w:rsidR="00C10F61" w:rsidRPr="002F25C1" w14:paraId="649737F6" w14:textId="77777777" w:rsidTr="00C10F61">
        <w:trPr>
          <w:trHeight w:val="435"/>
        </w:trPr>
        <w:tc>
          <w:tcPr>
            <w:tcW w:w="32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D31B7D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AuAgNPs</w:t>
            </w:r>
            <w:proofErr w:type="spellEnd"/>
          </w:p>
        </w:tc>
        <w:tc>
          <w:tcPr>
            <w:tcW w:w="16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D25F61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36.9</w:t>
            </w:r>
          </w:p>
        </w:tc>
        <w:tc>
          <w:tcPr>
            <w:tcW w:w="10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A1E555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17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BE7A03C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-21.8</w:t>
            </w:r>
          </w:p>
        </w:tc>
        <w:tc>
          <w:tcPr>
            <w:tcW w:w="15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FAD3AB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</w:tr>
      <w:tr w:rsidR="00C10F61" w:rsidRPr="002F25C1" w14:paraId="0B0D8FB1" w14:textId="77777777" w:rsidTr="00C10F61">
        <w:trPr>
          <w:trHeight w:val="435"/>
        </w:trPr>
        <w:tc>
          <w:tcPr>
            <w:tcW w:w="326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84AC757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AuAgNPs@PEG</w:t>
            </w:r>
            <w:proofErr w:type="spellEnd"/>
          </w:p>
        </w:tc>
        <w:tc>
          <w:tcPr>
            <w:tcW w:w="167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CE0876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46.9</w:t>
            </w:r>
          </w:p>
        </w:tc>
        <w:tc>
          <w:tcPr>
            <w:tcW w:w="1044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273EA8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73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9B77D1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-47.2</w:t>
            </w:r>
          </w:p>
        </w:tc>
        <w:tc>
          <w:tcPr>
            <w:tcW w:w="157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505D07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</w:tr>
    </w:tbl>
    <w:p w14:paraId="1E81EE15" w14:textId="0F16D88D" w:rsidR="009452D5" w:rsidRPr="009452D5" w:rsidRDefault="009452D5" w:rsidP="009452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25C1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Table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S4</w:t>
      </w:r>
      <w:r w:rsidRPr="002F25C1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Pr="002F25C1">
        <w:rPr>
          <w:rFonts w:ascii="Times New Roman" w:hAnsi="Times New Roman" w:cs="Times New Roman"/>
          <w:sz w:val="24"/>
          <w:szCs w:val="24"/>
          <w:lang w:val="en-GB"/>
        </w:rPr>
        <w:t xml:space="preserve"> Heat capacity of </w:t>
      </w:r>
      <w:proofErr w:type="spellStart"/>
      <w:r w:rsidRPr="002F25C1">
        <w:rPr>
          <w:rFonts w:ascii="Times New Roman" w:hAnsi="Times New Roman" w:cs="Times New Roman"/>
          <w:sz w:val="24"/>
          <w:szCs w:val="24"/>
          <w:lang w:val="en-GB"/>
        </w:rPr>
        <w:t>AuAgNPs@PEG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proofErr w:type="spellStart"/>
      <w:r w:rsidRPr="002F25C1">
        <w:rPr>
          <w:rFonts w:ascii="Times New Roman" w:hAnsi="Times New Roman" w:cs="Times New Roman"/>
          <w:sz w:val="24"/>
          <w:szCs w:val="24"/>
          <w:lang w:val="en-GB"/>
        </w:rPr>
        <w:t>AuNPs@PEG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GB"/>
        </w:rPr>
        <w:t xml:space="preserve"> produced by irradiation at 532 nm (respect pH 7 solution). Heat capacity of </w:t>
      </w:r>
      <w:proofErr w:type="spellStart"/>
      <w:r w:rsidRPr="002F25C1">
        <w:rPr>
          <w:rFonts w:ascii="Times New Roman" w:hAnsi="Times New Roman" w:cs="Times New Roman"/>
          <w:sz w:val="24"/>
          <w:szCs w:val="24"/>
          <w:lang w:val="en-GB"/>
        </w:rPr>
        <w:t>AuAgNPs@PEG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GB"/>
        </w:rPr>
        <w:t xml:space="preserve"> decreased for upon pH 4. Heat capacity of </w:t>
      </w:r>
      <w:proofErr w:type="spellStart"/>
      <w:r w:rsidRPr="002F25C1">
        <w:rPr>
          <w:rFonts w:ascii="Times New Roman" w:hAnsi="Times New Roman" w:cs="Times New Roman"/>
          <w:sz w:val="24"/>
          <w:szCs w:val="24"/>
          <w:lang w:val="en-GB"/>
        </w:rPr>
        <w:t>AuNPs@PEG</w:t>
      </w:r>
      <w:proofErr w:type="spellEnd"/>
      <w:r w:rsidRPr="002F25C1">
        <w:rPr>
          <w:rFonts w:ascii="Times New Roman" w:hAnsi="Times New Roman" w:cs="Times New Roman"/>
          <w:sz w:val="24"/>
          <w:szCs w:val="24"/>
          <w:lang w:val="en-GB"/>
        </w:rPr>
        <w:t xml:space="preserve"> remained unalterable at all pH situation studied. </w:t>
      </w:r>
    </w:p>
    <w:p w14:paraId="2F89DCBC" w14:textId="56E5E253" w:rsidR="00C10F61" w:rsidRPr="009452D5" w:rsidRDefault="00C10F6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C2875AD" w14:textId="47373A6D" w:rsidR="00C10F61" w:rsidRDefault="00C10F6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C93380" w14:textId="3DC98F6A" w:rsidR="00C10F61" w:rsidRDefault="00C10F6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8FAE25" w14:textId="3B18BD13" w:rsidR="00C10F61" w:rsidRDefault="00C10F6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1A50A7" w14:textId="6F94ECD5" w:rsidR="00C10F61" w:rsidRDefault="00C10F6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4EA33C" w14:textId="46D91860" w:rsidR="00C10F61" w:rsidRDefault="00C10F6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890414" w14:textId="506E27A4" w:rsidR="00C10F61" w:rsidRDefault="00C10F6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F39725" w14:textId="17FA34BF" w:rsidR="00C10F61" w:rsidRDefault="00C10F6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C62FBE" w14:textId="77777777" w:rsidR="00C10F61" w:rsidRPr="002F25C1" w:rsidRDefault="00C10F6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9FAFD0" w14:textId="23210A0F" w:rsidR="002F25C1" w:rsidRPr="002F25C1" w:rsidRDefault="002F25C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41" w:rightFromText="141" w:horzAnchor="margin" w:tblpXSpec="center" w:tblpY="1512"/>
        <w:tblW w:w="7560" w:type="dxa"/>
        <w:tblBorders>
          <w:top w:val="single" w:sz="18" w:space="0" w:color="000000"/>
          <w:bottom w:val="single" w:sz="18" w:space="0" w:color="000000"/>
          <w:insideH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853"/>
        <w:gridCol w:w="3765"/>
        <w:gridCol w:w="2942"/>
      </w:tblGrid>
      <w:tr w:rsidR="002F25C1" w:rsidRPr="009452D5" w14:paraId="35C1856E" w14:textId="77777777" w:rsidTr="00C10F61">
        <w:trPr>
          <w:trHeight w:val="473"/>
        </w:trPr>
        <w:tc>
          <w:tcPr>
            <w:tcW w:w="8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3AA4DB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6707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32864" w14:textId="634F5EAB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Reduction of heat induction</w:t>
            </w:r>
            <w:r w:rsidR="00C10F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*</w:t>
            </w:r>
            <w:r w:rsidRPr="002F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(% respect pH 7 solution)</w:t>
            </w:r>
          </w:p>
        </w:tc>
      </w:tr>
      <w:tr w:rsidR="00C10F61" w:rsidRPr="002F25C1" w14:paraId="477AA25C" w14:textId="77777777" w:rsidTr="00C10F61">
        <w:trPr>
          <w:trHeight w:val="473"/>
        </w:trPr>
        <w:tc>
          <w:tcPr>
            <w:tcW w:w="8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28A59A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pH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E65DA37" w14:textId="715FE61D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AuAgNPs@PEG</w:t>
            </w:r>
            <w:proofErr w:type="spellEnd"/>
          </w:p>
        </w:tc>
        <w:tc>
          <w:tcPr>
            <w:tcW w:w="29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713E95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5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AuNPs@PEG</w:t>
            </w:r>
            <w:proofErr w:type="spellEnd"/>
          </w:p>
        </w:tc>
      </w:tr>
      <w:tr w:rsidR="00C10F61" w:rsidRPr="002F25C1" w14:paraId="7F445086" w14:textId="77777777" w:rsidTr="00C10F61">
        <w:trPr>
          <w:trHeight w:val="473"/>
        </w:trPr>
        <w:tc>
          <w:tcPr>
            <w:tcW w:w="8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B38128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6EBE49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88</w:t>
            </w:r>
          </w:p>
        </w:tc>
        <w:tc>
          <w:tcPr>
            <w:tcW w:w="29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86DFCC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97</w:t>
            </w:r>
          </w:p>
        </w:tc>
      </w:tr>
      <w:tr w:rsidR="00C10F61" w:rsidRPr="002F25C1" w14:paraId="2CA3F838" w14:textId="77777777" w:rsidTr="00C10F61">
        <w:trPr>
          <w:trHeight w:val="473"/>
        </w:trPr>
        <w:tc>
          <w:tcPr>
            <w:tcW w:w="8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D22674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1A210E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87</w:t>
            </w:r>
          </w:p>
        </w:tc>
        <w:tc>
          <w:tcPr>
            <w:tcW w:w="29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730C19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C10F61" w:rsidRPr="002F25C1" w14:paraId="60DF3B9B" w14:textId="77777777" w:rsidTr="00C10F61">
        <w:trPr>
          <w:trHeight w:val="473"/>
        </w:trPr>
        <w:tc>
          <w:tcPr>
            <w:tcW w:w="8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764DB8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90495C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88</w:t>
            </w:r>
          </w:p>
        </w:tc>
        <w:tc>
          <w:tcPr>
            <w:tcW w:w="29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C5B2D21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C10F61" w:rsidRPr="002F25C1" w14:paraId="41D54BD2" w14:textId="77777777" w:rsidTr="00C10F61">
        <w:trPr>
          <w:trHeight w:val="473"/>
        </w:trPr>
        <w:tc>
          <w:tcPr>
            <w:tcW w:w="8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FE835F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02BA17" w14:textId="5A6E8C11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85</w:t>
            </w:r>
          </w:p>
        </w:tc>
        <w:tc>
          <w:tcPr>
            <w:tcW w:w="29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A9D175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C10F61" w:rsidRPr="002F25C1" w14:paraId="51DEF333" w14:textId="77777777" w:rsidTr="00C10F61">
        <w:trPr>
          <w:trHeight w:val="473"/>
        </w:trPr>
        <w:tc>
          <w:tcPr>
            <w:tcW w:w="8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CA9AB8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9E601C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61</w:t>
            </w:r>
          </w:p>
        </w:tc>
        <w:tc>
          <w:tcPr>
            <w:tcW w:w="29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D9CECA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C10F61" w:rsidRPr="002F25C1" w14:paraId="14B37A04" w14:textId="77777777" w:rsidTr="00C10F61">
        <w:trPr>
          <w:trHeight w:val="473"/>
        </w:trPr>
        <w:tc>
          <w:tcPr>
            <w:tcW w:w="8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24C0DE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080095" w14:textId="41742E36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29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0B1864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</w:t>
            </w:r>
          </w:p>
        </w:tc>
      </w:tr>
      <w:tr w:rsidR="00C10F61" w:rsidRPr="002F25C1" w14:paraId="30FC5E8B" w14:textId="77777777" w:rsidTr="00C10F61">
        <w:trPr>
          <w:trHeight w:val="473"/>
        </w:trPr>
        <w:tc>
          <w:tcPr>
            <w:tcW w:w="8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5C9C15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DCA70C" w14:textId="695099C9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29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F0153E5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98</w:t>
            </w:r>
          </w:p>
        </w:tc>
      </w:tr>
      <w:tr w:rsidR="00C10F61" w:rsidRPr="002F25C1" w14:paraId="7B40FDD9" w14:textId="77777777" w:rsidTr="00C10F61">
        <w:trPr>
          <w:trHeight w:val="473"/>
        </w:trPr>
        <w:tc>
          <w:tcPr>
            <w:tcW w:w="8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C3D8FB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76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67F0E5" w14:textId="58F0AB8C" w:rsidR="002F25C1" w:rsidRPr="002F25C1" w:rsidRDefault="008D148B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4EDBBD" wp14:editId="50B8B47B">
                      <wp:simplePos x="0" y="0"/>
                      <wp:positionH relativeFrom="margin">
                        <wp:posOffset>-1252855</wp:posOffset>
                      </wp:positionH>
                      <wp:positionV relativeFrom="paragraph">
                        <wp:posOffset>471805</wp:posOffset>
                      </wp:positionV>
                      <wp:extent cx="6096000" cy="491490"/>
                      <wp:effectExtent l="0" t="0" r="0" b="0"/>
                      <wp:wrapNone/>
                      <wp:docPr id="11" name="Caixa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0" cy="4914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4A38204" w14:textId="49174121" w:rsidR="002F25C1" w:rsidRPr="00C10F61" w:rsidRDefault="00DA053B" w:rsidP="002F25C1">
                                  <w:pPr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eastAsiaTheme="minor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  <w:t>*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lang w:val="es-ES"/>
                                      </w:rPr>
                                      <m:t>Reduction heat induction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color w:val="000000"/>
                                            <w:kern w:val="24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%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="Times New Roman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lang w:val="es-ES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mbria Math" w:hAnsi="Cambria Math" w:cs="Times New Roman"/>
                                            <w:i/>
                                            <w:iCs/>
                                            <w:color w:val="000000"/>
                                            <w:kern w:val="24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mbria Math" w:hAnsi="Cambria Math" w:cs="Times New Roman"/>
                                            <w:color w:val="000000"/>
                                            <w:kern w:val="24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∆tempeture pH X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mbria Math" w:hAnsi="Cambria Math" w:cs="Times New Roman"/>
                                            <w:color w:val="000000"/>
                                            <w:kern w:val="24"/>
                                            <w:sz w:val="24"/>
                                            <w:szCs w:val="24"/>
                                            <w:lang w:val="es-ES"/>
                                          </w:rPr>
                                          <m:t>∆ temperature pH 7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 w:cs="Times New Roman"/>
                                        <w:color w:val="000000"/>
                                        <w:kern w:val="24"/>
                                        <w:sz w:val="24"/>
                                        <w:szCs w:val="24"/>
                                        <w:lang w:val="es-ES"/>
                                      </w:rPr>
                                      <m:t>x100</m:t>
                                    </m:r>
                                  </m:oMath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4EDB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1" o:spid="_x0000_s1026" type="#_x0000_t202" style="position:absolute;left:0;text-align:left;margin-left:-98.65pt;margin-top:37.15pt;width:480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" filled="f" stroked="f">
                      <v:textbox style="mso-fit-shape-to-text:t">
                        <w:txbxContent>
                          <w:p w14:paraId="64A38204" w14:textId="49174121" w:rsidR="002F25C1" w:rsidRPr="00C10F61" w:rsidRDefault="00DA053B" w:rsidP="002F25C1">
                            <w:pPr>
                              <w:rPr>
                                <w:rFonts w:ascii="Times New Roman" w:eastAsia="Calibri" w:hAnsi="Times New Roman" w:cs="Times New Roman"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/>
                                <w:kern w:val="24"/>
                                <w:sz w:val="24"/>
                                <w:szCs w:val="24"/>
                                <w:lang w:val="es-ES"/>
                              </w:rPr>
                              <w:t>*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color w:val="000000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  <m:t>Reduction heat induction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Times New Roman"/>
                                      <w:i/>
                                      <w:i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 w:cs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  <m:t>%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Times New Roman"/>
                                  <w:color w:val="000000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Cambria Math" w:hAnsi="Cambria Math" w:cs="Times New Roman"/>
                                      <w:i/>
                                      <w:iCs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 w:cs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  <m:t>∆tempeture pH X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mbria Math" w:hAnsi="Cambria Math" w:cs="Times New Roman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lang w:val="es-ES"/>
                                    </w:rPr>
                                    <m:t>∆ temperature pH 7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mbria Math" w:hAnsi="Cambria Math" w:cs="Times New Roman"/>
                                  <w:color w:val="000000"/>
                                  <w:kern w:val="24"/>
                                  <w:sz w:val="24"/>
                                  <w:szCs w:val="24"/>
                                  <w:lang w:val="es-ES"/>
                                </w:rPr>
                                <m:t>x100</m:t>
                              </m:r>
                            </m:oMath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F25C1"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29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91679F" w14:textId="77777777" w:rsidR="002F25C1" w:rsidRPr="002F25C1" w:rsidRDefault="002F25C1" w:rsidP="00C1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5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98</w:t>
            </w:r>
          </w:p>
        </w:tc>
      </w:tr>
    </w:tbl>
    <w:p w14:paraId="6BB24F6B" w14:textId="10597E8E" w:rsidR="002F25C1" w:rsidRPr="00C10F61" w:rsidRDefault="002F25C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2D0E09" w14:textId="6191CF67" w:rsidR="002F25C1" w:rsidRPr="00C10F61" w:rsidRDefault="002F25C1" w:rsidP="00C1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8C8A49" w14:textId="1FA1FB0C" w:rsidR="002F25C1" w:rsidRPr="00C10F61" w:rsidRDefault="002F25C1" w:rsidP="00C10F61">
      <w:pPr>
        <w:tabs>
          <w:tab w:val="left" w:pos="22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28BDD3" w14:textId="3A7815CE" w:rsidR="002F25C1" w:rsidRPr="00C10F61" w:rsidRDefault="002F25C1" w:rsidP="00C10F61">
      <w:pPr>
        <w:tabs>
          <w:tab w:val="left" w:pos="22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0F6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041DE112" wp14:editId="1F725E5F">
            <wp:extent cx="5996305" cy="2371910"/>
            <wp:effectExtent l="0" t="0" r="4445" b="952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506" cy="2378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991BFA" w14:textId="07160D74" w:rsidR="00DA053B" w:rsidRDefault="00C10F61" w:rsidP="00C10F61">
      <w:pPr>
        <w:tabs>
          <w:tab w:val="left" w:pos="220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10F61">
        <w:rPr>
          <w:rFonts w:ascii="Times New Roman" w:hAnsi="Times New Roman" w:cs="Times New Roman"/>
          <w:b/>
          <w:bCs/>
          <w:sz w:val="24"/>
          <w:szCs w:val="24"/>
          <w:lang w:val="en-GB"/>
        </w:rPr>
        <w:t>Figure</w:t>
      </w:r>
      <w:r w:rsidR="006C658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S1</w:t>
      </w:r>
      <w:r w:rsidRPr="00C10F6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. A) </w:t>
      </w:r>
      <w:r w:rsidRPr="00C10F61">
        <w:rPr>
          <w:rFonts w:ascii="Times New Roman" w:hAnsi="Times New Roman" w:cs="Times New Roman"/>
          <w:sz w:val="24"/>
          <w:szCs w:val="24"/>
          <w:lang w:val="en-GB"/>
        </w:rPr>
        <w:t xml:space="preserve">Visible spectrum of </w:t>
      </w:r>
      <w:proofErr w:type="spellStart"/>
      <w:r w:rsidRPr="00C10F61">
        <w:rPr>
          <w:rFonts w:ascii="Times New Roman" w:hAnsi="Times New Roman" w:cs="Times New Roman"/>
          <w:sz w:val="24"/>
          <w:szCs w:val="24"/>
          <w:lang w:val="en-GB"/>
        </w:rPr>
        <w:t>AuAgNPs@PEG</w:t>
      </w:r>
      <w:proofErr w:type="spellEnd"/>
      <w:r w:rsidRPr="00C10F61">
        <w:rPr>
          <w:rFonts w:ascii="Times New Roman" w:hAnsi="Times New Roman" w:cs="Times New Roman"/>
          <w:sz w:val="24"/>
          <w:szCs w:val="24"/>
          <w:lang w:val="en-GB"/>
        </w:rPr>
        <w:t xml:space="preserve"> after irradiation using different laser powers (w4-8) </w:t>
      </w:r>
      <w:r w:rsidRPr="00C10F61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B) </w:t>
      </w:r>
      <w:r w:rsidRPr="00C10F61">
        <w:rPr>
          <w:rFonts w:ascii="Times New Roman" w:hAnsi="Times New Roman" w:cs="Times New Roman"/>
          <w:sz w:val="24"/>
          <w:szCs w:val="24"/>
          <w:lang w:val="en-GB"/>
        </w:rPr>
        <w:t xml:space="preserve">Size distribution determined by DLS of </w:t>
      </w:r>
      <w:proofErr w:type="spellStart"/>
      <w:r w:rsidRPr="00C10F61">
        <w:rPr>
          <w:rFonts w:ascii="Times New Roman" w:hAnsi="Times New Roman" w:cs="Times New Roman"/>
          <w:sz w:val="24"/>
          <w:szCs w:val="24"/>
          <w:lang w:val="en-GB"/>
        </w:rPr>
        <w:t>AuAgNPs@PEG</w:t>
      </w:r>
      <w:proofErr w:type="spellEnd"/>
      <w:r w:rsidRPr="00C10F61">
        <w:rPr>
          <w:rFonts w:ascii="Times New Roman" w:hAnsi="Times New Roman" w:cs="Times New Roman"/>
          <w:sz w:val="24"/>
          <w:szCs w:val="24"/>
          <w:lang w:val="en-GB"/>
        </w:rPr>
        <w:t xml:space="preserve"> after irradiation using different laser powers (w4-w8)</w:t>
      </w:r>
      <w:r w:rsidR="00687E2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C198EC8" w14:textId="77777777" w:rsidR="00D5735A" w:rsidRPr="00506D51" w:rsidRDefault="00D5735A" w:rsidP="00506D51">
      <w:pPr>
        <w:pStyle w:val="NoSpacing"/>
        <w:spacing w:line="360" w:lineRule="auto"/>
        <w:ind w:firstLine="284"/>
        <w:rPr>
          <w:rFonts w:asciiTheme="minorHAnsi" w:hAnsiTheme="minorHAnsi" w:cstheme="minorHAnsi"/>
          <w:sz w:val="22"/>
          <w:szCs w:val="22"/>
          <w:lang w:val="en-US"/>
        </w:rPr>
      </w:pPr>
    </w:p>
    <w:p w14:paraId="3B87705D" w14:textId="646C67AB" w:rsidR="00D5735A" w:rsidRPr="006B150F" w:rsidRDefault="00D5735A" w:rsidP="00506D51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30B72BD" w14:textId="77777777" w:rsidR="00D5735A" w:rsidRPr="00506D51" w:rsidRDefault="00D5735A" w:rsidP="00506D51">
      <w:pPr>
        <w:tabs>
          <w:tab w:val="left" w:pos="2208"/>
        </w:tabs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12E2F807" w14:textId="77777777" w:rsidR="00687E29" w:rsidRPr="00506D51" w:rsidRDefault="00687E29" w:rsidP="00506D51">
      <w:pPr>
        <w:tabs>
          <w:tab w:val="left" w:pos="2208"/>
        </w:tabs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  <w:r w:rsidRPr="00506D51">
        <w:rPr>
          <w:noProof/>
        </w:rPr>
        <w:lastRenderedPageBreak/>
        <w:drawing>
          <wp:inline distT="0" distB="0" distL="0" distR="0" wp14:anchorId="34A52EAC" wp14:editId="3FFC4923">
            <wp:extent cx="5400040" cy="4182745"/>
            <wp:effectExtent l="0" t="0" r="0" b="0"/>
            <wp:docPr id="1" name="Imagem 2">
              <a:extLst xmlns:a="http://schemas.openxmlformats.org/drawingml/2006/main">
                <a:ext uri="{FF2B5EF4-FFF2-40B4-BE49-F238E27FC236}">
                  <a16:creationId xmlns:a16="http://schemas.microsoft.com/office/drawing/2014/main" id="{C599AD4B-EAD9-4ECA-983D-A1D085A1F6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2">
                      <a:extLst>
                        <a:ext uri="{FF2B5EF4-FFF2-40B4-BE49-F238E27FC236}">
                          <a16:creationId xmlns:a16="http://schemas.microsoft.com/office/drawing/2014/main" id="{C599AD4B-EAD9-4ECA-983D-A1D085A1F6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8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1EEB9" w14:textId="3197C042" w:rsidR="00687E29" w:rsidRPr="00506D51" w:rsidRDefault="004C5C22" w:rsidP="00506D51">
      <w:pPr>
        <w:tabs>
          <w:tab w:val="left" w:pos="2208"/>
        </w:tabs>
        <w:spacing w:line="360" w:lineRule="auto"/>
        <w:jc w:val="both"/>
        <w:rPr>
          <w:rFonts w:ascii="Times New Roman" w:hAnsi="Times New Roman" w:cs="Times New Roman"/>
          <w:lang w:val="en-GB"/>
        </w:rPr>
      </w:pPr>
      <w:r w:rsidRPr="006C6589">
        <w:rPr>
          <w:rFonts w:ascii="Times New Roman" w:hAnsi="Times New Roman" w:cs="Times New Roman"/>
          <w:b/>
          <w:bCs/>
          <w:lang w:val="fr-FR"/>
        </w:rPr>
        <w:t>Figure</w:t>
      </w:r>
      <w:r w:rsidR="006C6589">
        <w:rPr>
          <w:rFonts w:ascii="Times New Roman" w:hAnsi="Times New Roman" w:cs="Times New Roman"/>
          <w:b/>
          <w:bCs/>
          <w:lang w:val="fr-FR"/>
        </w:rPr>
        <w:t xml:space="preserve"> S2</w:t>
      </w:r>
      <w:r w:rsidR="00687E29" w:rsidRPr="006C6589">
        <w:rPr>
          <w:rFonts w:ascii="Times New Roman" w:hAnsi="Times New Roman" w:cs="Times New Roman"/>
          <w:b/>
          <w:bCs/>
          <w:lang w:val="fr-FR"/>
        </w:rPr>
        <w:t xml:space="preserve">. Biofilm destruction </w:t>
      </w:r>
      <w:bookmarkStart w:id="4" w:name="_Hlk82087325"/>
      <w:r w:rsidR="00687E29" w:rsidRPr="006C6589">
        <w:rPr>
          <w:rFonts w:ascii="Times New Roman" w:hAnsi="Times New Roman" w:cs="Times New Roman"/>
          <w:b/>
          <w:bCs/>
          <w:lang w:val="fr-FR"/>
        </w:rPr>
        <w:t>(%</w:t>
      </w:r>
      <w:proofErr w:type="gramStart"/>
      <w:r w:rsidR="00687E29" w:rsidRPr="006C6589">
        <w:rPr>
          <w:rFonts w:ascii="Times New Roman" w:hAnsi="Times New Roman" w:cs="Times New Roman"/>
          <w:b/>
          <w:bCs/>
          <w:lang w:val="fr-FR"/>
        </w:rPr>
        <w:t>)</w:t>
      </w:r>
      <w:r w:rsidR="00687E29" w:rsidRPr="006C6589">
        <w:rPr>
          <w:rFonts w:ascii="Times New Roman" w:hAnsi="Times New Roman" w:cs="Times New Roman"/>
          <w:lang w:val="fr-FR"/>
        </w:rPr>
        <w:t>:</w:t>
      </w:r>
      <w:proofErr w:type="gramEnd"/>
      <w:r w:rsidR="00687E29" w:rsidRPr="006C6589">
        <w:rPr>
          <w:rFonts w:ascii="Times New Roman" w:hAnsi="Times New Roman" w:cs="Times New Roman"/>
          <w:lang w:val="fr-FR"/>
        </w:rPr>
        <w:t xml:space="preserve"> </w:t>
      </w:r>
      <w:r w:rsidR="00687E29" w:rsidRPr="006C6589">
        <w:rPr>
          <w:rFonts w:ascii="Times New Roman" w:eastAsia="Calibri" w:hAnsi="Times New Roman" w:cs="Times New Roman"/>
          <w:b/>
          <w:bCs/>
          <w:color w:val="000000" w:themeColor="text1"/>
          <w:kern w:val="24"/>
          <w:lang w:val="fr-FR"/>
        </w:rPr>
        <w:t xml:space="preserve">(i) </w:t>
      </w:r>
      <w:proofErr w:type="spellStart"/>
      <w:r w:rsidR="00687E29" w:rsidRPr="006C6589">
        <w:rPr>
          <w:rFonts w:ascii="Times New Roman" w:hAnsi="Times New Roman" w:cs="Times New Roman"/>
          <w:color w:val="000000" w:themeColor="text1"/>
          <w:kern w:val="36"/>
          <w:lang w:val="fr-FR"/>
        </w:rPr>
        <w:t>NPs@PEG</w:t>
      </w:r>
      <w:proofErr w:type="spellEnd"/>
      <w:r w:rsidR="00687E29" w:rsidRPr="006C6589">
        <w:rPr>
          <w:rFonts w:ascii="Times New Roman" w:hAnsi="Times New Roman" w:cs="Times New Roman"/>
          <w:color w:val="000000" w:themeColor="text1"/>
          <w:kern w:val="36"/>
          <w:lang w:val="fr-FR"/>
        </w:rPr>
        <w:t xml:space="preserve">: </w:t>
      </w:r>
      <w:proofErr w:type="spellStart"/>
      <w:r w:rsidR="00687E29" w:rsidRPr="006C6589">
        <w:rPr>
          <w:rFonts w:ascii="Times New Roman" w:hAnsi="Times New Roman" w:cs="Times New Roman"/>
          <w:color w:val="000000" w:themeColor="text1"/>
          <w:kern w:val="36"/>
          <w:lang w:val="fr-FR"/>
        </w:rPr>
        <w:t>Nanoparticles</w:t>
      </w:r>
      <w:proofErr w:type="spellEnd"/>
      <w:r w:rsidR="00687E29" w:rsidRPr="006C6589">
        <w:rPr>
          <w:rFonts w:ascii="Times New Roman" w:hAnsi="Times New Roman" w:cs="Times New Roman"/>
          <w:color w:val="000000" w:themeColor="text1"/>
          <w:kern w:val="36"/>
          <w:lang w:val="fr-FR"/>
        </w:rPr>
        <w:t>;</w:t>
      </w:r>
      <w:r w:rsidR="00687E29" w:rsidRPr="006C6589">
        <w:rPr>
          <w:rFonts w:ascii="Times New Roman" w:hAnsi="Times New Roman" w:cs="Times New Roman"/>
          <w:b/>
          <w:bCs/>
          <w:color w:val="000000" w:themeColor="text1"/>
          <w:kern w:val="36"/>
          <w:lang w:val="fr-FR"/>
        </w:rPr>
        <w:t xml:space="preserve"> (ii) </w:t>
      </w:r>
      <w:proofErr w:type="spellStart"/>
      <w:r w:rsidR="00687E29" w:rsidRPr="006C6589">
        <w:rPr>
          <w:rFonts w:ascii="Times New Roman" w:hAnsi="Times New Roman" w:cs="Times New Roman"/>
          <w:color w:val="000000" w:themeColor="text1"/>
          <w:kern w:val="36"/>
          <w:lang w:val="fr-FR"/>
        </w:rPr>
        <w:t>NPs@PEG</w:t>
      </w:r>
      <w:proofErr w:type="spellEnd"/>
      <w:r w:rsidR="00687E29" w:rsidRPr="006C6589">
        <w:rPr>
          <w:rFonts w:ascii="Times New Roman" w:hAnsi="Times New Roman" w:cs="Times New Roman"/>
          <w:color w:val="000000" w:themeColor="text1"/>
          <w:kern w:val="36"/>
          <w:lang w:val="fr-FR"/>
        </w:rPr>
        <w:t xml:space="preserve"> + </w:t>
      </w:r>
      <w:r w:rsidR="00687E29" w:rsidRPr="006C6589">
        <w:rPr>
          <w:rFonts w:ascii="Times New Roman" w:eastAsia="Times New Roman" w:hAnsi="Times New Roman" w:cs="Times New Roman"/>
          <w:kern w:val="36"/>
          <w:lang w:val="fr-FR" w:eastAsia="pt-PT"/>
        </w:rPr>
        <w:t>visible light irradiation (VLI)</w:t>
      </w:r>
      <w:r w:rsidR="00687E29" w:rsidRPr="006C6589">
        <w:rPr>
          <w:rFonts w:ascii="Times New Roman" w:hAnsi="Times New Roman" w:cs="Times New Roman"/>
          <w:color w:val="000000" w:themeColor="text1"/>
          <w:kern w:val="36"/>
          <w:lang w:val="fr-FR"/>
        </w:rPr>
        <w:t xml:space="preserve">; </w:t>
      </w:r>
      <w:r w:rsidR="00687E29" w:rsidRPr="006C6589">
        <w:rPr>
          <w:rFonts w:ascii="Times New Roman" w:hAnsi="Times New Roman" w:cs="Times New Roman"/>
          <w:b/>
          <w:bCs/>
          <w:color w:val="000000" w:themeColor="text1"/>
          <w:kern w:val="36"/>
          <w:lang w:val="fr-FR"/>
        </w:rPr>
        <w:t xml:space="preserve">(iii) </w:t>
      </w:r>
      <w:proofErr w:type="spellStart"/>
      <w:r w:rsidR="00687E29" w:rsidRPr="006C6589">
        <w:rPr>
          <w:rFonts w:ascii="Times New Roman" w:hAnsi="Times New Roman" w:cs="Times New Roman"/>
          <w:color w:val="000000" w:themeColor="text1"/>
          <w:kern w:val="36"/>
          <w:lang w:val="fr-FR"/>
        </w:rPr>
        <w:t>NPs@PEG</w:t>
      </w:r>
      <w:proofErr w:type="spellEnd"/>
      <w:r w:rsidR="00687E29" w:rsidRPr="006C6589">
        <w:rPr>
          <w:rFonts w:ascii="Times New Roman" w:hAnsi="Times New Roman" w:cs="Times New Roman"/>
          <w:color w:val="000000" w:themeColor="text1"/>
          <w:kern w:val="36"/>
          <w:lang w:val="fr-FR"/>
        </w:rPr>
        <w:t xml:space="preserve"> + </w:t>
      </w:r>
      <w:proofErr w:type="spellStart"/>
      <w:r w:rsidR="00687E29" w:rsidRPr="006C6589">
        <w:rPr>
          <w:rFonts w:ascii="Times New Roman" w:hAnsi="Times New Roman" w:cs="Times New Roman"/>
          <w:color w:val="000000" w:themeColor="text1"/>
          <w:kern w:val="36"/>
          <w:lang w:val="fr-FR"/>
        </w:rPr>
        <w:t>ciprofloxacin</w:t>
      </w:r>
      <w:proofErr w:type="spellEnd"/>
      <w:r w:rsidR="00687E29" w:rsidRPr="006C6589">
        <w:rPr>
          <w:rFonts w:ascii="Times New Roman" w:hAnsi="Times New Roman" w:cs="Times New Roman"/>
          <w:color w:val="000000" w:themeColor="text1"/>
          <w:kern w:val="36"/>
          <w:lang w:val="fr-FR"/>
        </w:rPr>
        <w:t xml:space="preserve"> (CIP)</w:t>
      </w:r>
      <w:r w:rsidR="00687E29" w:rsidRPr="006C6589">
        <w:rPr>
          <w:rFonts w:ascii="Times New Roman" w:hAnsi="Times New Roman" w:cs="Times New Roman"/>
          <w:b/>
          <w:bCs/>
          <w:color w:val="000000" w:themeColor="text1"/>
          <w:kern w:val="36"/>
          <w:lang w:val="fr-FR"/>
        </w:rPr>
        <w:t xml:space="preserve">; (iv) </w:t>
      </w:r>
      <w:proofErr w:type="spellStart"/>
      <w:r w:rsidR="00687E29" w:rsidRPr="006C6589">
        <w:rPr>
          <w:rFonts w:ascii="Times New Roman" w:eastAsia="Calibri" w:hAnsi="Times New Roman" w:cs="Times New Roman"/>
          <w:color w:val="000000" w:themeColor="text1"/>
          <w:kern w:val="24"/>
          <w:lang w:val="fr-FR"/>
        </w:rPr>
        <w:t>NPs@PEG</w:t>
      </w:r>
      <w:proofErr w:type="spellEnd"/>
      <w:r w:rsidR="00687E29" w:rsidRPr="006C6589">
        <w:rPr>
          <w:rFonts w:ascii="Times New Roman" w:eastAsia="Calibri" w:hAnsi="Times New Roman" w:cs="Times New Roman"/>
          <w:b/>
          <w:bCs/>
          <w:color w:val="000000" w:themeColor="text1"/>
          <w:kern w:val="24"/>
          <w:lang w:val="fr-FR"/>
        </w:rPr>
        <w:t xml:space="preserve"> + </w:t>
      </w:r>
      <w:r w:rsidR="00687E29" w:rsidRPr="006C6589">
        <w:rPr>
          <w:rFonts w:ascii="Times New Roman" w:eastAsia="Times New Roman" w:hAnsi="Times New Roman" w:cs="Times New Roman"/>
          <w:kern w:val="36"/>
          <w:lang w:val="fr-FR" w:eastAsia="pt-PT"/>
        </w:rPr>
        <w:t>VLI</w:t>
      </w:r>
      <w:r w:rsidR="00687E29" w:rsidRPr="006C6589">
        <w:rPr>
          <w:rFonts w:ascii="Times New Roman" w:eastAsia="Calibri" w:hAnsi="Times New Roman" w:cs="Times New Roman"/>
          <w:b/>
          <w:bCs/>
          <w:color w:val="000000" w:themeColor="text1"/>
          <w:kern w:val="24"/>
          <w:lang w:val="fr-FR"/>
        </w:rPr>
        <w:t xml:space="preserve"> + </w:t>
      </w:r>
      <w:r w:rsidR="00687E29" w:rsidRPr="006C6589">
        <w:rPr>
          <w:rFonts w:ascii="Times New Roman" w:eastAsia="Calibri" w:hAnsi="Times New Roman" w:cs="Times New Roman"/>
          <w:color w:val="000000" w:themeColor="text1"/>
          <w:kern w:val="24"/>
          <w:lang w:val="fr-FR"/>
        </w:rPr>
        <w:t>CIP</w:t>
      </w:r>
      <w:r w:rsidR="00687E29" w:rsidRPr="006C6589">
        <w:rPr>
          <w:rFonts w:ascii="Times New Roman" w:hAnsi="Times New Roman" w:cs="Times New Roman"/>
          <w:color w:val="000000" w:themeColor="text1"/>
          <w:kern w:val="36"/>
          <w:lang w:val="fr-FR"/>
        </w:rPr>
        <w:t xml:space="preserve">; </w:t>
      </w:r>
      <w:r w:rsidR="00687E29" w:rsidRPr="006C6589">
        <w:rPr>
          <w:rFonts w:ascii="Times New Roman" w:hAnsi="Times New Roman" w:cs="Times New Roman"/>
          <w:b/>
          <w:bCs/>
          <w:color w:val="000000" w:themeColor="text1"/>
          <w:kern w:val="36"/>
          <w:lang w:val="fr-FR"/>
        </w:rPr>
        <w:t xml:space="preserve">(v) </w:t>
      </w:r>
      <w:r w:rsidR="00687E29" w:rsidRPr="006C6589">
        <w:rPr>
          <w:rFonts w:ascii="Times New Roman" w:eastAsia="Times New Roman" w:hAnsi="Times New Roman" w:cs="Times New Roman"/>
          <w:kern w:val="36"/>
          <w:lang w:val="fr-FR" w:eastAsia="pt-PT"/>
        </w:rPr>
        <w:t>VLI</w:t>
      </w:r>
      <w:r w:rsidR="00687E29" w:rsidRPr="006C6589">
        <w:rPr>
          <w:rFonts w:ascii="Times New Roman" w:hAnsi="Times New Roman" w:cs="Times New Roman"/>
          <w:color w:val="000000" w:themeColor="text1"/>
          <w:kern w:val="36"/>
          <w:lang w:val="fr-FR"/>
        </w:rPr>
        <w:t>;</w:t>
      </w:r>
      <w:r w:rsidR="00687E29" w:rsidRPr="006C6589">
        <w:rPr>
          <w:rFonts w:ascii="Times New Roman" w:hAnsi="Times New Roman" w:cs="Times New Roman"/>
          <w:b/>
          <w:bCs/>
          <w:color w:val="000000" w:themeColor="text1"/>
          <w:kern w:val="36"/>
          <w:lang w:val="fr-FR"/>
        </w:rPr>
        <w:t xml:space="preserve"> (vi) </w:t>
      </w:r>
      <w:r w:rsidR="00687E29" w:rsidRPr="006C6589">
        <w:rPr>
          <w:rFonts w:ascii="Times New Roman" w:hAnsi="Times New Roman" w:cs="Times New Roman"/>
          <w:color w:val="000000" w:themeColor="text1"/>
          <w:kern w:val="36"/>
          <w:lang w:val="fr-FR"/>
        </w:rPr>
        <w:t>CIP</w:t>
      </w:r>
      <w:r w:rsidR="00687E29" w:rsidRPr="006C6589">
        <w:rPr>
          <w:rFonts w:ascii="Times New Roman" w:hAnsi="Times New Roman" w:cs="Times New Roman"/>
          <w:b/>
          <w:bCs/>
          <w:color w:val="000000" w:themeColor="text1"/>
          <w:kern w:val="36"/>
          <w:lang w:val="fr-FR"/>
        </w:rPr>
        <w:t xml:space="preserve">; (vii) </w:t>
      </w:r>
      <w:r w:rsidR="00687E29" w:rsidRPr="006C6589">
        <w:rPr>
          <w:rFonts w:ascii="Times New Roman" w:hAnsi="Times New Roman" w:cs="Times New Roman"/>
          <w:color w:val="000000" w:themeColor="text1"/>
          <w:kern w:val="36"/>
          <w:lang w:val="fr-FR"/>
        </w:rPr>
        <w:t>VLI + CIP</w:t>
      </w:r>
      <w:r w:rsidR="00687E29" w:rsidRPr="006C6589">
        <w:rPr>
          <w:rFonts w:ascii="Times New Roman" w:hAnsi="Times New Roman" w:cs="Times New Roman"/>
          <w:b/>
          <w:bCs/>
          <w:color w:val="000000" w:themeColor="text1"/>
          <w:kern w:val="36"/>
          <w:lang w:val="fr-FR"/>
        </w:rPr>
        <w:t xml:space="preserve">. </w:t>
      </w:r>
      <w:r w:rsidR="00687E29" w:rsidRPr="006C6589">
        <w:rPr>
          <w:rFonts w:ascii="Times New Roman" w:hAnsi="Times New Roman" w:cs="Times New Roman"/>
          <w:lang w:val="fr-FR"/>
        </w:rPr>
        <w:t xml:space="preserve"> </w:t>
      </w:r>
      <w:r w:rsidR="00687E29" w:rsidRPr="00506D51">
        <w:rPr>
          <w:rFonts w:ascii="Times New Roman" w:hAnsi="Times New Roman" w:cs="Times New Roman"/>
          <w:color w:val="000000" w:themeColor="text1"/>
          <w:kern w:val="24"/>
          <w:lang w:val="en-US"/>
        </w:rPr>
        <w:t xml:space="preserve">Nanoparticles were at 10 nM, </w:t>
      </w:r>
      <w:r w:rsidR="00687E29" w:rsidRPr="00506D51">
        <w:rPr>
          <w:rFonts w:ascii="Times New Roman" w:hAnsi="Times New Roman" w:cs="Times New Roman"/>
          <w:color w:val="000000" w:themeColor="text1"/>
          <w:kern w:val="36"/>
          <w:lang w:val="en-US"/>
        </w:rPr>
        <w:t xml:space="preserve">ciprofloxacin at 10 </w:t>
      </w:r>
      <w:r w:rsidR="00687E29" w:rsidRPr="00506D51">
        <w:rPr>
          <w:rFonts w:ascii="Times New Roman" w:hAnsi="Times New Roman" w:cs="Times New Roman"/>
          <w:color w:val="000000" w:themeColor="text1"/>
          <w:kern w:val="36"/>
        </w:rPr>
        <w:t>μ</w:t>
      </w:r>
      <w:r w:rsidR="00687E29" w:rsidRPr="00506D51">
        <w:rPr>
          <w:rFonts w:ascii="Times New Roman" w:hAnsi="Times New Roman" w:cs="Times New Roman"/>
          <w:color w:val="000000" w:themeColor="text1"/>
          <w:kern w:val="36"/>
          <w:lang w:val="en-US"/>
        </w:rPr>
        <w:t>g/mL</w:t>
      </w:r>
      <w:r w:rsidR="00687E29" w:rsidRPr="00506D51">
        <w:rPr>
          <w:rFonts w:ascii="Times New Roman" w:hAnsi="Times New Roman" w:cs="Times New Roman"/>
          <w:color w:val="000000" w:themeColor="text1"/>
          <w:kern w:val="24"/>
          <w:lang w:val="en-US"/>
        </w:rPr>
        <w:t xml:space="preserve"> and</w:t>
      </w:r>
      <w:r w:rsidR="00687E29" w:rsidRPr="00506D51">
        <w:rPr>
          <w:rFonts w:ascii="Times New Roman" w:hAnsi="Times New Roman" w:cs="Times New Roman"/>
          <w:color w:val="000000" w:themeColor="text1"/>
          <w:kern w:val="36"/>
          <w:lang w:val="en-US"/>
        </w:rPr>
        <w:t xml:space="preserve"> VLI </w:t>
      </w:r>
      <w:r w:rsidR="00687E29" w:rsidRPr="00506D51">
        <w:rPr>
          <w:rFonts w:ascii="Times New Roman" w:hAnsi="Times New Roman" w:cs="Times New Roman"/>
          <w:color w:val="000000" w:themeColor="text1"/>
          <w:kern w:val="24"/>
          <w:lang w:val="en-US"/>
        </w:rPr>
        <w:t xml:space="preserve">at </w:t>
      </w:r>
      <w:r w:rsidR="00687E29" w:rsidRPr="00506D51">
        <w:rPr>
          <w:rFonts w:ascii="Times New Roman" w:hAnsi="Times New Roman" w:cs="Times New Roman"/>
          <w:color w:val="000000" w:themeColor="text1"/>
          <w:kern w:val="36"/>
          <w:lang w:val="en-US"/>
        </w:rPr>
        <w:t xml:space="preserve">2.02 W </w:t>
      </w:r>
      <w:proofErr w:type="gramStart"/>
      <w:r w:rsidR="00687E29" w:rsidRPr="00506D51">
        <w:rPr>
          <w:rFonts w:ascii="Times New Roman" w:hAnsi="Times New Roman" w:cs="Times New Roman"/>
          <w:color w:val="000000" w:themeColor="text1"/>
          <w:kern w:val="36"/>
          <w:lang w:val="en-US"/>
        </w:rPr>
        <w:t>cm</w:t>
      </w:r>
      <w:r w:rsidR="00687E29" w:rsidRPr="00506D51">
        <w:rPr>
          <w:rFonts w:ascii="Times New Roman" w:hAnsi="Times New Roman" w:cs="Times New Roman"/>
          <w:color w:val="000000" w:themeColor="text1"/>
          <w:kern w:val="36"/>
          <w:vertAlign w:val="superscript"/>
          <w:lang w:val="en-US"/>
        </w:rPr>
        <w:t>-2</w:t>
      </w:r>
      <w:proofErr w:type="gramEnd"/>
      <w:r w:rsidR="00687E29" w:rsidRPr="00506D51">
        <w:rPr>
          <w:rFonts w:ascii="Times New Roman" w:hAnsi="Times New Roman" w:cs="Times New Roman"/>
          <w:color w:val="000000" w:themeColor="text1"/>
          <w:kern w:val="36"/>
          <w:lang w:val="en-US"/>
        </w:rPr>
        <w:t>.</w:t>
      </w:r>
      <w:r w:rsidR="00687E29" w:rsidRPr="00506D51">
        <w:rPr>
          <w:rFonts w:ascii="Times New Roman" w:eastAsia="Times New Roman" w:hAnsi="Times New Roman" w:cs="Times New Roman"/>
          <w:kern w:val="36"/>
          <w:lang w:val="en-US" w:eastAsia="pt-PT"/>
        </w:rPr>
        <w:t xml:space="preserve"> </w:t>
      </w:r>
      <w:r w:rsidR="00687E29" w:rsidRPr="00506D51">
        <w:rPr>
          <w:rFonts w:ascii="Times New Roman" w:hAnsi="Times New Roman" w:cs="Times New Roman"/>
          <w:lang w:val="en-US" w:eastAsia="pt-PT"/>
        </w:rPr>
        <w:t>Data represented as the mean ± standard deviation (SD) of three independent measurements. The following formula calculated the percentage of biofilm reduction:  Reduced cell viability (%) = 100 – [((log</w:t>
      </w:r>
      <w:r w:rsidR="00687E29" w:rsidRPr="00506D51">
        <w:rPr>
          <w:rFonts w:ascii="Times New Roman" w:hAnsi="Times New Roman" w:cs="Times New Roman"/>
          <w:vertAlign w:val="subscript"/>
          <w:lang w:val="en-US" w:eastAsia="pt-PT"/>
        </w:rPr>
        <w:t xml:space="preserve">10 </w:t>
      </w:r>
      <w:r w:rsidR="00687E29" w:rsidRPr="00506D51">
        <w:rPr>
          <w:rFonts w:ascii="Times New Roman" w:hAnsi="Times New Roman" w:cs="Times New Roman"/>
          <w:lang w:val="en-US" w:eastAsia="pt-PT"/>
        </w:rPr>
        <w:t>CFU/mL control – log</w:t>
      </w:r>
      <w:r w:rsidR="00687E29" w:rsidRPr="00506D51">
        <w:rPr>
          <w:rFonts w:ascii="Times New Roman" w:hAnsi="Times New Roman" w:cs="Times New Roman"/>
          <w:vertAlign w:val="subscript"/>
          <w:lang w:val="en-US" w:eastAsia="pt-PT"/>
        </w:rPr>
        <w:t xml:space="preserve">10 </w:t>
      </w:r>
      <w:r w:rsidR="00687E29" w:rsidRPr="00506D51">
        <w:rPr>
          <w:rFonts w:ascii="Times New Roman" w:hAnsi="Times New Roman" w:cs="Times New Roman"/>
          <w:lang w:val="en-US" w:eastAsia="pt-PT"/>
        </w:rPr>
        <w:t>CFU/mL Treat) / log</w:t>
      </w:r>
      <w:r w:rsidR="00687E29" w:rsidRPr="00506D51">
        <w:rPr>
          <w:rFonts w:ascii="Times New Roman" w:hAnsi="Times New Roman" w:cs="Times New Roman"/>
          <w:vertAlign w:val="subscript"/>
          <w:lang w:val="en-US" w:eastAsia="pt-PT"/>
        </w:rPr>
        <w:t xml:space="preserve">10 </w:t>
      </w:r>
      <w:r w:rsidR="00687E29" w:rsidRPr="00506D51">
        <w:rPr>
          <w:rFonts w:ascii="Times New Roman" w:hAnsi="Times New Roman" w:cs="Times New Roman"/>
          <w:lang w:val="en-US" w:eastAsia="pt-PT"/>
        </w:rPr>
        <w:t>CFU/mL control) × 100], where CFU/mL control corresponds to the number of colonies forming units per ml per milliliter of untreated biofilms, and CFU/mL Treat corresponds to the number of colonies forming units per ml per milliliter of treated biofilms. *</w:t>
      </w:r>
      <w:r w:rsidR="00687E29" w:rsidRPr="00506D51">
        <w:rPr>
          <w:rFonts w:ascii="Times New Roman" w:hAnsi="Times New Roman" w:cs="Times New Roman"/>
          <w:i/>
          <w:iCs/>
          <w:lang w:val="en-US" w:eastAsia="pt-PT"/>
        </w:rPr>
        <w:t>p</w:t>
      </w:r>
      <w:r w:rsidR="00687E29" w:rsidRPr="00506D51">
        <w:rPr>
          <w:rFonts w:ascii="Times New Roman" w:hAnsi="Times New Roman" w:cs="Times New Roman"/>
          <w:lang w:val="en-US" w:eastAsia="pt-PT"/>
        </w:rPr>
        <w:t> &lt; .05, Significant differences</w:t>
      </w:r>
      <w:bookmarkEnd w:id="4"/>
      <w:r w:rsidR="00687E29" w:rsidRPr="00506D51">
        <w:rPr>
          <w:rFonts w:ascii="Times New Roman" w:hAnsi="Times New Roman" w:cs="Times New Roman"/>
          <w:lang w:val="en-US" w:eastAsia="pt-PT"/>
        </w:rPr>
        <w:t xml:space="preserve">. </w:t>
      </w:r>
    </w:p>
    <w:p w14:paraId="48435090" w14:textId="77777777" w:rsidR="00506D51" w:rsidRPr="00506D51" w:rsidRDefault="00506D51" w:rsidP="00506D51">
      <w:pPr>
        <w:tabs>
          <w:tab w:val="left" w:pos="2208"/>
        </w:tabs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35FF9893" w14:textId="51EA56C0" w:rsidR="004C5C22" w:rsidRPr="009452D5" w:rsidRDefault="00B6173A" w:rsidP="00506D51">
      <w:pPr>
        <w:tabs>
          <w:tab w:val="left" w:pos="2208"/>
        </w:tabs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9452D5"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407BD9CE" wp14:editId="5A662B26">
            <wp:extent cx="5322079" cy="32469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267" cy="325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8D0C35" w14:textId="37B3C5C5" w:rsidR="004C5C22" w:rsidRPr="00506D51" w:rsidRDefault="004C5C22" w:rsidP="00506D51">
      <w:pPr>
        <w:tabs>
          <w:tab w:val="left" w:pos="2208"/>
        </w:tabs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452D5">
        <w:rPr>
          <w:rFonts w:ascii="Times New Roman" w:hAnsi="Times New Roman" w:cs="Times New Roman"/>
          <w:b/>
          <w:bCs/>
          <w:lang w:val="en-US"/>
        </w:rPr>
        <w:t>Figure</w:t>
      </w:r>
      <w:r w:rsidR="006C6589" w:rsidRPr="009452D5">
        <w:rPr>
          <w:rFonts w:ascii="Times New Roman" w:hAnsi="Times New Roman" w:cs="Times New Roman"/>
          <w:b/>
          <w:bCs/>
          <w:lang w:val="en-US"/>
        </w:rPr>
        <w:t xml:space="preserve"> S3</w:t>
      </w:r>
      <w:r w:rsidRPr="009452D5">
        <w:rPr>
          <w:rFonts w:ascii="Times New Roman" w:hAnsi="Times New Roman" w:cs="Times New Roman"/>
          <w:b/>
          <w:bCs/>
          <w:lang w:val="en-US"/>
        </w:rPr>
        <w:t>.</w:t>
      </w:r>
      <w:r w:rsidRPr="009452D5">
        <w:rPr>
          <w:rFonts w:ascii="Times New Roman" w:hAnsi="Times New Roman" w:cs="Times New Roman"/>
          <w:lang w:val="en-US"/>
        </w:rPr>
        <w:t xml:space="preserve"> MTS assay of human primary fibroblasts previous 6h exposure to </w:t>
      </w:r>
      <w:proofErr w:type="spellStart"/>
      <w:r w:rsidRPr="009452D5">
        <w:rPr>
          <w:rFonts w:ascii="Times New Roman" w:hAnsi="Times New Roman" w:cs="Times New Roman"/>
          <w:lang w:val="en-US"/>
        </w:rPr>
        <w:t>AuAg@PEG</w:t>
      </w:r>
      <w:proofErr w:type="spellEnd"/>
      <w:r w:rsidRPr="009452D5">
        <w:rPr>
          <w:rFonts w:ascii="Times New Roman" w:hAnsi="Times New Roman" w:cs="Times New Roman"/>
          <w:lang w:val="en-US"/>
        </w:rPr>
        <w:t xml:space="preserve"> (10 nM), </w:t>
      </w:r>
      <w:proofErr w:type="spellStart"/>
      <w:r w:rsidRPr="009452D5">
        <w:rPr>
          <w:rFonts w:ascii="Times New Roman" w:hAnsi="Times New Roman" w:cs="Times New Roman"/>
          <w:lang w:val="en-US"/>
        </w:rPr>
        <w:t>Ag@PEG</w:t>
      </w:r>
      <w:proofErr w:type="spellEnd"/>
      <w:r w:rsidRPr="009452D5">
        <w:rPr>
          <w:rFonts w:ascii="Times New Roman" w:hAnsi="Times New Roman" w:cs="Times New Roman"/>
          <w:lang w:val="en-US"/>
        </w:rPr>
        <w:t xml:space="preserve"> (10 nM), CIP - ciprofloxacin (10 </w:t>
      </w:r>
      <w:proofErr w:type="spellStart"/>
      <w:r w:rsidRPr="009452D5">
        <w:rPr>
          <w:rFonts w:ascii="Times New Roman" w:hAnsi="Times New Roman" w:cs="Times New Roman"/>
          <w:lang w:val="en-US"/>
        </w:rPr>
        <w:t>μg</w:t>
      </w:r>
      <w:proofErr w:type="spellEnd"/>
      <w:r w:rsidRPr="009452D5">
        <w:rPr>
          <w:rFonts w:ascii="Times New Roman" w:hAnsi="Times New Roman" w:cs="Times New Roman"/>
          <w:lang w:val="en-US"/>
        </w:rPr>
        <w:t xml:space="preserve">/mL), </w:t>
      </w:r>
      <w:proofErr w:type="spellStart"/>
      <w:r w:rsidRPr="009452D5">
        <w:rPr>
          <w:rFonts w:ascii="Times New Roman" w:hAnsi="Times New Roman" w:cs="Times New Roman"/>
          <w:lang w:val="en-US"/>
        </w:rPr>
        <w:t>AuAg@PEG</w:t>
      </w:r>
      <w:proofErr w:type="spellEnd"/>
      <w:r w:rsidRPr="009452D5">
        <w:rPr>
          <w:rFonts w:ascii="Times New Roman" w:hAnsi="Times New Roman" w:cs="Times New Roman"/>
          <w:lang w:val="en-US"/>
        </w:rPr>
        <w:t xml:space="preserve"> + CIP or </w:t>
      </w:r>
      <w:proofErr w:type="spellStart"/>
      <w:r w:rsidRPr="009452D5">
        <w:rPr>
          <w:rFonts w:ascii="Times New Roman" w:hAnsi="Times New Roman" w:cs="Times New Roman"/>
          <w:lang w:val="en-US"/>
        </w:rPr>
        <w:t>Ag@PEG</w:t>
      </w:r>
      <w:proofErr w:type="spellEnd"/>
      <w:r w:rsidRPr="009452D5">
        <w:rPr>
          <w:rFonts w:ascii="Times New Roman" w:hAnsi="Times New Roman" w:cs="Times New Roman"/>
          <w:lang w:val="en-US"/>
        </w:rPr>
        <w:t xml:space="preserve"> + CIP. </w:t>
      </w:r>
      <w:r w:rsidR="00B6173A" w:rsidRPr="009452D5">
        <w:rPr>
          <w:rFonts w:ascii="Times New Roman" w:eastAsia="Times New Roman" w:hAnsi="Times New Roman" w:cs="Times New Roman"/>
          <w:kern w:val="36"/>
          <w:lang w:val="en-US" w:eastAsia="pt-PT"/>
        </w:rPr>
        <w:t xml:space="preserve">VLI - visible light irradiation </w:t>
      </w:r>
      <w:r w:rsidR="00B6173A" w:rsidRPr="009452D5">
        <w:rPr>
          <w:rFonts w:ascii="Times New Roman" w:hAnsi="Times New Roman" w:cs="Times New Roman"/>
          <w:color w:val="000000" w:themeColor="text1"/>
          <w:kern w:val="24"/>
          <w:lang w:val="en-US"/>
        </w:rPr>
        <w:t xml:space="preserve">at </w:t>
      </w:r>
      <w:r w:rsidR="00B6173A" w:rsidRPr="009452D5">
        <w:rPr>
          <w:rFonts w:ascii="Times New Roman" w:hAnsi="Times New Roman" w:cs="Times New Roman"/>
          <w:color w:val="000000" w:themeColor="text1"/>
          <w:kern w:val="36"/>
          <w:lang w:val="en-US"/>
        </w:rPr>
        <w:t>2.02 W cm</w:t>
      </w:r>
      <w:r w:rsidR="00B6173A" w:rsidRPr="009452D5">
        <w:rPr>
          <w:rFonts w:ascii="Times New Roman" w:hAnsi="Times New Roman" w:cs="Times New Roman"/>
          <w:color w:val="000000" w:themeColor="text1"/>
          <w:kern w:val="36"/>
          <w:vertAlign w:val="superscript"/>
          <w:lang w:val="en-US"/>
        </w:rPr>
        <w:t>-2</w:t>
      </w:r>
      <w:r w:rsidR="00EB3F51" w:rsidRPr="009452D5">
        <w:rPr>
          <w:rFonts w:ascii="Times New Roman" w:hAnsi="Times New Roman" w:cs="Times New Roman"/>
          <w:lang w:val="en-US"/>
        </w:rPr>
        <w:t xml:space="preserve">. </w:t>
      </w:r>
      <w:r w:rsidRPr="009452D5">
        <w:rPr>
          <w:rFonts w:ascii="Times New Roman" w:hAnsi="Times New Roman" w:cs="Times New Roman"/>
          <w:lang w:val="en-US"/>
        </w:rPr>
        <w:t>The following equation applied to calculate the cell viability (%) = 100 x (mean Abs of treatment group /mean Abs of control group, without treatment). Data are the average of at least three independent assays and error bars correspondent to standard deviation.</w:t>
      </w:r>
    </w:p>
    <w:p w14:paraId="231A1EB4" w14:textId="77777777" w:rsidR="004C5C22" w:rsidRPr="00506D51" w:rsidRDefault="004C5C22" w:rsidP="00506D51">
      <w:pPr>
        <w:tabs>
          <w:tab w:val="left" w:pos="2208"/>
        </w:tabs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58222046" w14:textId="3305CAA9" w:rsidR="00C10F61" w:rsidRPr="00506D51" w:rsidRDefault="00C10F61" w:rsidP="00506D51">
      <w:pPr>
        <w:tabs>
          <w:tab w:val="left" w:pos="2208"/>
        </w:tabs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sectPr w:rsidR="00C10F61" w:rsidRPr="00506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xMzIwNDAxNzE1MjdV0lEKTi0uzszPAykwqgUAeAeQCSwAAAA="/>
  </w:docVars>
  <w:rsids>
    <w:rsidRoot w:val="002F25C1"/>
    <w:rsid w:val="00073D60"/>
    <w:rsid w:val="0010489D"/>
    <w:rsid w:val="00145E7E"/>
    <w:rsid w:val="002F25C1"/>
    <w:rsid w:val="00423B52"/>
    <w:rsid w:val="004576D1"/>
    <w:rsid w:val="004C5C22"/>
    <w:rsid w:val="00506D51"/>
    <w:rsid w:val="00642532"/>
    <w:rsid w:val="00687E29"/>
    <w:rsid w:val="006B150F"/>
    <w:rsid w:val="006C6589"/>
    <w:rsid w:val="006D7DA6"/>
    <w:rsid w:val="007B06A5"/>
    <w:rsid w:val="007F4080"/>
    <w:rsid w:val="008D148B"/>
    <w:rsid w:val="008D5CCC"/>
    <w:rsid w:val="009452D5"/>
    <w:rsid w:val="00AD7250"/>
    <w:rsid w:val="00B6173A"/>
    <w:rsid w:val="00C10F61"/>
    <w:rsid w:val="00CB1E3F"/>
    <w:rsid w:val="00D5735A"/>
    <w:rsid w:val="00DA053B"/>
    <w:rsid w:val="00DA6591"/>
    <w:rsid w:val="00DD2D56"/>
    <w:rsid w:val="00E47047"/>
    <w:rsid w:val="00E84ABE"/>
    <w:rsid w:val="00EB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F1A96"/>
  <w15:docId w15:val="{D873E837-D491-47BD-A0C2-9138BC1D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2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F2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NoSpacing">
    <w:name w:val="No Spacing"/>
    <w:uiPriority w:val="1"/>
    <w:qFormat/>
    <w:rsid w:val="00D5735A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mvb@fct.unl.p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.fernandes@fct.unl.p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BD572206-AF20-4B45-AEFF-484C7CFA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Barroco</dc:creator>
  <cp:keywords/>
  <dc:description/>
  <cp:lastModifiedBy>PVB</cp:lastModifiedBy>
  <cp:revision>2</cp:revision>
  <dcterms:created xsi:type="dcterms:W3CDTF">2022-01-13T08:34:00Z</dcterms:created>
  <dcterms:modified xsi:type="dcterms:W3CDTF">2022-01-13T08:34:00Z</dcterms:modified>
</cp:coreProperties>
</file>