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DAE01" w14:textId="743BCDFE" w:rsidR="009F72C1" w:rsidRPr="004D75AE" w:rsidRDefault="00654E8F" w:rsidP="009F72C1">
      <w:pPr>
        <w:pStyle w:val="SupplementaryMaterial"/>
        <w:spacing w:before="0" w:after="0"/>
      </w:pPr>
      <w:r w:rsidRPr="004D75AE">
        <w:t>Supplementary Material</w:t>
      </w:r>
    </w:p>
    <w:p w14:paraId="30FCD614" w14:textId="77777777" w:rsidR="009F72C1" w:rsidRPr="004D75AE" w:rsidRDefault="009F72C1" w:rsidP="009F72C1">
      <w:pPr>
        <w:pStyle w:val="1"/>
        <w:numPr>
          <w:ilvl w:val="0"/>
          <w:numId w:val="0"/>
        </w:numPr>
        <w:spacing w:before="0" w:after="0"/>
        <w:ind w:left="567"/>
      </w:pPr>
    </w:p>
    <w:p w14:paraId="3BD5A427" w14:textId="6E864B1F" w:rsidR="00EA3D3C" w:rsidRPr="004D75AE" w:rsidRDefault="00654E8F" w:rsidP="009F72C1">
      <w:pPr>
        <w:pStyle w:val="1"/>
        <w:spacing w:before="0" w:after="0"/>
      </w:pPr>
      <w:r w:rsidRPr="004D75AE">
        <w:t xml:space="preserve">Supplementary </w:t>
      </w:r>
      <w:r w:rsidR="009F72C1" w:rsidRPr="004D75AE">
        <w:t>Figures and Tables</w:t>
      </w:r>
    </w:p>
    <w:p w14:paraId="74476576" w14:textId="77777777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  <w:b/>
        </w:rPr>
      </w:pPr>
    </w:p>
    <w:p w14:paraId="46A319CF" w14:textId="43F049AE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  <w:b/>
        </w:rPr>
      </w:pPr>
      <w:r w:rsidRPr="004D75AE">
        <w:rPr>
          <w:rFonts w:cs="Times New Roman"/>
          <w:b/>
        </w:rPr>
        <w:t>Supplementa</w:t>
      </w:r>
      <w:r w:rsidRPr="004D75AE">
        <w:rPr>
          <w:rFonts w:cs="Times New Roman" w:hint="eastAsia"/>
          <w:b/>
          <w:lang w:eastAsia="zh-TW"/>
        </w:rPr>
        <w:t>r</w:t>
      </w:r>
      <w:r w:rsidRPr="004D75AE">
        <w:rPr>
          <w:rFonts w:cs="Times New Roman"/>
          <w:b/>
          <w:lang w:eastAsia="zh-TW"/>
        </w:rPr>
        <w:t>y</w:t>
      </w:r>
      <w:r w:rsidRPr="004D75AE">
        <w:rPr>
          <w:rFonts w:cs="Times New Roman"/>
          <w:b/>
        </w:rPr>
        <w:t xml:space="preserve"> Table 1. Variable substitutes for validation with other scores</w:t>
      </w:r>
    </w:p>
    <w:tbl>
      <w:tblPr>
        <w:tblStyle w:val="aff4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134"/>
        <w:gridCol w:w="4329"/>
      </w:tblGrid>
      <w:tr w:rsidR="009F72C1" w:rsidRPr="004D75AE" w14:paraId="32E89D8D" w14:textId="77777777" w:rsidTr="00702A8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7A21ED4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Risk Score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14:paraId="029940F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V</w:t>
            </w:r>
            <w:r w:rsidRPr="004D75AE">
              <w:rPr>
                <w:rFonts w:cs="Times New Roman"/>
              </w:rPr>
              <w:t>ariable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</w:tcPr>
          <w:p w14:paraId="4C5D5091" w14:textId="68DBCD3F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V</w:t>
            </w:r>
            <w:r w:rsidRPr="004D75AE">
              <w:rPr>
                <w:rFonts w:cs="Times New Roman"/>
              </w:rPr>
              <w:t>ariable Substitute</w:t>
            </w:r>
            <w:r w:rsidR="00702A8A" w:rsidRPr="004D75AE">
              <w:rPr>
                <w:rFonts w:cs="Times New Roman" w:hint="eastAsia"/>
                <w:lang w:eastAsia="zh-TW"/>
              </w:rPr>
              <w:t>*</w:t>
            </w:r>
          </w:p>
        </w:tc>
      </w:tr>
      <w:tr w:rsidR="009F72C1" w:rsidRPr="004D75AE" w14:paraId="0909AB66" w14:textId="77777777" w:rsidTr="00702A8A">
        <w:tc>
          <w:tcPr>
            <w:tcW w:w="2122" w:type="dxa"/>
            <w:tcBorders>
              <w:top w:val="single" w:sz="4" w:space="0" w:color="auto"/>
            </w:tcBorders>
          </w:tcPr>
          <w:p w14:paraId="20F0F0A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S</w:t>
            </w:r>
            <w:r w:rsidRPr="004D75AE">
              <w:rPr>
                <w:rFonts w:cs="Times New Roman"/>
              </w:rPr>
              <w:t>HOCK trial</w:t>
            </w:r>
          </w:p>
        </w:tc>
        <w:tc>
          <w:tcPr>
            <w:tcW w:w="3134" w:type="dxa"/>
            <w:tcBorders>
              <w:top w:val="single" w:sz="4" w:space="0" w:color="auto"/>
            </w:tcBorders>
          </w:tcPr>
          <w:p w14:paraId="564D2CF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A</w:t>
            </w:r>
            <w:r w:rsidRPr="004D75AE">
              <w:rPr>
                <w:rFonts w:cs="Times New Roman"/>
              </w:rPr>
              <w:t>noxic brain damage</w:t>
            </w:r>
          </w:p>
        </w:tc>
        <w:tc>
          <w:tcPr>
            <w:tcW w:w="4329" w:type="dxa"/>
            <w:tcBorders>
              <w:top w:val="single" w:sz="4" w:space="0" w:color="auto"/>
            </w:tcBorders>
          </w:tcPr>
          <w:p w14:paraId="69C36BC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Un</w:t>
            </w:r>
            <w:r w:rsidRPr="004D75AE">
              <w:rPr>
                <w:rFonts w:cs="Times New Roman"/>
              </w:rPr>
              <w:t>conscious patient</w:t>
            </w:r>
          </w:p>
        </w:tc>
      </w:tr>
      <w:tr w:rsidR="009F72C1" w:rsidRPr="004D75AE" w14:paraId="151A7FCA" w14:textId="77777777" w:rsidTr="00702A8A">
        <w:tc>
          <w:tcPr>
            <w:tcW w:w="2122" w:type="dxa"/>
          </w:tcPr>
          <w:p w14:paraId="53012B3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6EE2C70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S</w:t>
            </w:r>
            <w:r w:rsidRPr="004D75AE">
              <w:rPr>
                <w:rFonts w:cs="Times New Roman"/>
              </w:rPr>
              <w:t>hock on admission</w:t>
            </w:r>
          </w:p>
        </w:tc>
        <w:tc>
          <w:tcPr>
            <w:tcW w:w="4329" w:type="dxa"/>
          </w:tcPr>
          <w:p w14:paraId="0CFB05C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S</w:t>
            </w:r>
            <w:r w:rsidRPr="004D75AE">
              <w:rPr>
                <w:rFonts w:cs="Times New Roman"/>
              </w:rPr>
              <w:t>BP &lt;90 mmHg at ER admission</w:t>
            </w:r>
          </w:p>
        </w:tc>
      </w:tr>
      <w:tr w:rsidR="009F72C1" w:rsidRPr="004D75AE" w14:paraId="6194433A" w14:textId="77777777" w:rsidTr="00702A8A">
        <w:tc>
          <w:tcPr>
            <w:tcW w:w="2122" w:type="dxa"/>
          </w:tcPr>
          <w:p w14:paraId="34A5149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3C13C524" w14:textId="2D29B12A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N</w:t>
            </w:r>
            <w:r w:rsidRPr="004D75AE">
              <w:rPr>
                <w:rFonts w:cs="Times New Roman"/>
              </w:rPr>
              <w:t>on</w:t>
            </w:r>
            <w:r w:rsidR="00702A8A" w:rsidRPr="004D75AE">
              <w:rPr>
                <w:rFonts w:cs="Times New Roman" w:hint="eastAsia"/>
                <w:lang w:eastAsia="zh-TW"/>
              </w:rPr>
              <w:t>-</w:t>
            </w:r>
            <w:r w:rsidRPr="004D75AE">
              <w:rPr>
                <w:rFonts w:cs="Times New Roman"/>
              </w:rPr>
              <w:t>inferior MI</w:t>
            </w:r>
          </w:p>
        </w:tc>
        <w:tc>
          <w:tcPr>
            <w:tcW w:w="4329" w:type="dxa"/>
          </w:tcPr>
          <w:p w14:paraId="5D7EB936" w14:textId="42CE7586" w:rsidR="009F72C1" w:rsidRPr="004D75AE" w:rsidRDefault="00702A8A" w:rsidP="00702A8A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Not included; no</w:t>
            </w:r>
            <w:r w:rsidRPr="004D75AE">
              <w:t xml:space="preserve"> point if LVEF was added</w:t>
            </w:r>
          </w:p>
        </w:tc>
      </w:tr>
      <w:tr w:rsidR="009F72C1" w:rsidRPr="004D75AE" w14:paraId="5823D4E9" w14:textId="77777777" w:rsidTr="00702A8A">
        <w:tc>
          <w:tcPr>
            <w:tcW w:w="2122" w:type="dxa"/>
          </w:tcPr>
          <w:p w14:paraId="0FE3F68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3774F5C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L</w:t>
            </w:r>
            <w:r w:rsidRPr="004D75AE">
              <w:rPr>
                <w:rFonts w:cs="Times New Roman"/>
              </w:rPr>
              <w:t>VEF</w:t>
            </w:r>
          </w:p>
        </w:tc>
        <w:tc>
          <w:tcPr>
            <w:tcW w:w="4329" w:type="dxa"/>
          </w:tcPr>
          <w:p w14:paraId="1D04B1C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61B23E3E" w14:textId="77777777" w:rsidTr="00702A8A">
        <w:tc>
          <w:tcPr>
            <w:tcW w:w="2122" w:type="dxa"/>
          </w:tcPr>
          <w:p w14:paraId="71ABD76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687314F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A</w:t>
            </w:r>
            <w:r w:rsidRPr="004D75AE">
              <w:rPr>
                <w:rFonts w:cs="Times New Roman"/>
              </w:rPr>
              <w:t>ge</w:t>
            </w:r>
          </w:p>
        </w:tc>
        <w:tc>
          <w:tcPr>
            <w:tcW w:w="4329" w:type="dxa"/>
          </w:tcPr>
          <w:p w14:paraId="21F8D28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6B7B922E" w14:textId="77777777" w:rsidTr="00702A8A">
        <w:tc>
          <w:tcPr>
            <w:tcW w:w="2122" w:type="dxa"/>
          </w:tcPr>
          <w:p w14:paraId="0E0AB44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4BB1F26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 xml:space="preserve">End-organ </w:t>
            </w:r>
            <w:proofErr w:type="spellStart"/>
            <w:r w:rsidRPr="004D75AE">
              <w:rPr>
                <w:rFonts w:cs="Times New Roman"/>
              </w:rPr>
              <w:t>hypoperfusion</w:t>
            </w:r>
            <w:proofErr w:type="spellEnd"/>
          </w:p>
        </w:tc>
        <w:tc>
          <w:tcPr>
            <w:tcW w:w="4329" w:type="dxa"/>
          </w:tcPr>
          <w:p w14:paraId="04AC927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Not included</w:t>
            </w:r>
          </w:p>
        </w:tc>
      </w:tr>
      <w:tr w:rsidR="009F72C1" w:rsidRPr="004D75AE" w14:paraId="01414DBA" w14:textId="77777777" w:rsidTr="00702A8A">
        <w:tc>
          <w:tcPr>
            <w:tcW w:w="2122" w:type="dxa"/>
          </w:tcPr>
          <w:p w14:paraId="7EA3DC5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6F4878D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P</w:t>
            </w:r>
            <w:r w:rsidRPr="004D75AE">
              <w:rPr>
                <w:rFonts w:cs="Times New Roman"/>
              </w:rPr>
              <w:t>rior CABG</w:t>
            </w:r>
          </w:p>
        </w:tc>
        <w:tc>
          <w:tcPr>
            <w:tcW w:w="4329" w:type="dxa"/>
          </w:tcPr>
          <w:p w14:paraId="4A502FA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ascii="新細明體-ExtB" w:eastAsia="新細明體-ExtB" w:hAnsi="新細明體-ExtB" w:cs="新細明體-ExtB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57C11E50" w14:textId="77777777" w:rsidTr="00702A8A">
        <w:tc>
          <w:tcPr>
            <w:tcW w:w="2122" w:type="dxa"/>
          </w:tcPr>
          <w:p w14:paraId="414F783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20C2BC4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C</w:t>
            </w:r>
            <w:r w:rsidRPr="004D75AE">
              <w:rPr>
                <w:rFonts w:cs="Times New Roman"/>
              </w:rPr>
              <w:t>reatinine</w:t>
            </w:r>
          </w:p>
        </w:tc>
        <w:tc>
          <w:tcPr>
            <w:tcW w:w="4329" w:type="dxa"/>
          </w:tcPr>
          <w:p w14:paraId="69BECCB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45925A75" w14:textId="77777777" w:rsidTr="00702A8A">
        <w:tc>
          <w:tcPr>
            <w:tcW w:w="2122" w:type="dxa"/>
            <w:tcBorders>
              <w:bottom w:val="single" w:sz="4" w:space="0" w:color="auto"/>
            </w:tcBorders>
          </w:tcPr>
          <w:p w14:paraId="26B4D0F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01C218E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SBP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0E4343F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487C2AFF" w14:textId="77777777" w:rsidTr="00702A8A">
        <w:tc>
          <w:tcPr>
            <w:tcW w:w="2122" w:type="dxa"/>
            <w:tcBorders>
              <w:top w:val="single" w:sz="4" w:space="0" w:color="auto"/>
            </w:tcBorders>
          </w:tcPr>
          <w:p w14:paraId="1AA5062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 w:hint="eastAsia"/>
              </w:rPr>
              <w:t>IABP</w:t>
            </w:r>
            <w:r w:rsidRPr="004D75AE">
              <w:rPr>
                <w:rFonts w:cs="Times New Roman"/>
              </w:rPr>
              <w:t>-SHO</w:t>
            </w:r>
            <w:r w:rsidRPr="004D75AE">
              <w:rPr>
                <w:rFonts w:cs="Times New Roman" w:hint="cs"/>
              </w:rPr>
              <w:t>C</w:t>
            </w:r>
            <w:r w:rsidRPr="004D75AE">
              <w:rPr>
                <w:rFonts w:cs="Times New Roman"/>
              </w:rPr>
              <w:t>K II</w:t>
            </w:r>
          </w:p>
        </w:tc>
        <w:tc>
          <w:tcPr>
            <w:tcW w:w="3134" w:type="dxa"/>
            <w:tcBorders>
              <w:top w:val="single" w:sz="4" w:space="0" w:color="auto"/>
            </w:tcBorders>
          </w:tcPr>
          <w:p w14:paraId="47EAFE1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 w:hint="eastAsia"/>
              </w:rPr>
              <w:t>A</w:t>
            </w:r>
            <w:r w:rsidRPr="004D75AE">
              <w:rPr>
                <w:rFonts w:cs="Times New Roman"/>
              </w:rPr>
              <w:t>ge</w:t>
            </w:r>
          </w:p>
        </w:tc>
        <w:tc>
          <w:tcPr>
            <w:tcW w:w="4329" w:type="dxa"/>
            <w:tcBorders>
              <w:top w:val="single" w:sz="4" w:space="0" w:color="auto"/>
            </w:tcBorders>
          </w:tcPr>
          <w:p w14:paraId="1D2250A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542F5628" w14:textId="77777777" w:rsidTr="00702A8A">
        <w:tc>
          <w:tcPr>
            <w:tcW w:w="2122" w:type="dxa"/>
          </w:tcPr>
          <w:p w14:paraId="5E8A51C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3134" w:type="dxa"/>
          </w:tcPr>
          <w:p w14:paraId="7B71052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 w:hint="eastAsia"/>
              </w:rPr>
              <w:t>H</w:t>
            </w:r>
            <w:r w:rsidRPr="004D75AE">
              <w:rPr>
                <w:rFonts w:cs="Times New Roman"/>
              </w:rPr>
              <w:t>istory of stroke</w:t>
            </w:r>
          </w:p>
        </w:tc>
        <w:tc>
          <w:tcPr>
            <w:tcW w:w="4329" w:type="dxa"/>
          </w:tcPr>
          <w:p w14:paraId="39DFA7A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6E2F831A" w14:textId="77777777" w:rsidTr="00702A8A">
        <w:tc>
          <w:tcPr>
            <w:tcW w:w="2122" w:type="dxa"/>
          </w:tcPr>
          <w:p w14:paraId="370927F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3134" w:type="dxa"/>
          </w:tcPr>
          <w:p w14:paraId="754F8DC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 w:hint="eastAsia"/>
              </w:rPr>
              <w:t>G</w:t>
            </w:r>
            <w:r w:rsidRPr="004D75AE">
              <w:rPr>
                <w:rFonts w:cs="Times New Roman"/>
              </w:rPr>
              <w:t>lucose</w:t>
            </w:r>
          </w:p>
        </w:tc>
        <w:tc>
          <w:tcPr>
            <w:tcW w:w="4329" w:type="dxa"/>
          </w:tcPr>
          <w:p w14:paraId="07FF74C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/>
              </w:rPr>
              <w:t>Not included</w:t>
            </w:r>
          </w:p>
        </w:tc>
      </w:tr>
      <w:tr w:rsidR="009F72C1" w:rsidRPr="004D75AE" w14:paraId="5606E4E9" w14:textId="77777777" w:rsidTr="00702A8A">
        <w:tc>
          <w:tcPr>
            <w:tcW w:w="2122" w:type="dxa"/>
          </w:tcPr>
          <w:p w14:paraId="2FC57EF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3134" w:type="dxa"/>
          </w:tcPr>
          <w:p w14:paraId="46A4DA1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 w:hint="eastAsia"/>
              </w:rPr>
              <w:t>C</w:t>
            </w:r>
            <w:r w:rsidRPr="004D75AE">
              <w:rPr>
                <w:rFonts w:cs="Times New Roman"/>
              </w:rPr>
              <w:t>reatinine</w:t>
            </w:r>
          </w:p>
        </w:tc>
        <w:tc>
          <w:tcPr>
            <w:tcW w:w="4329" w:type="dxa"/>
          </w:tcPr>
          <w:p w14:paraId="3D508B9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2CAA11F3" w14:textId="77777777" w:rsidTr="00702A8A">
        <w:tc>
          <w:tcPr>
            <w:tcW w:w="2122" w:type="dxa"/>
          </w:tcPr>
          <w:p w14:paraId="6188911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3134" w:type="dxa"/>
          </w:tcPr>
          <w:p w14:paraId="4F320B8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/>
              </w:rPr>
              <w:t>Arterial lactate</w:t>
            </w:r>
          </w:p>
        </w:tc>
        <w:tc>
          <w:tcPr>
            <w:tcW w:w="4329" w:type="dxa"/>
          </w:tcPr>
          <w:p w14:paraId="4DF0DF0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14231432" w14:textId="77777777" w:rsidTr="00702A8A">
        <w:tc>
          <w:tcPr>
            <w:tcW w:w="2122" w:type="dxa"/>
            <w:tcBorders>
              <w:bottom w:val="single" w:sz="4" w:space="0" w:color="auto"/>
            </w:tcBorders>
          </w:tcPr>
          <w:p w14:paraId="137F666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1988501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 w:hint="eastAsia"/>
              </w:rPr>
              <w:t>T</w:t>
            </w:r>
            <w:r w:rsidRPr="004D75AE">
              <w:rPr>
                <w:rFonts w:cs="Times New Roman"/>
              </w:rPr>
              <w:t>IMI flow grade after PCI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1D745D1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b/>
              </w:rPr>
            </w:pPr>
            <w:r w:rsidRPr="004D75AE">
              <w:rPr>
                <w:rFonts w:cs="Times New Roman"/>
              </w:rPr>
              <w:t xml:space="preserve">Not included </w:t>
            </w:r>
          </w:p>
        </w:tc>
      </w:tr>
      <w:tr w:rsidR="009F72C1" w:rsidRPr="004D75AE" w14:paraId="368B1EDD" w14:textId="77777777" w:rsidTr="00702A8A">
        <w:tc>
          <w:tcPr>
            <w:tcW w:w="2122" w:type="dxa"/>
            <w:tcBorders>
              <w:top w:val="single" w:sz="4" w:space="0" w:color="auto"/>
            </w:tcBorders>
          </w:tcPr>
          <w:p w14:paraId="20CA6C6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proofErr w:type="spellStart"/>
            <w:r w:rsidRPr="004D75AE">
              <w:rPr>
                <w:rFonts w:cs="Times New Roman" w:hint="eastAsia"/>
              </w:rPr>
              <w:t>C</w:t>
            </w:r>
            <w:r w:rsidRPr="004D75AE">
              <w:rPr>
                <w:rFonts w:cs="Times New Roman"/>
              </w:rPr>
              <w:t>ardShock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</w:tcBorders>
          </w:tcPr>
          <w:p w14:paraId="10AE562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Ag</w:t>
            </w:r>
            <w:r w:rsidRPr="004D75AE">
              <w:rPr>
                <w:rFonts w:cs="Times New Roman"/>
              </w:rPr>
              <w:t>e</w:t>
            </w:r>
          </w:p>
        </w:tc>
        <w:tc>
          <w:tcPr>
            <w:tcW w:w="4329" w:type="dxa"/>
            <w:tcBorders>
              <w:top w:val="single" w:sz="4" w:space="0" w:color="auto"/>
            </w:tcBorders>
          </w:tcPr>
          <w:p w14:paraId="0B2C1E1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0A515A52" w14:textId="77777777" w:rsidTr="00702A8A">
        <w:tc>
          <w:tcPr>
            <w:tcW w:w="2122" w:type="dxa"/>
          </w:tcPr>
          <w:p w14:paraId="122BDB3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3785285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C</w:t>
            </w:r>
            <w:r w:rsidRPr="004D75AE">
              <w:rPr>
                <w:rFonts w:cs="Times New Roman"/>
              </w:rPr>
              <w:t>onfusion at presentation</w:t>
            </w:r>
          </w:p>
        </w:tc>
        <w:tc>
          <w:tcPr>
            <w:tcW w:w="4329" w:type="dxa"/>
          </w:tcPr>
          <w:p w14:paraId="0A69724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Unconscious patient</w:t>
            </w:r>
          </w:p>
        </w:tc>
      </w:tr>
      <w:tr w:rsidR="009F72C1" w:rsidRPr="004D75AE" w14:paraId="21B4CDFA" w14:textId="77777777" w:rsidTr="00702A8A">
        <w:tc>
          <w:tcPr>
            <w:tcW w:w="2122" w:type="dxa"/>
          </w:tcPr>
          <w:p w14:paraId="6E02B76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7943E74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P</w:t>
            </w:r>
            <w:r w:rsidRPr="004D75AE">
              <w:rPr>
                <w:rFonts w:cs="Times New Roman"/>
              </w:rPr>
              <w:t>revious MI or CABG</w:t>
            </w:r>
          </w:p>
        </w:tc>
        <w:tc>
          <w:tcPr>
            <w:tcW w:w="4329" w:type="dxa"/>
          </w:tcPr>
          <w:p w14:paraId="3D0C736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7EF244E0" w14:textId="77777777" w:rsidTr="00702A8A">
        <w:tc>
          <w:tcPr>
            <w:tcW w:w="2122" w:type="dxa"/>
          </w:tcPr>
          <w:p w14:paraId="304EBE3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57E35DD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A</w:t>
            </w:r>
            <w:r w:rsidRPr="004D75AE">
              <w:rPr>
                <w:rFonts w:cs="Times New Roman"/>
              </w:rPr>
              <w:t>CS etiology</w:t>
            </w:r>
          </w:p>
        </w:tc>
        <w:tc>
          <w:tcPr>
            <w:tcW w:w="4329" w:type="dxa"/>
          </w:tcPr>
          <w:p w14:paraId="48945E4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065059D2" w14:textId="77777777" w:rsidTr="00702A8A">
        <w:tc>
          <w:tcPr>
            <w:tcW w:w="2122" w:type="dxa"/>
          </w:tcPr>
          <w:p w14:paraId="2F49393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2724C5E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L</w:t>
            </w:r>
            <w:r w:rsidRPr="004D75AE">
              <w:rPr>
                <w:rFonts w:cs="Times New Roman"/>
              </w:rPr>
              <w:t>VEF</w:t>
            </w:r>
          </w:p>
        </w:tc>
        <w:tc>
          <w:tcPr>
            <w:tcW w:w="4329" w:type="dxa"/>
          </w:tcPr>
          <w:p w14:paraId="48C9F1D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6A7A9A8B" w14:textId="77777777" w:rsidTr="00702A8A">
        <w:tc>
          <w:tcPr>
            <w:tcW w:w="2122" w:type="dxa"/>
          </w:tcPr>
          <w:p w14:paraId="5392790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</w:tcPr>
          <w:p w14:paraId="353A9E3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B</w:t>
            </w:r>
            <w:r w:rsidRPr="004D75AE">
              <w:rPr>
                <w:rFonts w:cs="Times New Roman"/>
              </w:rPr>
              <w:t>lood lactate</w:t>
            </w:r>
          </w:p>
        </w:tc>
        <w:tc>
          <w:tcPr>
            <w:tcW w:w="4329" w:type="dxa"/>
          </w:tcPr>
          <w:p w14:paraId="24D3C00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7D658659" w14:textId="77777777" w:rsidTr="00702A8A">
        <w:tc>
          <w:tcPr>
            <w:tcW w:w="2122" w:type="dxa"/>
            <w:tcBorders>
              <w:bottom w:val="single" w:sz="4" w:space="0" w:color="auto"/>
            </w:tcBorders>
          </w:tcPr>
          <w:p w14:paraId="7C87A3B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7AA02F1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proofErr w:type="spellStart"/>
            <w:r w:rsidRPr="004D75AE">
              <w:rPr>
                <w:rFonts w:cs="Times New Roman" w:hint="eastAsia"/>
              </w:rPr>
              <w:t>e</w:t>
            </w:r>
            <w:r w:rsidRPr="004D75AE">
              <w:rPr>
                <w:rFonts w:cs="Times New Roman"/>
              </w:rPr>
              <w:t>GFR</w:t>
            </w:r>
            <w:proofErr w:type="spellEnd"/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6E3B8B8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</w:tbl>
    <w:p w14:paraId="0C35A7F6" w14:textId="6053A30E" w:rsidR="00702A8A" w:rsidRPr="004D75AE" w:rsidRDefault="00702A8A" w:rsidP="00702A8A">
      <w:pPr>
        <w:adjustRightInd w:val="0"/>
        <w:snapToGrid w:val="0"/>
        <w:spacing w:before="0" w:after="0"/>
        <w:rPr>
          <w:rFonts w:cs="Times New Roman"/>
        </w:rPr>
      </w:pPr>
      <w:r w:rsidRPr="004D75AE">
        <w:rPr>
          <w:rFonts w:hint="eastAsia"/>
          <w:lang w:eastAsia="zh-TW"/>
        </w:rPr>
        <w:t>*</w:t>
      </w:r>
      <w:r w:rsidRPr="004D75AE">
        <w:t>Variable substitutes were selected from the closest equivalent variable available from this study’s dataset.</w:t>
      </w:r>
    </w:p>
    <w:p w14:paraId="3ADFF45A" w14:textId="13F90A4D" w:rsidR="009F72C1" w:rsidRPr="004D75AE" w:rsidRDefault="009F72C1" w:rsidP="009F72C1">
      <w:pPr>
        <w:adjustRightInd w:val="0"/>
        <w:snapToGrid w:val="0"/>
        <w:spacing w:before="0" w:after="0"/>
      </w:pPr>
      <w:r w:rsidRPr="004D75AE">
        <w:rPr>
          <w:rFonts w:cs="Times New Roman"/>
        </w:rPr>
        <w:t xml:space="preserve">ACS, acute coronary syndrome; </w:t>
      </w:r>
      <w:r w:rsidRPr="004D75AE">
        <w:rPr>
          <w:rFonts w:cs="Times New Roman" w:hint="eastAsia"/>
        </w:rPr>
        <w:t>C</w:t>
      </w:r>
      <w:r w:rsidRPr="004D75AE">
        <w:rPr>
          <w:rFonts w:cs="Times New Roman"/>
        </w:rPr>
        <w:t xml:space="preserve">ABG, coronary artery bypass grafting; </w:t>
      </w:r>
      <w:proofErr w:type="spellStart"/>
      <w:r w:rsidR="001F3264" w:rsidRPr="004D75AE">
        <w:rPr>
          <w:rFonts w:cs="Times New Roman"/>
        </w:rPr>
        <w:t>eGFR</w:t>
      </w:r>
      <w:proofErr w:type="spellEnd"/>
      <w:r w:rsidR="001F3264" w:rsidRPr="004D75AE">
        <w:rPr>
          <w:rFonts w:cs="Times New Roman"/>
        </w:rPr>
        <w:t xml:space="preserve">, estimated glomerular filtration rate; </w:t>
      </w:r>
      <w:r w:rsidRPr="004D75AE">
        <w:rPr>
          <w:rFonts w:eastAsia="Times New Roman" w:cs="Times New Roman"/>
        </w:rPr>
        <w:t>LVEF, left ventricular ejection fraction</w:t>
      </w:r>
      <w:r w:rsidRPr="004D75AE">
        <w:rPr>
          <w:rFonts w:cs="Times New Roman" w:hint="eastAsia"/>
        </w:rPr>
        <w:t>;</w:t>
      </w:r>
      <w:r w:rsidRPr="004D75AE">
        <w:rPr>
          <w:rFonts w:cs="Times New Roman"/>
        </w:rPr>
        <w:t xml:space="preserve"> MI, myocardial infarction; PCI, percutaneous coronary intervention; SBP, systolic blood pressure; TIMI, Thrombolysis in Myocardial Infarction.</w:t>
      </w:r>
    </w:p>
    <w:p w14:paraId="3CADE974" w14:textId="77777777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</w:rPr>
      </w:pPr>
      <w:r w:rsidRPr="004D75AE">
        <w:rPr>
          <w:rFonts w:cs="Times New Roman"/>
        </w:rPr>
        <w:br w:type="page"/>
      </w:r>
    </w:p>
    <w:p w14:paraId="59CB08D6" w14:textId="4E3D224F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  <w:b/>
        </w:rPr>
      </w:pPr>
      <w:r w:rsidRPr="004D75AE">
        <w:rPr>
          <w:rFonts w:cs="Times New Roman"/>
          <w:b/>
        </w:rPr>
        <w:lastRenderedPageBreak/>
        <w:t xml:space="preserve">Supplementary Table </w:t>
      </w:r>
      <w:r w:rsidR="00A27245" w:rsidRPr="004D75AE">
        <w:rPr>
          <w:rFonts w:cs="Times New Roman"/>
          <w:b/>
        </w:rPr>
        <w:t>2</w:t>
      </w:r>
      <w:r w:rsidRPr="004D75AE">
        <w:rPr>
          <w:rFonts w:cs="Times New Roman"/>
          <w:b/>
        </w:rPr>
        <w:t>. Comparison of survival time between groups</w:t>
      </w:r>
    </w:p>
    <w:tbl>
      <w:tblPr>
        <w:tblW w:w="8959" w:type="dxa"/>
        <w:tblInd w:w="126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1822"/>
        <w:gridCol w:w="1683"/>
        <w:gridCol w:w="1822"/>
        <w:gridCol w:w="1688"/>
      </w:tblGrid>
      <w:tr w:rsidR="009F72C1" w:rsidRPr="004D75AE" w14:paraId="44D452CD" w14:textId="77777777" w:rsidTr="00A27245">
        <w:trPr>
          <w:trHeight w:val="632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5D1EE483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Time after ER arrival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16F94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Derivation cohort</w:t>
            </w:r>
          </w:p>
          <w:p w14:paraId="54922927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N = 243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19357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Validation cohort</w:t>
            </w:r>
          </w:p>
          <w:p w14:paraId="1CBE1FBD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N = 68</w:t>
            </w:r>
          </w:p>
        </w:tc>
      </w:tr>
      <w:tr w:rsidR="009F72C1" w:rsidRPr="004D75AE" w14:paraId="46DE1D23" w14:textId="77777777" w:rsidTr="00A27245">
        <w:trPr>
          <w:trHeight w:val="632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07964B5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307"/>
              <w:rPr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92C3F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Survived</w:t>
            </w:r>
          </w:p>
          <w:p w14:paraId="1CC36B71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n (%)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D9FF3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Non-survived</w:t>
            </w:r>
          </w:p>
          <w:p w14:paraId="0FEDF536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n (%)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DA7B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Survived</w:t>
            </w:r>
          </w:p>
          <w:p w14:paraId="049E6D90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n (%)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DEEB9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Non-survived</w:t>
            </w:r>
          </w:p>
          <w:p w14:paraId="791C1EFF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n (%)</w:t>
            </w:r>
          </w:p>
        </w:tc>
      </w:tr>
      <w:tr w:rsidR="00AD7B0D" w:rsidRPr="004D75AE" w14:paraId="135ECCC5" w14:textId="77777777" w:rsidTr="00A27245">
        <w:trPr>
          <w:trHeight w:val="507"/>
        </w:trPr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14:paraId="5210B556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48 hours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609741D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296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240 (98.8)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13B86E81" w14:textId="6CB205A2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3 (1.2)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57408E8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66 (97.1)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6F866F0A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2 (2.9)</w:t>
            </w:r>
          </w:p>
        </w:tc>
      </w:tr>
      <w:tr w:rsidR="00AD7B0D" w:rsidRPr="004D75AE" w14:paraId="4BCD3872" w14:textId="77777777" w:rsidTr="00A27245">
        <w:trPr>
          <w:trHeight w:val="507"/>
        </w:trPr>
        <w:tc>
          <w:tcPr>
            <w:tcW w:w="1944" w:type="dxa"/>
            <w:vAlign w:val="center"/>
          </w:tcPr>
          <w:p w14:paraId="36E2580A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72 hours</w:t>
            </w:r>
          </w:p>
        </w:tc>
        <w:tc>
          <w:tcPr>
            <w:tcW w:w="1822" w:type="dxa"/>
            <w:vAlign w:val="center"/>
          </w:tcPr>
          <w:p w14:paraId="2458537F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296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239 (98.4)</w:t>
            </w:r>
          </w:p>
        </w:tc>
        <w:tc>
          <w:tcPr>
            <w:tcW w:w="1683" w:type="dxa"/>
            <w:vAlign w:val="center"/>
          </w:tcPr>
          <w:p w14:paraId="6B87FD22" w14:textId="7F757005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4 (1.6)</w:t>
            </w:r>
          </w:p>
        </w:tc>
        <w:tc>
          <w:tcPr>
            <w:tcW w:w="1822" w:type="dxa"/>
            <w:vAlign w:val="center"/>
          </w:tcPr>
          <w:p w14:paraId="5B0704ED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66 (97.1)</w:t>
            </w:r>
          </w:p>
        </w:tc>
        <w:tc>
          <w:tcPr>
            <w:tcW w:w="1688" w:type="dxa"/>
            <w:vAlign w:val="center"/>
          </w:tcPr>
          <w:p w14:paraId="3754D070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2 (2.9)</w:t>
            </w:r>
          </w:p>
        </w:tc>
      </w:tr>
      <w:tr w:rsidR="00AD7B0D" w:rsidRPr="004D75AE" w14:paraId="1B74F3A2" w14:textId="77777777" w:rsidTr="00A27245">
        <w:trPr>
          <w:trHeight w:val="507"/>
        </w:trPr>
        <w:tc>
          <w:tcPr>
            <w:tcW w:w="1944" w:type="dxa"/>
            <w:tcBorders>
              <w:bottom w:val="nil"/>
            </w:tcBorders>
            <w:vAlign w:val="center"/>
          </w:tcPr>
          <w:p w14:paraId="1AFB4C80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7 days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14:paraId="35B2913C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296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226 (93.0)</w:t>
            </w: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14:paraId="1E7A7042" w14:textId="512C1915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17 (7.0)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14:paraId="5A315610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65 (95.6)</w:t>
            </w:r>
          </w:p>
        </w:tc>
        <w:tc>
          <w:tcPr>
            <w:tcW w:w="1688" w:type="dxa"/>
            <w:tcBorders>
              <w:bottom w:val="nil"/>
            </w:tcBorders>
            <w:vAlign w:val="center"/>
          </w:tcPr>
          <w:p w14:paraId="31BF8598" w14:textId="77777777" w:rsidR="00AD7B0D" w:rsidRPr="004D75AE" w:rsidRDefault="00AD7B0D" w:rsidP="00AD7B0D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3 (4.4)</w:t>
            </w:r>
          </w:p>
        </w:tc>
      </w:tr>
      <w:tr w:rsidR="009F72C1" w:rsidRPr="004D75AE" w14:paraId="34023F5C" w14:textId="77777777" w:rsidTr="00A27245">
        <w:trPr>
          <w:trHeight w:val="507"/>
        </w:trPr>
        <w:tc>
          <w:tcPr>
            <w:tcW w:w="1944" w:type="dxa"/>
            <w:tcBorders>
              <w:top w:val="nil"/>
              <w:bottom w:val="single" w:sz="4" w:space="0" w:color="auto"/>
            </w:tcBorders>
            <w:vAlign w:val="center"/>
          </w:tcPr>
          <w:p w14:paraId="70B35867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4D75AE">
              <w:rPr>
                <w:rFonts w:eastAsiaTheme="minorEastAsia"/>
                <w:sz w:val="24"/>
                <w:szCs w:val="24"/>
                <w:lang w:eastAsia="zh-TW"/>
              </w:rPr>
              <w:t>Upon discharge</w:t>
            </w:r>
          </w:p>
        </w:tc>
        <w:tc>
          <w:tcPr>
            <w:tcW w:w="1822" w:type="dxa"/>
            <w:tcBorders>
              <w:top w:val="nil"/>
              <w:bottom w:val="single" w:sz="4" w:space="0" w:color="auto"/>
            </w:tcBorders>
            <w:vAlign w:val="center"/>
          </w:tcPr>
          <w:p w14:paraId="2B535D5B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296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180 (74.1)</w:t>
            </w: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  <w:vAlign w:val="center"/>
          </w:tcPr>
          <w:p w14:paraId="3831424D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63 (25.9)</w:t>
            </w:r>
          </w:p>
        </w:tc>
        <w:tc>
          <w:tcPr>
            <w:tcW w:w="1822" w:type="dxa"/>
            <w:tcBorders>
              <w:top w:val="nil"/>
              <w:bottom w:val="single" w:sz="4" w:space="0" w:color="auto"/>
            </w:tcBorders>
            <w:vAlign w:val="center"/>
          </w:tcPr>
          <w:p w14:paraId="54C9606F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52 (76.5)</w:t>
            </w:r>
          </w:p>
        </w:tc>
        <w:tc>
          <w:tcPr>
            <w:tcW w:w="1688" w:type="dxa"/>
            <w:tcBorders>
              <w:top w:val="nil"/>
              <w:bottom w:val="single" w:sz="4" w:space="0" w:color="auto"/>
            </w:tcBorders>
            <w:vAlign w:val="center"/>
          </w:tcPr>
          <w:p w14:paraId="4C8561B5" w14:textId="77777777" w:rsidR="009F72C1" w:rsidRPr="004D75AE" w:rsidRDefault="009F72C1" w:rsidP="009F72C1">
            <w:pPr>
              <w:pStyle w:val="TableParagraph"/>
              <w:adjustRightInd w:val="0"/>
              <w:snapToGrid w:val="0"/>
              <w:spacing w:before="0"/>
              <w:ind w:left="171"/>
              <w:jc w:val="center"/>
              <w:rPr>
                <w:sz w:val="24"/>
                <w:szCs w:val="24"/>
              </w:rPr>
            </w:pPr>
            <w:r w:rsidRPr="004D75AE">
              <w:rPr>
                <w:sz w:val="24"/>
                <w:szCs w:val="24"/>
              </w:rPr>
              <w:t>16 (23.53)</w:t>
            </w:r>
          </w:p>
        </w:tc>
      </w:tr>
    </w:tbl>
    <w:p w14:paraId="42035EC9" w14:textId="77777777" w:rsidR="00AD7B0D" w:rsidRPr="004D75AE" w:rsidRDefault="00AD7B0D" w:rsidP="00AD7B0D">
      <w:pPr>
        <w:adjustRightInd w:val="0"/>
        <w:snapToGrid w:val="0"/>
        <w:spacing w:before="0" w:after="0"/>
        <w:rPr>
          <w:rFonts w:cs="Times New Roman"/>
        </w:rPr>
      </w:pPr>
      <w:r w:rsidRPr="004D75AE">
        <w:rPr>
          <w:rFonts w:cs="Times New Roman"/>
        </w:rPr>
        <w:t xml:space="preserve">Data presented as no. (%) </w:t>
      </w:r>
    </w:p>
    <w:p w14:paraId="6776076C" w14:textId="0DD4FC7D" w:rsidR="009F72C1" w:rsidRPr="004D75AE" w:rsidRDefault="00AD7B0D" w:rsidP="009F72C1">
      <w:pPr>
        <w:adjustRightInd w:val="0"/>
        <w:snapToGrid w:val="0"/>
        <w:spacing w:before="0" w:after="0"/>
        <w:rPr>
          <w:rFonts w:cs="Times New Roman"/>
        </w:rPr>
      </w:pPr>
      <w:r w:rsidRPr="004D75AE">
        <w:rPr>
          <w:rFonts w:cs="Times New Roman"/>
        </w:rPr>
        <w:t>ER, emergency room.</w:t>
      </w:r>
      <w:r w:rsidR="009F72C1" w:rsidRPr="004D75AE">
        <w:rPr>
          <w:rFonts w:eastAsia="Times New Roman" w:cs="Times New Roman"/>
        </w:rPr>
        <w:br w:type="page"/>
      </w:r>
    </w:p>
    <w:p w14:paraId="3607B44B" w14:textId="50ACF4EF" w:rsidR="009F72C1" w:rsidRPr="004D75AE" w:rsidRDefault="009F72C1" w:rsidP="009F72C1">
      <w:pPr>
        <w:adjustRightInd w:val="0"/>
        <w:snapToGrid w:val="0"/>
        <w:spacing w:before="0" w:after="0"/>
        <w:rPr>
          <w:rFonts w:eastAsia="Times New Roman" w:cs="Times New Roman"/>
          <w:b/>
        </w:rPr>
      </w:pPr>
      <w:r w:rsidRPr="004D75AE">
        <w:rPr>
          <w:rFonts w:eastAsia="Times New Roman" w:cs="Times New Roman"/>
          <w:b/>
        </w:rPr>
        <w:lastRenderedPageBreak/>
        <w:t xml:space="preserve">Supplementary </w:t>
      </w:r>
      <w:bookmarkStart w:id="0" w:name="_GoBack"/>
      <w:bookmarkEnd w:id="0"/>
      <w:r w:rsidRPr="004D75AE">
        <w:rPr>
          <w:rFonts w:eastAsia="Times New Roman" w:cs="Times New Roman"/>
          <w:b/>
        </w:rPr>
        <w:t xml:space="preserve">Table </w:t>
      </w:r>
      <w:r w:rsidR="00A27245" w:rsidRPr="004D75AE">
        <w:rPr>
          <w:rFonts w:eastAsia="Times New Roman" w:cs="Times New Roman"/>
          <w:b/>
        </w:rPr>
        <w:t>3</w:t>
      </w:r>
      <w:r w:rsidRPr="004D75AE">
        <w:rPr>
          <w:rFonts w:eastAsia="Times New Roman" w:cs="Times New Roman"/>
          <w:b/>
        </w:rPr>
        <w:t>. Baseline characteristics and examination results between groups in the validation cohort</w:t>
      </w:r>
    </w:p>
    <w:tbl>
      <w:tblPr>
        <w:tblW w:w="9350" w:type="dxa"/>
        <w:tblInd w:w="-142" w:type="dxa"/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2370"/>
        <w:gridCol w:w="2025"/>
        <w:gridCol w:w="1842"/>
        <w:gridCol w:w="2268"/>
        <w:gridCol w:w="845"/>
      </w:tblGrid>
      <w:tr w:rsidR="009F72C1" w:rsidRPr="004D75AE" w14:paraId="3F219807" w14:textId="77777777" w:rsidTr="00A27245">
        <w:trPr>
          <w:trHeight w:val="330"/>
        </w:trPr>
        <w:tc>
          <w:tcPr>
            <w:tcW w:w="237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14:paraId="609C76F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cs="Times New Roman"/>
              </w:rPr>
              <w:t xml:space="preserve">　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D8CB3C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cs="Times New Roman"/>
              </w:rPr>
              <w:t xml:space="preserve">　</w:t>
            </w:r>
          </w:p>
        </w:tc>
        <w:tc>
          <w:tcPr>
            <w:tcW w:w="4955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9D9AF2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Survival to Discharge</w:t>
            </w:r>
          </w:p>
        </w:tc>
      </w:tr>
      <w:tr w:rsidR="009F72C1" w:rsidRPr="004D75AE" w14:paraId="05FE1095" w14:textId="77777777" w:rsidTr="00A27245">
        <w:trPr>
          <w:trHeight w:val="315"/>
        </w:trPr>
        <w:tc>
          <w:tcPr>
            <w:tcW w:w="237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D2201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V</w:t>
            </w:r>
            <w:r w:rsidRPr="004D75AE">
              <w:rPr>
                <w:rFonts w:cs="Times New Roman"/>
              </w:rPr>
              <w:t>ariables</w:t>
            </w:r>
          </w:p>
        </w:tc>
        <w:tc>
          <w:tcPr>
            <w:tcW w:w="202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26844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Total Patients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AE454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Survived</w:t>
            </w:r>
          </w:p>
        </w:tc>
        <w:tc>
          <w:tcPr>
            <w:tcW w:w="2268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A5982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Non-survived</w:t>
            </w:r>
          </w:p>
        </w:tc>
        <w:tc>
          <w:tcPr>
            <w:tcW w:w="84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CBE43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right="-30"/>
              <w:rPr>
                <w:rFonts w:eastAsia="Times New Roman" w:cs="Times New Roman"/>
                <w:i/>
              </w:rPr>
            </w:pPr>
            <w:r w:rsidRPr="004D75AE">
              <w:rPr>
                <w:rFonts w:eastAsia="Times New Roman" w:cs="Times New Roman"/>
                <w:i/>
              </w:rPr>
              <w:t>p-value</w:t>
            </w:r>
          </w:p>
        </w:tc>
      </w:tr>
      <w:tr w:rsidR="009F72C1" w:rsidRPr="004D75AE" w14:paraId="1DAA9981" w14:textId="77777777" w:rsidTr="00A27245">
        <w:trPr>
          <w:trHeight w:val="315"/>
        </w:trPr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CEE35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cs="Times New Roman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F589A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N = 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AF51D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N = 52 (76.47)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E3947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N = 16 (23.53)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C2D67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cs="Times New Roman"/>
              </w:rPr>
              <w:t xml:space="preserve">　</w:t>
            </w:r>
          </w:p>
        </w:tc>
      </w:tr>
      <w:tr w:rsidR="009F72C1" w:rsidRPr="004D75AE" w14:paraId="27816A99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FB08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Age (years)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3C32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72 (64-80)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3353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72 (64-78)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C7A3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75 (70-82)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9223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="-90" w:right="-75" w:firstLineChars="37" w:firstLine="89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0.050</w:t>
            </w:r>
          </w:p>
        </w:tc>
      </w:tr>
      <w:tr w:rsidR="009F72C1" w:rsidRPr="004D75AE" w14:paraId="7E63E724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33D4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Sex (male)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DAD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42 (61.76)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2EC6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32 (61.54)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349D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10 (62.50)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56A1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0.945</w:t>
            </w:r>
          </w:p>
        </w:tc>
      </w:tr>
      <w:tr w:rsidR="009F72C1" w:rsidRPr="004D75AE" w14:paraId="045219CD" w14:textId="77777777" w:rsidTr="00A27245">
        <w:trPr>
          <w:trHeight w:val="300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5AC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cs="Times New Roman" w:hint="eastAsia"/>
              </w:rPr>
              <w:t>C</w:t>
            </w:r>
            <w:r w:rsidRPr="004D75AE">
              <w:rPr>
                <w:rFonts w:cs="Times New Roman"/>
              </w:rPr>
              <w:t xml:space="preserve">linical </w:t>
            </w:r>
            <w:r w:rsidRPr="004D75AE">
              <w:rPr>
                <w:rFonts w:cs="Times New Roman" w:hint="eastAsia"/>
              </w:rPr>
              <w:t>f</w:t>
            </w:r>
            <w:r w:rsidRPr="004D75AE">
              <w:rPr>
                <w:rFonts w:cs="Times New Roman"/>
              </w:rPr>
              <w:t>indings at triage</w:t>
            </w:r>
          </w:p>
        </w:tc>
      </w:tr>
      <w:tr w:rsidR="009F72C1" w:rsidRPr="004D75AE" w14:paraId="0A174CB4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485F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 xml:space="preserve"> </w:t>
            </w:r>
            <w:r w:rsidRPr="004D75AE">
              <w:rPr>
                <w:rFonts w:cs="Times New Roman"/>
              </w:rPr>
              <w:t xml:space="preserve"> SBP (mmHg)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4534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9</w:t>
            </w:r>
            <w:r w:rsidRPr="004D75AE">
              <w:rPr>
                <w:rFonts w:cs="Times New Roman"/>
              </w:rPr>
              <w:t>4 (79-113)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BE95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9</w:t>
            </w:r>
            <w:r w:rsidRPr="004D75AE">
              <w:rPr>
                <w:rFonts w:cs="Times New Roman"/>
              </w:rPr>
              <w:t>3 (81-106)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95E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1</w:t>
            </w:r>
            <w:r w:rsidRPr="004D75AE">
              <w:rPr>
                <w:rFonts w:cs="Times New Roman"/>
              </w:rPr>
              <w:t>00 (76-124)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BB7D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0</w:t>
            </w:r>
            <w:r w:rsidRPr="004D75AE">
              <w:rPr>
                <w:rFonts w:cs="Times New Roman"/>
              </w:rPr>
              <w:t>.626</w:t>
            </w:r>
          </w:p>
        </w:tc>
      </w:tr>
      <w:tr w:rsidR="009F72C1" w:rsidRPr="004D75AE" w14:paraId="4C0757BA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65A5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 xml:space="preserve"> </w:t>
            </w:r>
            <w:r w:rsidRPr="004D75AE">
              <w:rPr>
                <w:rFonts w:cs="Times New Roman"/>
              </w:rPr>
              <w:t xml:space="preserve"> Unconscious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4003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1</w:t>
            </w:r>
            <w:r w:rsidRPr="004D75AE">
              <w:rPr>
                <w:rFonts w:cs="Times New Roman"/>
              </w:rPr>
              <w:t>1 (16.18)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809B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6</w:t>
            </w:r>
            <w:r w:rsidRPr="004D75AE">
              <w:rPr>
                <w:rFonts w:cs="Times New Roman"/>
              </w:rPr>
              <w:t xml:space="preserve"> (11.54)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9172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5</w:t>
            </w:r>
            <w:r w:rsidRPr="004D75AE">
              <w:rPr>
                <w:rFonts w:cs="Times New Roman"/>
              </w:rPr>
              <w:t xml:space="preserve"> (31.25)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22E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0</w:t>
            </w:r>
            <w:r w:rsidRPr="004D75AE">
              <w:rPr>
                <w:rFonts w:cs="Times New Roman"/>
              </w:rPr>
              <w:t>.061</w:t>
            </w:r>
          </w:p>
        </w:tc>
      </w:tr>
      <w:tr w:rsidR="009F72C1" w:rsidRPr="004D75AE" w14:paraId="0D950CB4" w14:textId="77777777" w:rsidTr="00A27245">
        <w:trPr>
          <w:trHeight w:val="300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D69E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cs="Times New Roman" w:hint="eastAsia"/>
              </w:rPr>
              <w:t>C</w:t>
            </w:r>
            <w:r w:rsidRPr="004D75AE">
              <w:rPr>
                <w:rFonts w:cs="Times New Roman"/>
              </w:rPr>
              <w:t>omorbidities</w:t>
            </w:r>
          </w:p>
        </w:tc>
      </w:tr>
      <w:tr w:rsidR="009F72C1" w:rsidRPr="004D75AE" w14:paraId="12975DF4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50EF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Chars="100" w:firstLine="24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Smoking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AD3D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 (2.94)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EA5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 (3.85)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3385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602D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0.426</w:t>
            </w:r>
          </w:p>
        </w:tc>
      </w:tr>
      <w:tr w:rsidR="009F72C1" w:rsidRPr="004D75AE" w14:paraId="5416B022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C126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Chars="100" w:firstLine="24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Alcoholism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C206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 (1.47)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35DA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 (1.92)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D2B9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DD16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0.576</w:t>
            </w:r>
          </w:p>
        </w:tc>
      </w:tr>
      <w:tr w:rsidR="009F72C1" w:rsidRPr="004D75AE" w14:paraId="33C5A31F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FFB3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Hypertension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5584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44 (64.71)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879D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34 (65.38)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6924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10 (62.50)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6ACF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0.833</w:t>
            </w:r>
          </w:p>
        </w:tc>
      </w:tr>
      <w:tr w:rsidR="009F72C1" w:rsidRPr="004D75AE" w14:paraId="0D72AF67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FA29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Diabetes mellitus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E76B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29 (42.65)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E2DB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22 (42.31)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A56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 (43.75)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1B3F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0.919</w:t>
            </w:r>
          </w:p>
        </w:tc>
      </w:tr>
      <w:tr w:rsidR="009F72C1" w:rsidRPr="004D75AE" w14:paraId="08354683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FC8A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 xml:space="preserve">Dyslipidemia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0838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25 (36.76)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2D75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20 (38.46)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C03D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5 (31.25)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C23C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0.601</w:t>
            </w:r>
          </w:p>
        </w:tc>
      </w:tr>
      <w:tr w:rsidR="009F72C1" w:rsidRPr="004D75AE" w14:paraId="11AEDE79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ED27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Old MI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5A3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 (1.47)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777B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7DCB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 (6.25)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AB49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0.069</w:t>
            </w:r>
          </w:p>
        </w:tc>
      </w:tr>
      <w:tr w:rsidR="009F72C1" w:rsidRPr="004D75AE" w14:paraId="1AABC793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84B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 xml:space="preserve">  CAD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592F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23 (33.82)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3B49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16 (30.77)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4F5A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 (43.75)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0E2D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0.337</w:t>
            </w:r>
          </w:p>
        </w:tc>
      </w:tr>
      <w:tr w:rsidR="009F72C1" w:rsidRPr="004D75AE" w14:paraId="1E53F3B0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407F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Heart failure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2D6C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17 (25.00)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6DC7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13 (25.00)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E6A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 (25.00)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230B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1.000</w:t>
            </w:r>
          </w:p>
        </w:tc>
      </w:tr>
      <w:tr w:rsidR="009F72C1" w:rsidRPr="004D75AE" w14:paraId="0AEBBAA5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86FB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Arrhythmia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1C17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17 (25.00)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7450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12 (23.08)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0C94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5 (32.25)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5B20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0.509</w:t>
            </w:r>
          </w:p>
        </w:tc>
      </w:tr>
      <w:tr w:rsidR="009F72C1" w:rsidRPr="004D75AE" w14:paraId="66C7F8CC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4085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Cardiomyopathy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08E2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8 (11.76)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4FD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5 (9.62)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718D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3 (18.75)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FFF0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0.321</w:t>
            </w:r>
          </w:p>
        </w:tc>
      </w:tr>
      <w:tr w:rsidR="009F72C1" w:rsidRPr="004D75AE" w14:paraId="4B2DBE4E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0A61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Renal disease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197F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17 (25.00)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02BD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11 (21.15)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D83C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6 (37.50)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66D5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0.187</w:t>
            </w:r>
          </w:p>
        </w:tc>
      </w:tr>
      <w:tr w:rsidR="009F72C1" w:rsidRPr="004D75AE" w14:paraId="13DA9726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AA16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ESRD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F024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5 (7.35)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71C1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 (7.69)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C431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 (6.25)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79D4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0.847</w:t>
            </w:r>
          </w:p>
        </w:tc>
      </w:tr>
      <w:tr w:rsidR="009F72C1" w:rsidRPr="004D75AE" w14:paraId="016CBFD5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5502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CVA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1406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14 (20.59)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0DE3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10 (19.23)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A27F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 (25.00)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D1BB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0.618</w:t>
            </w:r>
          </w:p>
        </w:tc>
      </w:tr>
      <w:tr w:rsidR="009F72C1" w:rsidRPr="004D75AE" w14:paraId="41863C0B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7F00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Malignancy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FDF0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6 (8.82)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B4A4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5 (9.62)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E98D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 (6.25)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9FEF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0.678</w:t>
            </w:r>
          </w:p>
        </w:tc>
      </w:tr>
      <w:tr w:rsidR="009F72C1" w:rsidRPr="004D75AE" w14:paraId="6436225B" w14:textId="77777777" w:rsidTr="00A27245">
        <w:trPr>
          <w:trHeight w:val="300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A395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Laboratory exams</w:t>
            </w:r>
          </w:p>
        </w:tc>
      </w:tr>
      <w:tr w:rsidR="009F72C1" w:rsidRPr="004D75AE" w14:paraId="247F97F5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0EAE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pH value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084B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7.32 (7.23-7.38)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F864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7.33 (7.24-7.33)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EC43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7.21 (7.11-7.25)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AE9F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0.952</w:t>
            </w:r>
          </w:p>
        </w:tc>
      </w:tr>
      <w:tr w:rsidR="009F72C1" w:rsidRPr="004D75AE" w14:paraId="1231244F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54DF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Lactic acid (</w:t>
            </w:r>
            <w:proofErr w:type="spellStart"/>
            <w:r w:rsidRPr="004D75AE">
              <w:rPr>
                <w:rFonts w:eastAsia="Times New Roman" w:cs="Times New Roman"/>
              </w:rPr>
              <w:t>mmol</w:t>
            </w:r>
            <w:proofErr w:type="spellEnd"/>
            <w:r w:rsidRPr="004D75AE">
              <w:rPr>
                <w:rFonts w:eastAsia="Times New Roman" w:cs="Times New Roman"/>
              </w:rPr>
              <w:t>/L)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C22B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3.32 (2.37-5.56)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DA71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3.21 (3.07-6.66)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015E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4.62 (3.52-10.75)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595D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0.073</w:t>
            </w:r>
          </w:p>
        </w:tc>
      </w:tr>
      <w:tr w:rsidR="009F72C1" w:rsidRPr="004D75AE" w14:paraId="2A9D7FD2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A92B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Hemoglobin (g/</w:t>
            </w:r>
            <w:proofErr w:type="spellStart"/>
            <w:r w:rsidRPr="004D75AE">
              <w:rPr>
                <w:rFonts w:eastAsia="Times New Roman" w:cs="Times New Roman"/>
              </w:rPr>
              <w:t>dL</w:t>
            </w:r>
            <w:proofErr w:type="spellEnd"/>
            <w:r w:rsidRPr="004D75AE">
              <w:rPr>
                <w:rFonts w:eastAsia="Times New Roman" w:cs="Times New Roman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B29C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12.25 (9.85-113.85)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FADF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12.20 (10.00-14.10)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0A27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12.65 (9.85-13.45)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51F4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0.614</w:t>
            </w:r>
          </w:p>
        </w:tc>
      </w:tr>
      <w:tr w:rsidR="009F72C1" w:rsidRPr="004D75AE" w14:paraId="4CCB3276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D686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Platelet (K/</w:t>
            </w:r>
            <w:proofErr w:type="spellStart"/>
            <w:r w:rsidRPr="004D75AE">
              <w:rPr>
                <w:rFonts w:eastAsia="Times New Roman" w:cs="Times New Roman"/>
              </w:rPr>
              <w:t>uL</w:t>
            </w:r>
            <w:proofErr w:type="spellEnd"/>
            <w:r w:rsidRPr="004D75AE">
              <w:rPr>
                <w:rFonts w:eastAsia="Times New Roman" w:cs="Times New Roman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A9AA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197 (142-251)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B8F6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200.50 (123-168)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80AC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183 (132-213)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230E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0.270</w:t>
            </w:r>
          </w:p>
        </w:tc>
      </w:tr>
      <w:tr w:rsidR="009F72C1" w:rsidRPr="004D75AE" w14:paraId="5F8BA42F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BAE3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INR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7233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1.04 (1.00-1.26)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DAC8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1.04 (0.96-1.20)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154F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1.05 (1.08-2.01)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8D5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0.378</w:t>
            </w:r>
          </w:p>
        </w:tc>
      </w:tr>
      <w:tr w:rsidR="009F72C1" w:rsidRPr="004D75AE" w14:paraId="4DBFB779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682A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Total bilirubin (mg/</w:t>
            </w:r>
            <w:proofErr w:type="spellStart"/>
            <w:r w:rsidRPr="004D75AE">
              <w:rPr>
                <w:rFonts w:eastAsia="Times New Roman" w:cs="Times New Roman"/>
              </w:rPr>
              <w:t>dL</w:t>
            </w:r>
            <w:proofErr w:type="spellEnd"/>
            <w:r w:rsidRPr="004D75AE">
              <w:rPr>
                <w:rFonts w:eastAsia="Times New Roman" w:cs="Times New Roman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F29D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0.75 (0.55-1.16)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6046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0.73 (0.70-1.31)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3228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1.09 (0.76-1.41)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089B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0.077</w:t>
            </w:r>
          </w:p>
        </w:tc>
      </w:tr>
      <w:tr w:rsidR="009F72C1" w:rsidRPr="004D75AE" w14:paraId="06ACD66B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E8B2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Creatinine (mg/</w:t>
            </w:r>
            <w:proofErr w:type="spellStart"/>
            <w:r w:rsidRPr="004D75AE">
              <w:rPr>
                <w:rFonts w:eastAsia="Times New Roman" w:cs="Times New Roman"/>
              </w:rPr>
              <w:t>dL</w:t>
            </w:r>
            <w:proofErr w:type="spellEnd"/>
            <w:r w:rsidRPr="004D75AE">
              <w:rPr>
                <w:rFonts w:eastAsia="Times New Roman" w:cs="Times New Roman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E1E9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1.6 (1.20-2.58)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8F14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1.7 (1.10-1.50)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E24B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1.6 (1.25-3.90)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4339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0.768</w:t>
            </w:r>
          </w:p>
        </w:tc>
      </w:tr>
      <w:tr w:rsidR="009F72C1" w:rsidRPr="004D75AE" w14:paraId="51654EF2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A8C5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cs="Times New Roman"/>
              </w:rPr>
            </w:pPr>
            <w:proofErr w:type="spellStart"/>
            <w:r w:rsidRPr="004D75AE">
              <w:rPr>
                <w:rFonts w:cs="Times New Roman" w:hint="eastAsia"/>
              </w:rPr>
              <w:t>e</w:t>
            </w:r>
            <w:r w:rsidRPr="004D75AE">
              <w:rPr>
                <w:rFonts w:cs="Times New Roman"/>
              </w:rPr>
              <w:t>GFR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65AF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3</w:t>
            </w:r>
            <w:r w:rsidRPr="004D75AE">
              <w:rPr>
                <w:rFonts w:cs="Times New Roman"/>
              </w:rPr>
              <w:t>8 (17-55)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978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3</w:t>
            </w:r>
            <w:r w:rsidRPr="004D75AE">
              <w:rPr>
                <w:rFonts w:cs="Times New Roman"/>
              </w:rPr>
              <w:t>6 (18-55)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D580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4</w:t>
            </w:r>
            <w:r w:rsidRPr="004D75AE">
              <w:rPr>
                <w:rFonts w:cs="Times New Roman"/>
              </w:rPr>
              <w:t>2 (16-54)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5E8E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0</w:t>
            </w:r>
            <w:r w:rsidRPr="004D75AE">
              <w:rPr>
                <w:rFonts w:cs="Times New Roman"/>
              </w:rPr>
              <w:t>.894</w:t>
            </w:r>
          </w:p>
        </w:tc>
      </w:tr>
      <w:tr w:rsidR="009F72C1" w:rsidRPr="004D75AE" w14:paraId="7A27C95B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2700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Sodium (</w:t>
            </w:r>
            <w:proofErr w:type="spellStart"/>
            <w:r w:rsidRPr="004D75AE">
              <w:rPr>
                <w:rFonts w:eastAsia="Times New Roman" w:cs="Times New Roman"/>
              </w:rPr>
              <w:t>mmol</w:t>
            </w:r>
            <w:proofErr w:type="spellEnd"/>
            <w:r w:rsidRPr="004D75AE">
              <w:rPr>
                <w:rFonts w:eastAsia="Times New Roman" w:cs="Times New Roman"/>
              </w:rPr>
              <w:t>/L)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FCB4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135 (130-137)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DE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135 (135-140)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39C3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134 (129-135)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D65D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0.660</w:t>
            </w:r>
          </w:p>
        </w:tc>
      </w:tr>
      <w:tr w:rsidR="009F72C1" w:rsidRPr="004D75AE" w14:paraId="5F8D46C0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49E5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Potassium (</w:t>
            </w:r>
            <w:proofErr w:type="spellStart"/>
            <w:r w:rsidRPr="004D75AE">
              <w:rPr>
                <w:rFonts w:eastAsia="Times New Roman" w:cs="Times New Roman"/>
              </w:rPr>
              <w:t>mmol</w:t>
            </w:r>
            <w:proofErr w:type="spellEnd"/>
            <w:r w:rsidRPr="004D75AE">
              <w:rPr>
                <w:rFonts w:eastAsia="Times New Roman" w:cs="Times New Roman"/>
              </w:rPr>
              <w:t>/L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C752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4.4 (3.9-5.0)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766C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4.35 (3.1-4.5)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EC0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4.6 (4.7-5.9)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1E5E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0.735</w:t>
            </w:r>
          </w:p>
        </w:tc>
      </w:tr>
      <w:tr w:rsidR="009F72C1" w:rsidRPr="004D75AE" w14:paraId="008A5951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0154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Troponin T (ng/L)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E3E3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84.51 (35.90-401.93)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54E2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75.61 (26.70-59.22)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4BC6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140.50 (92.35-5348.90)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DCEF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0.470</w:t>
            </w:r>
          </w:p>
        </w:tc>
      </w:tr>
      <w:tr w:rsidR="009F72C1" w:rsidRPr="004D75AE" w14:paraId="35EE7630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11BA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NT-</w:t>
            </w:r>
            <w:proofErr w:type="spellStart"/>
            <w:r w:rsidRPr="004D75AE">
              <w:rPr>
                <w:rFonts w:eastAsia="Times New Roman" w:cs="Times New Roman"/>
              </w:rPr>
              <w:t>proBNP</w:t>
            </w:r>
            <w:proofErr w:type="spellEnd"/>
            <w:r w:rsidRPr="004D75AE">
              <w:rPr>
                <w:rFonts w:eastAsia="Times New Roman" w:cs="Times New Roman"/>
              </w:rPr>
              <w:t xml:space="preserve"> (</w:t>
            </w:r>
            <w:proofErr w:type="spellStart"/>
            <w:r w:rsidRPr="004D75AE">
              <w:rPr>
                <w:rFonts w:eastAsia="Times New Roman" w:cs="Times New Roman"/>
              </w:rPr>
              <w:t>pg</w:t>
            </w:r>
            <w:proofErr w:type="spellEnd"/>
            <w:r w:rsidRPr="004D75AE">
              <w:rPr>
                <w:rFonts w:eastAsia="Times New Roman" w:cs="Times New Roman"/>
              </w:rPr>
              <w:t>/mL)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E4AA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3158 (748-17384)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2D96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2864 (50-2738)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C5F5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16790 (8679-35000)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1D17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0.039</w:t>
            </w:r>
          </w:p>
        </w:tc>
      </w:tr>
      <w:tr w:rsidR="009F72C1" w:rsidRPr="004D75AE" w14:paraId="57B978BA" w14:textId="77777777" w:rsidTr="00A27245">
        <w:trPr>
          <w:trHeight w:val="300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8D7B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ECG characteristics</w:t>
            </w:r>
          </w:p>
        </w:tc>
      </w:tr>
      <w:tr w:rsidR="009F72C1" w:rsidRPr="004D75AE" w14:paraId="34D9727F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9563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HR (bpm)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CF28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84 (43-102)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1765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61 (82-114)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4F31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88 (82-105)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EA84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0.016</w:t>
            </w:r>
          </w:p>
        </w:tc>
      </w:tr>
      <w:tr w:rsidR="009F72C1" w:rsidRPr="004D75AE" w14:paraId="75437DE6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A446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QRS duration (</w:t>
            </w:r>
            <w:proofErr w:type="spellStart"/>
            <w:r w:rsidRPr="004D75AE">
              <w:rPr>
                <w:rFonts w:eastAsia="Times New Roman" w:cs="Times New Roman"/>
              </w:rPr>
              <w:t>ms</w:t>
            </w:r>
            <w:proofErr w:type="spellEnd"/>
            <w:r w:rsidRPr="004D75AE">
              <w:rPr>
                <w:rFonts w:eastAsia="Times New Roman" w:cs="Times New Roman"/>
              </w:rPr>
              <w:t>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F348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105 (91-148)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FFF3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103 (102-158)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E630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131 (118-158)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8F38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0.026</w:t>
            </w:r>
          </w:p>
        </w:tc>
      </w:tr>
      <w:tr w:rsidR="009F72C1" w:rsidRPr="004D75AE" w14:paraId="2B0B55AF" w14:textId="77777777" w:rsidTr="00A27245">
        <w:trPr>
          <w:trHeight w:val="300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1C40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lastRenderedPageBreak/>
              <w:t>Chest X-ray</w:t>
            </w:r>
          </w:p>
        </w:tc>
      </w:tr>
      <w:tr w:rsidR="009F72C1" w:rsidRPr="004D75AE" w14:paraId="0A8C160D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2D31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Cardiomegaly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31B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47 (69.12)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8A4D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32 (61.54)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474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15 (93.75)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489E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0.015</w:t>
            </w:r>
          </w:p>
        </w:tc>
      </w:tr>
      <w:tr w:rsidR="009F72C1" w:rsidRPr="004D75AE" w14:paraId="0D0A9A07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6B92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Lung edema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AE5F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19 (27.94)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5F14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15 (28.85)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7016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 (25.00)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C70A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0.764</w:t>
            </w:r>
          </w:p>
        </w:tc>
      </w:tr>
      <w:tr w:rsidR="009F72C1" w:rsidRPr="004D75AE" w14:paraId="30608273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3AC7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Pleural effusion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C850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17 (25.00)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67E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9 (17.31)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6EC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8 (50.00)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D465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0.008</w:t>
            </w:r>
          </w:p>
        </w:tc>
      </w:tr>
      <w:tr w:rsidR="009F72C1" w:rsidRPr="004D75AE" w14:paraId="23862DE1" w14:textId="77777777" w:rsidTr="00A27245">
        <w:trPr>
          <w:trHeight w:val="300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3F8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Echocardiogram</w:t>
            </w:r>
          </w:p>
        </w:tc>
      </w:tr>
      <w:tr w:rsidR="009F72C1" w:rsidRPr="004D75AE" w14:paraId="39AED858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AC76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LVEF &lt; 40%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1E99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20 (34.48)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B3C9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12 (27.27)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14F6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8 (57.14)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0836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0.041</w:t>
            </w:r>
          </w:p>
        </w:tc>
      </w:tr>
      <w:tr w:rsidR="009F72C1" w:rsidRPr="004D75AE" w14:paraId="0FAECE1A" w14:textId="77777777" w:rsidTr="00A27245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AE897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</w:rPr>
            </w:pPr>
            <w:proofErr w:type="spellStart"/>
            <w:r w:rsidRPr="004D75AE">
              <w:rPr>
                <w:rFonts w:eastAsia="Times New Roman" w:cs="Times New Roman"/>
              </w:rPr>
              <w:t>Valvular</w:t>
            </w:r>
            <w:proofErr w:type="spellEnd"/>
            <w:r w:rsidRPr="004D75AE">
              <w:rPr>
                <w:rFonts w:eastAsia="Times New Roman" w:cs="Times New Roman"/>
              </w:rPr>
              <w:t xml:space="preserve"> lesions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DBE6A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45 (66.18)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2D7C3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32 (61.54)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04715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13 (81.25)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7C615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4D75AE">
              <w:rPr>
                <w:rFonts w:eastAsia="Times New Roman" w:cs="Times New Roman"/>
              </w:rPr>
              <w:t>0.145</w:t>
            </w:r>
          </w:p>
        </w:tc>
      </w:tr>
    </w:tbl>
    <w:p w14:paraId="40257537" w14:textId="77777777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</w:rPr>
      </w:pPr>
      <w:r w:rsidRPr="004D75AE">
        <w:rPr>
          <w:rFonts w:cs="Times New Roman"/>
        </w:rPr>
        <w:t>Data presented as no. (%) or as median (IQR).</w:t>
      </w:r>
    </w:p>
    <w:p w14:paraId="780E9A8A" w14:textId="77777777" w:rsidR="009F72C1" w:rsidRPr="004D75AE" w:rsidRDefault="009F72C1" w:rsidP="009F72C1">
      <w:pPr>
        <w:adjustRightInd w:val="0"/>
        <w:snapToGrid w:val="0"/>
        <w:spacing w:before="0" w:after="0"/>
        <w:jc w:val="both"/>
        <w:rPr>
          <w:rFonts w:eastAsia="Times New Roman" w:cs="Times New Roman"/>
        </w:rPr>
      </w:pPr>
      <w:r w:rsidRPr="004D75AE">
        <w:rPr>
          <w:rFonts w:eastAsia="Times New Roman" w:cs="Times New Roman"/>
        </w:rPr>
        <w:t xml:space="preserve">CABG, coronary artery bypass grafting; CAD, coronary artery disease; CVA, cerebrovascular accident; </w:t>
      </w:r>
      <w:proofErr w:type="spellStart"/>
      <w:r w:rsidRPr="004D75AE">
        <w:rPr>
          <w:rFonts w:eastAsia="Times New Roman" w:cs="Times New Roman"/>
        </w:rPr>
        <w:t>eGFR</w:t>
      </w:r>
      <w:proofErr w:type="spellEnd"/>
      <w:r w:rsidRPr="004D75AE">
        <w:rPr>
          <w:rFonts w:eastAsia="Times New Roman" w:cs="Times New Roman"/>
        </w:rPr>
        <w:t>, estimated glomerular filtration rate; ER, emergency room; ESRD, end-stage renal disease; INR, international normalized ratio; LVEF, left ventricular ejection fraction; old MI, old myocardial infarction; NT-</w:t>
      </w:r>
      <w:proofErr w:type="spellStart"/>
      <w:r w:rsidRPr="004D75AE">
        <w:rPr>
          <w:rFonts w:eastAsia="Times New Roman" w:cs="Times New Roman"/>
        </w:rPr>
        <w:t>proBNP</w:t>
      </w:r>
      <w:proofErr w:type="spellEnd"/>
      <w:r w:rsidRPr="004D75AE">
        <w:rPr>
          <w:rFonts w:eastAsia="Times New Roman" w:cs="Times New Roman"/>
        </w:rPr>
        <w:t>, N-terminal-pro B-type natriuretic peptide; SBP, systolic blood pressure.</w:t>
      </w:r>
      <w:r w:rsidRPr="004D75AE">
        <w:rPr>
          <w:rFonts w:eastAsia="Times New Roman" w:cs="Times New Roman"/>
        </w:rPr>
        <w:br w:type="page"/>
      </w:r>
    </w:p>
    <w:p w14:paraId="634B9EFC" w14:textId="377A0EC7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  <w:b/>
        </w:rPr>
      </w:pPr>
      <w:r w:rsidRPr="004D75AE">
        <w:rPr>
          <w:rFonts w:eastAsia="Times New Roman" w:cs="Times New Roman"/>
          <w:b/>
        </w:rPr>
        <w:lastRenderedPageBreak/>
        <w:t xml:space="preserve">Supplementary Table </w:t>
      </w:r>
      <w:r w:rsidR="00A27245" w:rsidRPr="004D75AE">
        <w:rPr>
          <w:rFonts w:eastAsia="Times New Roman" w:cs="Times New Roman"/>
          <w:b/>
        </w:rPr>
        <w:t>4</w:t>
      </w:r>
      <w:r w:rsidRPr="004D75AE">
        <w:rPr>
          <w:rFonts w:eastAsia="Times New Roman" w:cs="Times New Roman"/>
          <w:b/>
        </w:rPr>
        <w:t>. Treatments and diagnosis classification between groups in the validation cohort</w:t>
      </w:r>
    </w:p>
    <w:tbl>
      <w:tblPr>
        <w:tblW w:w="8952" w:type="dxa"/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2694"/>
        <w:gridCol w:w="1656"/>
        <w:gridCol w:w="156"/>
        <w:gridCol w:w="1633"/>
        <w:gridCol w:w="139"/>
        <w:gridCol w:w="1658"/>
        <w:gridCol w:w="136"/>
        <w:gridCol w:w="851"/>
        <w:gridCol w:w="29"/>
      </w:tblGrid>
      <w:tr w:rsidR="009F72C1" w:rsidRPr="004D75AE" w14:paraId="7051FA78" w14:textId="77777777" w:rsidTr="009F72C1">
        <w:trPr>
          <w:gridAfter w:val="1"/>
          <w:wAfter w:w="29" w:type="dxa"/>
          <w:trHeight w:val="315"/>
        </w:trPr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71F175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ECE5C3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441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DB5538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Survival to Discharge</w:t>
            </w:r>
          </w:p>
        </w:tc>
      </w:tr>
      <w:tr w:rsidR="009F72C1" w:rsidRPr="004D75AE" w14:paraId="75CCF1B6" w14:textId="77777777" w:rsidTr="009F72C1">
        <w:trPr>
          <w:gridAfter w:val="1"/>
          <w:wAfter w:w="29" w:type="dxa"/>
          <w:trHeight w:val="315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02AFA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V</w:t>
            </w:r>
            <w:r w:rsidRPr="004D75AE">
              <w:rPr>
                <w:rFonts w:cs="Times New Roman"/>
                <w:kern w:val="2"/>
              </w:rPr>
              <w:t>ariables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1A50D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Total Patients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9C55D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Survived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9718F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Non-survived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A5842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i/>
                <w:kern w:val="2"/>
              </w:rPr>
            </w:pPr>
            <w:r w:rsidRPr="004D75AE">
              <w:rPr>
                <w:rFonts w:eastAsia="Times New Roman" w:cs="Times New Roman"/>
                <w:i/>
                <w:kern w:val="2"/>
              </w:rPr>
              <w:t>p-value</w:t>
            </w:r>
          </w:p>
        </w:tc>
      </w:tr>
      <w:tr w:rsidR="009F72C1" w:rsidRPr="004D75AE" w14:paraId="01E62769" w14:textId="77777777" w:rsidTr="009F72C1">
        <w:trPr>
          <w:gridAfter w:val="1"/>
          <w:wAfter w:w="29" w:type="dxa"/>
          <w:trHeight w:val="315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1D00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6483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N = 68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BDAEF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N = 52 (76.47)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ED0D2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N = 16 (23.53)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1F1E9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9F72C1" w:rsidRPr="004D75AE" w14:paraId="4DBEE17F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7582875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Medications</w:t>
            </w:r>
          </w:p>
        </w:tc>
        <w:tc>
          <w:tcPr>
            <w:tcW w:w="1812" w:type="dxa"/>
            <w:gridSpan w:val="2"/>
            <w:vAlign w:val="center"/>
          </w:tcPr>
          <w:p w14:paraId="2B8FD8A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8781FD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3696CE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14:paraId="3E834A1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</w:tr>
      <w:tr w:rsidR="009F72C1" w:rsidRPr="004D75AE" w14:paraId="25E05CBF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2EDDB05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Bronchodilator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09C3907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15 (22.06)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2E8AE7C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8 (15.38)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21EB558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7 (43.75)</w:t>
            </w:r>
          </w:p>
        </w:tc>
        <w:tc>
          <w:tcPr>
            <w:tcW w:w="851" w:type="dxa"/>
            <w:vAlign w:val="center"/>
            <w:hideMark/>
          </w:tcPr>
          <w:p w14:paraId="5C3CDC6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0.017</w:t>
            </w:r>
          </w:p>
        </w:tc>
      </w:tr>
      <w:tr w:rsidR="009F72C1" w:rsidRPr="004D75AE" w14:paraId="2CFF6D17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2B52D27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Albumin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2362141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27 (39.71)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04A8F0C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14 (26.92)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6028B30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13 (81.25)</w:t>
            </w:r>
          </w:p>
        </w:tc>
        <w:tc>
          <w:tcPr>
            <w:tcW w:w="851" w:type="dxa"/>
            <w:vAlign w:val="center"/>
            <w:hideMark/>
          </w:tcPr>
          <w:p w14:paraId="146976C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0.000</w:t>
            </w:r>
          </w:p>
        </w:tc>
      </w:tr>
      <w:tr w:rsidR="009F72C1" w:rsidRPr="004D75AE" w14:paraId="0919B96C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5E08E44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Diuretic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162B026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42 (61.76)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0B07747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31 (59.62)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380B032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11 (68.75)</w:t>
            </w:r>
          </w:p>
        </w:tc>
        <w:tc>
          <w:tcPr>
            <w:tcW w:w="851" w:type="dxa"/>
            <w:vAlign w:val="center"/>
            <w:hideMark/>
          </w:tcPr>
          <w:p w14:paraId="1984721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0.511</w:t>
            </w:r>
          </w:p>
        </w:tc>
      </w:tr>
      <w:tr w:rsidR="009F72C1" w:rsidRPr="004D75AE" w14:paraId="1FD4B9C6" w14:textId="77777777" w:rsidTr="009F72C1">
        <w:trPr>
          <w:gridAfter w:val="1"/>
          <w:wAfter w:w="29" w:type="dxa"/>
          <w:trHeight w:val="330"/>
        </w:trPr>
        <w:tc>
          <w:tcPr>
            <w:tcW w:w="2694" w:type="dxa"/>
            <w:vAlign w:val="center"/>
            <w:hideMark/>
          </w:tcPr>
          <w:p w14:paraId="3AEB084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Inotrope use</w:t>
            </w:r>
          </w:p>
        </w:tc>
        <w:tc>
          <w:tcPr>
            <w:tcW w:w="1812" w:type="dxa"/>
            <w:gridSpan w:val="2"/>
            <w:vAlign w:val="center"/>
          </w:tcPr>
          <w:p w14:paraId="65A94D6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color w:val="FF0000"/>
                <w:kern w:val="2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B0C534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2E4586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14:paraId="5D1F964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</w:tr>
      <w:tr w:rsidR="009F72C1" w:rsidRPr="004D75AE" w14:paraId="0AFD734E" w14:textId="77777777" w:rsidTr="009F72C1">
        <w:trPr>
          <w:gridAfter w:val="1"/>
          <w:wAfter w:w="29" w:type="dxa"/>
          <w:trHeight w:val="330"/>
        </w:trPr>
        <w:tc>
          <w:tcPr>
            <w:tcW w:w="2694" w:type="dxa"/>
            <w:vAlign w:val="center"/>
            <w:hideMark/>
          </w:tcPr>
          <w:p w14:paraId="3EE7993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44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Single inotrope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55ED232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32 (47.06)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056B538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29 (55.77)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01706E9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 (18.75)</w:t>
            </w:r>
          </w:p>
        </w:tc>
        <w:tc>
          <w:tcPr>
            <w:tcW w:w="851" w:type="dxa"/>
            <w:vAlign w:val="center"/>
            <w:hideMark/>
          </w:tcPr>
          <w:p w14:paraId="5150273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0.009</w:t>
            </w:r>
          </w:p>
        </w:tc>
      </w:tr>
      <w:tr w:rsidR="009F72C1" w:rsidRPr="004D75AE" w14:paraId="6A82CF5F" w14:textId="77777777" w:rsidTr="009F72C1">
        <w:trPr>
          <w:gridAfter w:val="1"/>
          <w:wAfter w:w="29" w:type="dxa"/>
          <w:trHeight w:val="330"/>
        </w:trPr>
        <w:tc>
          <w:tcPr>
            <w:tcW w:w="2694" w:type="dxa"/>
            <w:vAlign w:val="center"/>
            <w:hideMark/>
          </w:tcPr>
          <w:p w14:paraId="383D1BC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44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Multiple inotropes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1B5E793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36 (52.94)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125D962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23 (44.23)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2B5698E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13 (81.25)</w:t>
            </w:r>
          </w:p>
        </w:tc>
        <w:tc>
          <w:tcPr>
            <w:tcW w:w="851" w:type="dxa"/>
            <w:vAlign w:val="center"/>
          </w:tcPr>
          <w:p w14:paraId="3434D95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127B5AA5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375A578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NTG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1FDC1AE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14 (20.59)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5A01C3D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11 (21.15)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10C430A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 (18.75)</w:t>
            </w:r>
          </w:p>
        </w:tc>
        <w:tc>
          <w:tcPr>
            <w:tcW w:w="851" w:type="dxa"/>
            <w:vAlign w:val="center"/>
            <w:hideMark/>
          </w:tcPr>
          <w:p w14:paraId="518C67E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0.835</w:t>
            </w:r>
          </w:p>
        </w:tc>
      </w:tr>
      <w:tr w:rsidR="009F72C1" w:rsidRPr="004D75AE" w14:paraId="7A8BC478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21512F3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Aspirin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428DA24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32 (47.06)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4E967DD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24 (46.15)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7E658B7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8 (50.00)</w:t>
            </w:r>
          </w:p>
        </w:tc>
        <w:tc>
          <w:tcPr>
            <w:tcW w:w="851" w:type="dxa"/>
            <w:vAlign w:val="center"/>
            <w:hideMark/>
          </w:tcPr>
          <w:p w14:paraId="18A484E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0.788</w:t>
            </w:r>
          </w:p>
        </w:tc>
      </w:tr>
      <w:tr w:rsidR="009F72C1" w:rsidRPr="004D75AE" w14:paraId="4C0293CE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5EFD2A0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P2Y12 inhibitors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314220E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33 (48.53)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50F4963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26 (50.00)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52333EC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7 (43.75)</w:t>
            </w:r>
          </w:p>
        </w:tc>
        <w:tc>
          <w:tcPr>
            <w:tcW w:w="851" w:type="dxa"/>
            <w:vAlign w:val="center"/>
            <w:hideMark/>
          </w:tcPr>
          <w:p w14:paraId="12FB413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0.662</w:t>
            </w:r>
          </w:p>
        </w:tc>
      </w:tr>
      <w:tr w:rsidR="009F72C1" w:rsidRPr="004D75AE" w14:paraId="153C1C6C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19ED2D1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Heparin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3AE78A5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39 (57.35)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5FB42F2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27 (51.92)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1E81164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12 (75.00)</w:t>
            </w:r>
          </w:p>
        </w:tc>
        <w:tc>
          <w:tcPr>
            <w:tcW w:w="851" w:type="dxa"/>
            <w:vAlign w:val="center"/>
            <w:hideMark/>
          </w:tcPr>
          <w:p w14:paraId="59405CF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0.103</w:t>
            </w:r>
          </w:p>
        </w:tc>
      </w:tr>
      <w:tr w:rsidR="009F72C1" w:rsidRPr="004D75AE" w14:paraId="69560A25" w14:textId="77777777" w:rsidTr="009F72C1">
        <w:trPr>
          <w:gridAfter w:val="1"/>
          <w:wAfter w:w="29" w:type="dxa"/>
          <w:trHeight w:val="315"/>
        </w:trPr>
        <w:tc>
          <w:tcPr>
            <w:tcW w:w="2694" w:type="dxa"/>
            <w:vAlign w:val="center"/>
            <w:hideMark/>
          </w:tcPr>
          <w:p w14:paraId="3E1B0BC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Clinical management</w:t>
            </w:r>
          </w:p>
        </w:tc>
        <w:tc>
          <w:tcPr>
            <w:tcW w:w="1812" w:type="dxa"/>
            <w:gridSpan w:val="2"/>
            <w:vAlign w:val="center"/>
          </w:tcPr>
          <w:p w14:paraId="2EA012D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DFF560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7947D3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14:paraId="7695BBE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</w:tr>
      <w:tr w:rsidR="009F72C1" w:rsidRPr="004D75AE" w14:paraId="2BC13531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24D0121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Respiratory support</w:t>
            </w:r>
          </w:p>
        </w:tc>
        <w:tc>
          <w:tcPr>
            <w:tcW w:w="1812" w:type="dxa"/>
            <w:gridSpan w:val="2"/>
            <w:vAlign w:val="center"/>
          </w:tcPr>
          <w:p w14:paraId="5D52143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0DDFCA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F32BD3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14:paraId="68915D9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</w:tr>
      <w:tr w:rsidR="009F72C1" w:rsidRPr="004D75AE" w14:paraId="2C99E056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2E22548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44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Low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7611433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33 (48.53)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0F4D5B9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30 (57.69)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25BFA75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 (18.75)</w:t>
            </w:r>
          </w:p>
        </w:tc>
        <w:tc>
          <w:tcPr>
            <w:tcW w:w="851" w:type="dxa"/>
            <w:vAlign w:val="center"/>
            <w:hideMark/>
          </w:tcPr>
          <w:p w14:paraId="4484901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0.006</w:t>
            </w:r>
          </w:p>
        </w:tc>
      </w:tr>
      <w:tr w:rsidR="009F72C1" w:rsidRPr="004D75AE" w14:paraId="67B67D9B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26400C6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44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 xml:space="preserve">High 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02277D2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35 (51.47)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3FF8A5B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22 (42.31)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40FB57C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13 (81.25)</w:t>
            </w:r>
          </w:p>
        </w:tc>
        <w:tc>
          <w:tcPr>
            <w:tcW w:w="851" w:type="dxa"/>
            <w:vAlign w:val="center"/>
          </w:tcPr>
          <w:p w14:paraId="0563FB9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7C80CFC4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5EFD894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TCP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3F88978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7 (10.29)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7629DFF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6 (11.54)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3F831E3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 (6.25)</w:t>
            </w:r>
          </w:p>
        </w:tc>
        <w:tc>
          <w:tcPr>
            <w:tcW w:w="851" w:type="dxa"/>
            <w:vAlign w:val="center"/>
            <w:hideMark/>
          </w:tcPr>
          <w:p w14:paraId="242A0EA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0.543</w:t>
            </w:r>
          </w:p>
        </w:tc>
      </w:tr>
      <w:tr w:rsidR="009F72C1" w:rsidRPr="004D75AE" w14:paraId="3F43D2BC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74AF8DC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Pacemaker implantation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0DDE398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22 (32.35)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2152834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21 (40.38)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758234D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 (6.25)</w:t>
            </w:r>
          </w:p>
        </w:tc>
        <w:tc>
          <w:tcPr>
            <w:tcW w:w="851" w:type="dxa"/>
            <w:vAlign w:val="center"/>
            <w:hideMark/>
          </w:tcPr>
          <w:p w14:paraId="1F313ED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0.011</w:t>
            </w:r>
          </w:p>
        </w:tc>
      </w:tr>
      <w:tr w:rsidR="009F72C1" w:rsidRPr="004D75AE" w14:paraId="705CE858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27F844F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Fluid challenge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7A7AD3A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30 (44.12)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5516ADA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23 (44.23)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6210761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7 (43.75)</w:t>
            </w:r>
          </w:p>
        </w:tc>
        <w:tc>
          <w:tcPr>
            <w:tcW w:w="851" w:type="dxa"/>
            <w:vAlign w:val="center"/>
            <w:hideMark/>
          </w:tcPr>
          <w:p w14:paraId="2C8E764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0.973</w:t>
            </w:r>
          </w:p>
        </w:tc>
      </w:tr>
      <w:tr w:rsidR="009F72C1" w:rsidRPr="004D75AE" w14:paraId="4CB21D02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374A74A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Component transfusion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3E69E7B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35 (51.47)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7FEBF28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20 (38.46)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19C53AE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15 (93.75)</w:t>
            </w:r>
          </w:p>
        </w:tc>
        <w:tc>
          <w:tcPr>
            <w:tcW w:w="851" w:type="dxa"/>
            <w:vAlign w:val="center"/>
            <w:hideMark/>
          </w:tcPr>
          <w:p w14:paraId="3E72945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0.000</w:t>
            </w:r>
          </w:p>
        </w:tc>
      </w:tr>
      <w:tr w:rsidR="009F72C1" w:rsidRPr="004D75AE" w14:paraId="31A0B4B9" w14:textId="77777777" w:rsidTr="009F72C1">
        <w:trPr>
          <w:gridAfter w:val="1"/>
          <w:wAfter w:w="29" w:type="dxa"/>
          <w:trHeight w:val="330"/>
        </w:trPr>
        <w:tc>
          <w:tcPr>
            <w:tcW w:w="2694" w:type="dxa"/>
            <w:vAlign w:val="center"/>
            <w:hideMark/>
          </w:tcPr>
          <w:p w14:paraId="680FA72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MCS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3B8D2DD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18 (26.47)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32241EF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10 (19.23)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2EC4DAB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8 (50.00)</w:t>
            </w:r>
          </w:p>
        </w:tc>
        <w:tc>
          <w:tcPr>
            <w:tcW w:w="851" w:type="dxa"/>
            <w:vAlign w:val="center"/>
            <w:hideMark/>
          </w:tcPr>
          <w:p w14:paraId="5107C1C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0.015</w:t>
            </w:r>
          </w:p>
        </w:tc>
      </w:tr>
      <w:tr w:rsidR="009F72C1" w:rsidRPr="004D75AE" w14:paraId="70B052C5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7D41EC1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CPR attempt (min)</w:t>
            </w:r>
          </w:p>
        </w:tc>
        <w:tc>
          <w:tcPr>
            <w:tcW w:w="1812" w:type="dxa"/>
            <w:gridSpan w:val="2"/>
            <w:vAlign w:val="center"/>
          </w:tcPr>
          <w:p w14:paraId="650BABE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BCEFD4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ED6B13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851" w:type="dxa"/>
            <w:vAlign w:val="center"/>
          </w:tcPr>
          <w:p w14:paraId="2D59FF9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</w:tr>
      <w:tr w:rsidR="009F72C1" w:rsidRPr="004D75AE" w14:paraId="7E84A321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376451D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Chars="244" w:firstLine="586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 w:hint="cs"/>
                <w:kern w:val="2"/>
              </w:rPr>
              <w:t>N</w:t>
            </w:r>
            <w:r w:rsidRPr="004D75AE">
              <w:rPr>
                <w:rFonts w:cs="Times New Roman"/>
                <w:kern w:val="2"/>
              </w:rPr>
              <w:t>one</w:t>
            </w:r>
          </w:p>
        </w:tc>
        <w:tc>
          <w:tcPr>
            <w:tcW w:w="1812" w:type="dxa"/>
            <w:gridSpan w:val="2"/>
            <w:vAlign w:val="center"/>
          </w:tcPr>
          <w:p w14:paraId="1EA586B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5</w:t>
            </w:r>
            <w:r w:rsidRPr="004D75AE">
              <w:rPr>
                <w:rFonts w:cs="Times New Roman"/>
                <w:kern w:val="2"/>
              </w:rPr>
              <w:t>0 (73.53)</w:t>
            </w:r>
          </w:p>
        </w:tc>
        <w:tc>
          <w:tcPr>
            <w:tcW w:w="1772" w:type="dxa"/>
            <w:gridSpan w:val="2"/>
            <w:vAlign w:val="center"/>
          </w:tcPr>
          <w:p w14:paraId="4F2D145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4</w:t>
            </w:r>
            <w:r w:rsidRPr="004D75AE">
              <w:rPr>
                <w:rFonts w:cs="Times New Roman"/>
                <w:kern w:val="2"/>
              </w:rPr>
              <w:t>3 (82.69)</w:t>
            </w:r>
          </w:p>
        </w:tc>
        <w:tc>
          <w:tcPr>
            <w:tcW w:w="1794" w:type="dxa"/>
            <w:gridSpan w:val="2"/>
            <w:vAlign w:val="center"/>
          </w:tcPr>
          <w:p w14:paraId="0F72E20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7</w:t>
            </w:r>
            <w:r w:rsidRPr="004D75AE">
              <w:rPr>
                <w:rFonts w:cs="Times New Roman"/>
                <w:kern w:val="2"/>
              </w:rPr>
              <w:t xml:space="preserve"> (43.75)</w:t>
            </w:r>
          </w:p>
        </w:tc>
        <w:tc>
          <w:tcPr>
            <w:tcW w:w="851" w:type="dxa"/>
            <w:vAlign w:val="center"/>
          </w:tcPr>
          <w:p w14:paraId="4555901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0</w:t>
            </w:r>
            <w:r w:rsidRPr="004D75AE">
              <w:rPr>
                <w:rFonts w:cs="Times New Roman"/>
                <w:kern w:val="2"/>
              </w:rPr>
              <w:t>.011</w:t>
            </w:r>
          </w:p>
        </w:tc>
      </w:tr>
      <w:tr w:rsidR="009F72C1" w:rsidRPr="004D75AE" w14:paraId="5C244A1A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</w:tcPr>
          <w:p w14:paraId="417329B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Chars="244" w:firstLine="586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&lt;</w:t>
            </w:r>
            <w:r w:rsidRPr="004D75AE">
              <w:rPr>
                <w:rFonts w:cs="Times New Roman"/>
                <w:kern w:val="2"/>
              </w:rPr>
              <w:t>10</w:t>
            </w:r>
          </w:p>
        </w:tc>
        <w:tc>
          <w:tcPr>
            <w:tcW w:w="1812" w:type="dxa"/>
            <w:gridSpan w:val="2"/>
            <w:vAlign w:val="center"/>
          </w:tcPr>
          <w:p w14:paraId="7A142DB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1</w:t>
            </w:r>
            <w:r w:rsidRPr="004D75AE">
              <w:rPr>
                <w:rFonts w:cs="Times New Roman"/>
                <w:kern w:val="2"/>
              </w:rPr>
              <w:t>0 (14.71)</w:t>
            </w:r>
          </w:p>
        </w:tc>
        <w:tc>
          <w:tcPr>
            <w:tcW w:w="1772" w:type="dxa"/>
            <w:gridSpan w:val="2"/>
            <w:vAlign w:val="center"/>
          </w:tcPr>
          <w:p w14:paraId="732AB65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5</w:t>
            </w:r>
            <w:r w:rsidRPr="004D75AE">
              <w:rPr>
                <w:rFonts w:cs="Times New Roman"/>
                <w:kern w:val="2"/>
              </w:rPr>
              <w:t xml:space="preserve"> (9.62)</w:t>
            </w:r>
          </w:p>
        </w:tc>
        <w:tc>
          <w:tcPr>
            <w:tcW w:w="1794" w:type="dxa"/>
            <w:gridSpan w:val="2"/>
            <w:vAlign w:val="center"/>
          </w:tcPr>
          <w:p w14:paraId="48A156E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5</w:t>
            </w:r>
            <w:r w:rsidRPr="004D75AE">
              <w:rPr>
                <w:rFonts w:cs="Times New Roman"/>
                <w:kern w:val="2"/>
              </w:rPr>
              <w:t xml:space="preserve"> (31.25)</w:t>
            </w:r>
          </w:p>
        </w:tc>
        <w:tc>
          <w:tcPr>
            <w:tcW w:w="851" w:type="dxa"/>
            <w:vAlign w:val="center"/>
          </w:tcPr>
          <w:p w14:paraId="708FEA8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6451A467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</w:tcPr>
          <w:p w14:paraId="773BAF5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Chars="244" w:firstLine="586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1</w:t>
            </w:r>
            <w:r w:rsidRPr="004D75AE">
              <w:rPr>
                <w:rFonts w:cs="Times New Roman"/>
                <w:kern w:val="2"/>
              </w:rPr>
              <w:t>0-20</w:t>
            </w:r>
          </w:p>
        </w:tc>
        <w:tc>
          <w:tcPr>
            <w:tcW w:w="1812" w:type="dxa"/>
            <w:gridSpan w:val="2"/>
            <w:vAlign w:val="center"/>
          </w:tcPr>
          <w:p w14:paraId="47C3A6E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/>
                <w:kern w:val="2"/>
              </w:rPr>
              <w:t>1 (1.47)</w:t>
            </w:r>
          </w:p>
        </w:tc>
        <w:tc>
          <w:tcPr>
            <w:tcW w:w="1772" w:type="dxa"/>
            <w:gridSpan w:val="2"/>
            <w:vAlign w:val="center"/>
          </w:tcPr>
          <w:p w14:paraId="37E5D7C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/>
                <w:kern w:val="2"/>
              </w:rPr>
              <w:t>1 (1.92)</w:t>
            </w:r>
          </w:p>
        </w:tc>
        <w:tc>
          <w:tcPr>
            <w:tcW w:w="1794" w:type="dxa"/>
            <w:gridSpan w:val="2"/>
            <w:vAlign w:val="center"/>
          </w:tcPr>
          <w:p w14:paraId="07940FE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0</w:t>
            </w:r>
          </w:p>
        </w:tc>
        <w:tc>
          <w:tcPr>
            <w:tcW w:w="851" w:type="dxa"/>
            <w:vAlign w:val="center"/>
          </w:tcPr>
          <w:p w14:paraId="5632577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232D4E80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</w:tcPr>
          <w:p w14:paraId="2B1CE42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Chars="244" w:firstLine="586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&gt;</w:t>
            </w:r>
            <w:r w:rsidRPr="004D75AE">
              <w:rPr>
                <w:rFonts w:cs="Times New Roman"/>
                <w:kern w:val="2"/>
              </w:rPr>
              <w:t>20</w:t>
            </w:r>
          </w:p>
        </w:tc>
        <w:tc>
          <w:tcPr>
            <w:tcW w:w="1812" w:type="dxa"/>
            <w:gridSpan w:val="2"/>
            <w:vAlign w:val="center"/>
          </w:tcPr>
          <w:p w14:paraId="0E6972C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7</w:t>
            </w:r>
            <w:r w:rsidRPr="004D75AE">
              <w:rPr>
                <w:rFonts w:cs="Times New Roman"/>
                <w:kern w:val="2"/>
              </w:rPr>
              <w:t xml:space="preserve"> (10.29)</w:t>
            </w:r>
          </w:p>
        </w:tc>
        <w:tc>
          <w:tcPr>
            <w:tcW w:w="1772" w:type="dxa"/>
            <w:gridSpan w:val="2"/>
            <w:vAlign w:val="center"/>
          </w:tcPr>
          <w:p w14:paraId="7E640DA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3</w:t>
            </w:r>
            <w:r w:rsidRPr="004D75AE">
              <w:rPr>
                <w:rFonts w:cs="Times New Roman"/>
                <w:kern w:val="2"/>
              </w:rPr>
              <w:t xml:space="preserve"> (5.77)</w:t>
            </w:r>
          </w:p>
        </w:tc>
        <w:tc>
          <w:tcPr>
            <w:tcW w:w="1794" w:type="dxa"/>
            <w:gridSpan w:val="2"/>
            <w:vAlign w:val="center"/>
          </w:tcPr>
          <w:p w14:paraId="5F6BF08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4</w:t>
            </w:r>
            <w:r w:rsidRPr="004D75AE">
              <w:rPr>
                <w:rFonts w:cs="Times New Roman"/>
                <w:kern w:val="2"/>
              </w:rPr>
              <w:t xml:space="preserve"> (25.00)</w:t>
            </w:r>
          </w:p>
        </w:tc>
        <w:tc>
          <w:tcPr>
            <w:tcW w:w="851" w:type="dxa"/>
            <w:vAlign w:val="center"/>
          </w:tcPr>
          <w:p w14:paraId="4AF7E58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030936F9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1C2951E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Emergent CAG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7837D6B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35 (51.47)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1136305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28 (53.85)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66E909B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7 (43.75)</w:t>
            </w:r>
          </w:p>
        </w:tc>
        <w:tc>
          <w:tcPr>
            <w:tcW w:w="851" w:type="dxa"/>
            <w:vAlign w:val="center"/>
            <w:hideMark/>
          </w:tcPr>
          <w:p w14:paraId="15268D5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0.480</w:t>
            </w:r>
          </w:p>
        </w:tc>
      </w:tr>
      <w:tr w:rsidR="009F72C1" w:rsidRPr="004D75AE" w14:paraId="2543544F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</w:tcPr>
          <w:p w14:paraId="138EA54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P</w:t>
            </w:r>
            <w:r w:rsidRPr="004D75AE">
              <w:rPr>
                <w:rFonts w:cs="Times New Roman"/>
                <w:kern w:val="2"/>
              </w:rPr>
              <w:t>CI</w:t>
            </w:r>
          </w:p>
        </w:tc>
        <w:tc>
          <w:tcPr>
            <w:tcW w:w="1812" w:type="dxa"/>
            <w:gridSpan w:val="2"/>
            <w:vAlign w:val="center"/>
          </w:tcPr>
          <w:p w14:paraId="626879A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1</w:t>
            </w:r>
            <w:r w:rsidRPr="004D75AE">
              <w:rPr>
                <w:rFonts w:cs="Times New Roman"/>
                <w:kern w:val="2"/>
              </w:rPr>
              <w:t>7 (25.00)</w:t>
            </w:r>
          </w:p>
        </w:tc>
        <w:tc>
          <w:tcPr>
            <w:tcW w:w="1772" w:type="dxa"/>
            <w:gridSpan w:val="2"/>
            <w:vAlign w:val="center"/>
          </w:tcPr>
          <w:p w14:paraId="5D10D89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1</w:t>
            </w:r>
            <w:r w:rsidRPr="004D75AE">
              <w:rPr>
                <w:rFonts w:cs="Times New Roman"/>
                <w:kern w:val="2"/>
              </w:rPr>
              <w:t>2 (23.08</w:t>
            </w:r>
            <w:r w:rsidRPr="004D75AE">
              <w:rPr>
                <w:rFonts w:cs="Times New Roman" w:hint="eastAsia"/>
                <w:kern w:val="2"/>
              </w:rPr>
              <w:t>)</w:t>
            </w:r>
          </w:p>
        </w:tc>
        <w:tc>
          <w:tcPr>
            <w:tcW w:w="1794" w:type="dxa"/>
            <w:gridSpan w:val="2"/>
            <w:vAlign w:val="center"/>
          </w:tcPr>
          <w:p w14:paraId="6A52AEB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5 (31.25)</w:t>
            </w:r>
          </w:p>
        </w:tc>
        <w:tc>
          <w:tcPr>
            <w:tcW w:w="851" w:type="dxa"/>
            <w:vAlign w:val="center"/>
          </w:tcPr>
          <w:p w14:paraId="010483D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cs="Times New Roman"/>
                <w:kern w:val="2"/>
              </w:rPr>
            </w:pPr>
            <w:r w:rsidRPr="004D75AE">
              <w:rPr>
                <w:rFonts w:cs="Times New Roman" w:hint="eastAsia"/>
                <w:kern w:val="2"/>
              </w:rPr>
              <w:t>0</w:t>
            </w:r>
            <w:r w:rsidRPr="004D75AE">
              <w:rPr>
                <w:rFonts w:cs="Times New Roman"/>
                <w:kern w:val="2"/>
              </w:rPr>
              <w:t>.509</w:t>
            </w:r>
          </w:p>
        </w:tc>
      </w:tr>
      <w:tr w:rsidR="009F72C1" w:rsidRPr="004D75AE" w14:paraId="55492148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230615D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CABG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3B7FE45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7 (10.29)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3467543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4 (7.69)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7B161D6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 (18.75)</w:t>
            </w:r>
          </w:p>
        </w:tc>
        <w:tc>
          <w:tcPr>
            <w:tcW w:w="851" w:type="dxa"/>
            <w:vAlign w:val="center"/>
            <w:hideMark/>
          </w:tcPr>
          <w:p w14:paraId="1A735323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0.203</w:t>
            </w:r>
          </w:p>
        </w:tc>
      </w:tr>
      <w:tr w:rsidR="009F72C1" w:rsidRPr="004D75AE" w14:paraId="76F0AEE9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718EB08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="22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RRT</w:t>
            </w:r>
          </w:p>
        </w:tc>
        <w:tc>
          <w:tcPr>
            <w:tcW w:w="1812" w:type="dxa"/>
            <w:gridSpan w:val="2"/>
            <w:vAlign w:val="center"/>
            <w:hideMark/>
          </w:tcPr>
          <w:p w14:paraId="0A162D8B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23 (33.83)</w:t>
            </w:r>
          </w:p>
        </w:tc>
        <w:tc>
          <w:tcPr>
            <w:tcW w:w="1772" w:type="dxa"/>
            <w:gridSpan w:val="2"/>
            <w:vAlign w:val="center"/>
            <w:hideMark/>
          </w:tcPr>
          <w:p w14:paraId="0FDDD78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13 (25.00)</w:t>
            </w:r>
          </w:p>
        </w:tc>
        <w:tc>
          <w:tcPr>
            <w:tcW w:w="1794" w:type="dxa"/>
            <w:gridSpan w:val="2"/>
            <w:vAlign w:val="center"/>
            <w:hideMark/>
          </w:tcPr>
          <w:p w14:paraId="4CA2526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10 (62.50)</w:t>
            </w:r>
          </w:p>
        </w:tc>
        <w:tc>
          <w:tcPr>
            <w:tcW w:w="851" w:type="dxa"/>
            <w:vAlign w:val="center"/>
            <w:hideMark/>
          </w:tcPr>
          <w:p w14:paraId="0A40E72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0.006</w:t>
            </w:r>
          </w:p>
        </w:tc>
      </w:tr>
      <w:tr w:rsidR="009F72C1" w:rsidRPr="004D75AE" w14:paraId="018B8EB4" w14:textId="77777777" w:rsidTr="009F72C1">
        <w:trPr>
          <w:trHeight w:val="298"/>
        </w:trPr>
        <w:tc>
          <w:tcPr>
            <w:tcW w:w="4350" w:type="dxa"/>
            <w:gridSpan w:val="2"/>
            <w:vAlign w:val="center"/>
            <w:hideMark/>
          </w:tcPr>
          <w:p w14:paraId="0A73287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Discharge diagnosis classification</w:t>
            </w:r>
          </w:p>
        </w:tc>
        <w:tc>
          <w:tcPr>
            <w:tcW w:w="1789" w:type="dxa"/>
            <w:gridSpan w:val="2"/>
            <w:vAlign w:val="center"/>
          </w:tcPr>
          <w:p w14:paraId="7EE5296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38719CF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016" w:type="dxa"/>
            <w:gridSpan w:val="3"/>
            <w:vAlign w:val="center"/>
          </w:tcPr>
          <w:p w14:paraId="799FC66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</w:p>
        </w:tc>
      </w:tr>
      <w:tr w:rsidR="009F72C1" w:rsidRPr="004D75AE" w14:paraId="599B76C7" w14:textId="77777777" w:rsidTr="009F72C1">
        <w:trPr>
          <w:trHeight w:val="298"/>
        </w:trPr>
        <w:tc>
          <w:tcPr>
            <w:tcW w:w="2694" w:type="dxa"/>
            <w:vAlign w:val="center"/>
            <w:hideMark/>
          </w:tcPr>
          <w:p w14:paraId="61EE39E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 xml:space="preserve">  ACS</w:t>
            </w:r>
          </w:p>
        </w:tc>
        <w:tc>
          <w:tcPr>
            <w:tcW w:w="1656" w:type="dxa"/>
            <w:vAlign w:val="center"/>
            <w:hideMark/>
          </w:tcPr>
          <w:p w14:paraId="0B2F1FD8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21 (30.88)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29E55BC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8" w:left="163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15 (28.85)</w:t>
            </w:r>
          </w:p>
        </w:tc>
        <w:tc>
          <w:tcPr>
            <w:tcW w:w="1797" w:type="dxa"/>
            <w:gridSpan w:val="2"/>
            <w:vAlign w:val="center"/>
            <w:hideMark/>
          </w:tcPr>
          <w:p w14:paraId="5EFE2DD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5" w:left="156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6 (37.50)</w:t>
            </w:r>
          </w:p>
        </w:tc>
        <w:tc>
          <w:tcPr>
            <w:tcW w:w="1016" w:type="dxa"/>
            <w:gridSpan w:val="3"/>
            <w:vAlign w:val="center"/>
            <w:hideMark/>
          </w:tcPr>
          <w:p w14:paraId="58308CE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45" w:left="108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0.512</w:t>
            </w:r>
          </w:p>
        </w:tc>
      </w:tr>
      <w:tr w:rsidR="009F72C1" w:rsidRPr="004D75AE" w14:paraId="4A902E40" w14:textId="77777777" w:rsidTr="009F72C1">
        <w:trPr>
          <w:trHeight w:val="298"/>
        </w:trPr>
        <w:tc>
          <w:tcPr>
            <w:tcW w:w="2694" w:type="dxa"/>
            <w:vAlign w:val="center"/>
            <w:hideMark/>
          </w:tcPr>
          <w:p w14:paraId="3C2894D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 xml:space="preserve">  ADHF</w:t>
            </w:r>
          </w:p>
        </w:tc>
        <w:tc>
          <w:tcPr>
            <w:tcW w:w="1656" w:type="dxa"/>
            <w:vAlign w:val="center"/>
            <w:hideMark/>
          </w:tcPr>
          <w:p w14:paraId="7BE3198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13 (19.12)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525741E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8" w:left="163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8 (15.38)</w:t>
            </w:r>
          </w:p>
        </w:tc>
        <w:tc>
          <w:tcPr>
            <w:tcW w:w="1797" w:type="dxa"/>
            <w:gridSpan w:val="2"/>
            <w:vAlign w:val="center"/>
            <w:hideMark/>
          </w:tcPr>
          <w:p w14:paraId="78894B4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5" w:left="156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5 (31.25)</w:t>
            </w:r>
          </w:p>
        </w:tc>
        <w:tc>
          <w:tcPr>
            <w:tcW w:w="1016" w:type="dxa"/>
            <w:gridSpan w:val="3"/>
            <w:vAlign w:val="center"/>
            <w:hideMark/>
          </w:tcPr>
          <w:p w14:paraId="4619103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45" w:left="108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0.158</w:t>
            </w:r>
          </w:p>
        </w:tc>
      </w:tr>
      <w:tr w:rsidR="009F72C1" w:rsidRPr="004D75AE" w14:paraId="1886DCF2" w14:textId="77777777" w:rsidTr="009F72C1">
        <w:trPr>
          <w:trHeight w:val="298"/>
        </w:trPr>
        <w:tc>
          <w:tcPr>
            <w:tcW w:w="2694" w:type="dxa"/>
            <w:vAlign w:val="center"/>
            <w:hideMark/>
          </w:tcPr>
          <w:p w14:paraId="184B3B6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 xml:space="preserve">  Arrhythmia</w:t>
            </w:r>
          </w:p>
        </w:tc>
        <w:tc>
          <w:tcPr>
            <w:tcW w:w="1656" w:type="dxa"/>
            <w:vAlign w:val="center"/>
            <w:hideMark/>
          </w:tcPr>
          <w:p w14:paraId="19326BF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18 (26.47)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3E65514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8" w:left="163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17 (32.69)</w:t>
            </w:r>
          </w:p>
        </w:tc>
        <w:tc>
          <w:tcPr>
            <w:tcW w:w="1797" w:type="dxa"/>
            <w:gridSpan w:val="2"/>
            <w:vAlign w:val="center"/>
            <w:hideMark/>
          </w:tcPr>
          <w:p w14:paraId="4FECDE00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5" w:left="156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 (6.25)</w:t>
            </w:r>
          </w:p>
        </w:tc>
        <w:tc>
          <w:tcPr>
            <w:tcW w:w="1016" w:type="dxa"/>
            <w:gridSpan w:val="3"/>
            <w:vAlign w:val="center"/>
            <w:hideMark/>
          </w:tcPr>
          <w:p w14:paraId="4D0D767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45" w:left="108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0.036</w:t>
            </w:r>
          </w:p>
        </w:tc>
      </w:tr>
      <w:tr w:rsidR="009F72C1" w:rsidRPr="004D75AE" w14:paraId="0A5793A9" w14:textId="77777777" w:rsidTr="009F72C1">
        <w:trPr>
          <w:trHeight w:val="298"/>
        </w:trPr>
        <w:tc>
          <w:tcPr>
            <w:tcW w:w="2694" w:type="dxa"/>
            <w:vAlign w:val="center"/>
            <w:hideMark/>
          </w:tcPr>
          <w:p w14:paraId="08D6F35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 xml:space="preserve">  Cardiomyopathy</w:t>
            </w:r>
          </w:p>
        </w:tc>
        <w:tc>
          <w:tcPr>
            <w:tcW w:w="1656" w:type="dxa"/>
            <w:vAlign w:val="center"/>
            <w:hideMark/>
          </w:tcPr>
          <w:p w14:paraId="3942897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 (4.41)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48A0051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8" w:left="163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2 (3.85)</w:t>
            </w:r>
          </w:p>
        </w:tc>
        <w:tc>
          <w:tcPr>
            <w:tcW w:w="1797" w:type="dxa"/>
            <w:gridSpan w:val="2"/>
            <w:vAlign w:val="center"/>
            <w:hideMark/>
          </w:tcPr>
          <w:p w14:paraId="3DF087B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5" w:left="156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 (6.25)</w:t>
            </w:r>
          </w:p>
        </w:tc>
        <w:tc>
          <w:tcPr>
            <w:tcW w:w="1016" w:type="dxa"/>
            <w:gridSpan w:val="3"/>
            <w:vAlign w:val="center"/>
            <w:hideMark/>
          </w:tcPr>
          <w:p w14:paraId="4F9460E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45" w:left="108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0.682</w:t>
            </w:r>
          </w:p>
        </w:tc>
      </w:tr>
      <w:tr w:rsidR="009F72C1" w:rsidRPr="004D75AE" w14:paraId="0315C563" w14:textId="77777777" w:rsidTr="009F72C1">
        <w:trPr>
          <w:trHeight w:val="298"/>
        </w:trPr>
        <w:tc>
          <w:tcPr>
            <w:tcW w:w="2694" w:type="dxa"/>
            <w:vAlign w:val="center"/>
            <w:hideMark/>
          </w:tcPr>
          <w:p w14:paraId="5CC85DE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 xml:space="preserve">  Septic complication</w:t>
            </w:r>
          </w:p>
        </w:tc>
        <w:tc>
          <w:tcPr>
            <w:tcW w:w="1656" w:type="dxa"/>
            <w:vAlign w:val="center"/>
            <w:hideMark/>
          </w:tcPr>
          <w:p w14:paraId="0DC7913C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3C1B594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8" w:left="163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</w:t>
            </w:r>
          </w:p>
        </w:tc>
        <w:tc>
          <w:tcPr>
            <w:tcW w:w="1797" w:type="dxa"/>
            <w:gridSpan w:val="2"/>
            <w:vAlign w:val="center"/>
            <w:hideMark/>
          </w:tcPr>
          <w:p w14:paraId="003BDDC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5" w:left="156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</w:t>
            </w:r>
          </w:p>
        </w:tc>
        <w:tc>
          <w:tcPr>
            <w:tcW w:w="1016" w:type="dxa"/>
            <w:gridSpan w:val="3"/>
            <w:vAlign w:val="center"/>
          </w:tcPr>
          <w:p w14:paraId="13B7892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45" w:left="108"/>
              <w:rPr>
                <w:rFonts w:eastAsia="Times New Roman" w:cs="Times New Roman"/>
                <w:kern w:val="2"/>
              </w:rPr>
            </w:pPr>
            <w:r w:rsidRPr="004D75AE">
              <w:rPr>
                <w:rFonts w:cs="Times New Roman"/>
              </w:rPr>
              <w:t>—</w:t>
            </w:r>
          </w:p>
        </w:tc>
      </w:tr>
      <w:tr w:rsidR="009F72C1" w:rsidRPr="004D75AE" w14:paraId="4C66085B" w14:textId="77777777" w:rsidTr="009F72C1">
        <w:trPr>
          <w:trHeight w:val="298"/>
        </w:trPr>
        <w:tc>
          <w:tcPr>
            <w:tcW w:w="2694" w:type="dxa"/>
            <w:vAlign w:val="center"/>
            <w:hideMark/>
          </w:tcPr>
          <w:p w14:paraId="7542207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 xml:space="preserve">  Others</w:t>
            </w:r>
          </w:p>
        </w:tc>
        <w:tc>
          <w:tcPr>
            <w:tcW w:w="1656" w:type="dxa"/>
            <w:vAlign w:val="center"/>
            <w:hideMark/>
          </w:tcPr>
          <w:p w14:paraId="04E5504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11 (16.18)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6C45BA4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8" w:left="163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8 (15.38)</w:t>
            </w:r>
          </w:p>
        </w:tc>
        <w:tc>
          <w:tcPr>
            <w:tcW w:w="1797" w:type="dxa"/>
            <w:gridSpan w:val="2"/>
            <w:vAlign w:val="center"/>
            <w:hideMark/>
          </w:tcPr>
          <w:p w14:paraId="4A08847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5" w:left="156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3 (18.75)</w:t>
            </w:r>
          </w:p>
        </w:tc>
        <w:tc>
          <w:tcPr>
            <w:tcW w:w="1016" w:type="dxa"/>
            <w:gridSpan w:val="3"/>
            <w:vAlign w:val="center"/>
            <w:hideMark/>
          </w:tcPr>
          <w:p w14:paraId="43CDE20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45" w:left="108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0.749</w:t>
            </w:r>
          </w:p>
        </w:tc>
      </w:tr>
      <w:tr w:rsidR="009F72C1" w:rsidRPr="004D75AE" w14:paraId="6AB29038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vAlign w:val="center"/>
            <w:hideMark/>
          </w:tcPr>
          <w:p w14:paraId="015B59A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CCU stay (days)</w:t>
            </w:r>
          </w:p>
        </w:tc>
        <w:tc>
          <w:tcPr>
            <w:tcW w:w="1656" w:type="dxa"/>
            <w:vAlign w:val="center"/>
            <w:hideMark/>
          </w:tcPr>
          <w:p w14:paraId="288B70A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5 (3-12)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086C87DD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8" w:left="163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4 (4-13)</w:t>
            </w:r>
          </w:p>
        </w:tc>
        <w:tc>
          <w:tcPr>
            <w:tcW w:w="1797" w:type="dxa"/>
            <w:gridSpan w:val="2"/>
            <w:vAlign w:val="center"/>
            <w:hideMark/>
          </w:tcPr>
          <w:p w14:paraId="46A4F12E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5" w:left="156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15 (9-17)</w:t>
            </w:r>
          </w:p>
        </w:tc>
        <w:tc>
          <w:tcPr>
            <w:tcW w:w="987" w:type="dxa"/>
            <w:gridSpan w:val="2"/>
            <w:vAlign w:val="center"/>
            <w:hideMark/>
          </w:tcPr>
          <w:p w14:paraId="40C5434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45" w:left="108"/>
              <w:jc w:val="both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0.003</w:t>
            </w:r>
          </w:p>
        </w:tc>
      </w:tr>
      <w:tr w:rsidR="009F72C1" w:rsidRPr="004D75AE" w14:paraId="7F361F0B" w14:textId="77777777" w:rsidTr="009F72C1">
        <w:trPr>
          <w:gridAfter w:val="1"/>
          <w:wAfter w:w="29" w:type="dxa"/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53B299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Hospital stay (days)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F773E5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12 (7-24)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25E9A4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8" w:left="163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12 (12-63)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80FD11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65" w:left="156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17 (9-17)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92966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leftChars="45" w:left="108"/>
              <w:jc w:val="both"/>
              <w:rPr>
                <w:rFonts w:eastAsia="Times New Roman" w:cs="Times New Roman"/>
                <w:kern w:val="2"/>
              </w:rPr>
            </w:pPr>
            <w:r w:rsidRPr="004D75AE">
              <w:rPr>
                <w:rFonts w:eastAsia="Times New Roman" w:cs="Times New Roman"/>
                <w:kern w:val="2"/>
              </w:rPr>
              <w:t>0.433</w:t>
            </w:r>
          </w:p>
        </w:tc>
      </w:tr>
    </w:tbl>
    <w:p w14:paraId="5A51E5E6" w14:textId="77777777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</w:rPr>
      </w:pPr>
      <w:bookmarkStart w:id="1" w:name="_gjdgxs"/>
      <w:bookmarkStart w:id="2" w:name="_xc7qjem7uksx"/>
      <w:bookmarkEnd w:id="1"/>
      <w:bookmarkEnd w:id="2"/>
      <w:r w:rsidRPr="004D75AE">
        <w:rPr>
          <w:rFonts w:cs="Times New Roman"/>
        </w:rPr>
        <w:t>Data presented as no. (%) or as median (IQR).</w:t>
      </w:r>
    </w:p>
    <w:p w14:paraId="12EDA0F8" w14:textId="77777777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</w:rPr>
      </w:pPr>
      <w:r w:rsidRPr="004D75AE">
        <w:rPr>
          <w:rFonts w:eastAsia="Times New Roman" w:cs="Times New Roman"/>
        </w:rPr>
        <w:lastRenderedPageBreak/>
        <w:t>ACS, acute coronary syndrome; ADHF, acute decompensated heart failure; CABG, coronary artery bypass grafting; CAG, coronary angiography; CCU, cardiac care unit; CPR, cardiopulmonary resuscitation; MCS, mechanical circulatory support devices; NTG, nitroglycerin; RRT, renal replacement therapy; TCP, transcutaneous pacing.</w:t>
      </w:r>
    </w:p>
    <w:p w14:paraId="4144F999" w14:textId="77777777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  <w:sz w:val="22"/>
        </w:rPr>
      </w:pPr>
    </w:p>
    <w:p w14:paraId="0E284292" w14:textId="77777777" w:rsidR="009F72C1" w:rsidRPr="004D75AE" w:rsidRDefault="009F72C1" w:rsidP="009F72C1">
      <w:pPr>
        <w:adjustRightInd w:val="0"/>
        <w:snapToGrid w:val="0"/>
        <w:spacing w:before="0" w:after="0"/>
        <w:rPr>
          <w:rFonts w:eastAsia="Times New Roman" w:cs="Times New Roman"/>
        </w:rPr>
      </w:pPr>
      <w:r w:rsidRPr="004D75AE">
        <w:rPr>
          <w:rFonts w:eastAsia="Times New Roman" w:cs="Times New Roman"/>
        </w:rPr>
        <w:br w:type="page"/>
      </w:r>
    </w:p>
    <w:p w14:paraId="398E824D" w14:textId="01E8C5D4" w:rsidR="009F72C1" w:rsidRPr="004D75AE" w:rsidRDefault="009F72C1" w:rsidP="009F72C1">
      <w:pPr>
        <w:adjustRightInd w:val="0"/>
        <w:snapToGrid w:val="0"/>
        <w:spacing w:before="0" w:after="0"/>
        <w:rPr>
          <w:rFonts w:cs="Times New Roman"/>
          <w:b/>
        </w:rPr>
      </w:pPr>
      <w:r w:rsidRPr="004D75AE">
        <w:rPr>
          <w:rFonts w:cs="Times New Roman"/>
          <w:b/>
        </w:rPr>
        <w:lastRenderedPageBreak/>
        <w:t xml:space="preserve">Supplementary Table </w:t>
      </w:r>
      <w:r w:rsidR="00A27245" w:rsidRPr="004D75AE">
        <w:rPr>
          <w:rFonts w:cs="Times New Roman"/>
          <w:b/>
        </w:rPr>
        <w:t>5</w:t>
      </w:r>
      <w:r w:rsidRPr="004D75AE">
        <w:rPr>
          <w:rFonts w:cs="Times New Roman"/>
          <w:b/>
        </w:rPr>
        <w:t xml:space="preserve">. </w:t>
      </w:r>
      <w:r w:rsidRPr="004D75AE">
        <w:rPr>
          <w:rFonts w:cs="Times New Roman" w:hint="eastAsia"/>
          <w:b/>
        </w:rPr>
        <w:t>O</w:t>
      </w:r>
      <w:r w:rsidRPr="004D75AE">
        <w:rPr>
          <w:rFonts w:cs="Times New Roman"/>
          <w:b/>
        </w:rPr>
        <w:t>utcomes of groups stratified by CSP severity</w:t>
      </w:r>
      <w:r w:rsidRPr="004D75AE">
        <w:rPr>
          <w:rFonts w:cs="Times New Roman" w:hint="eastAsia"/>
          <w:b/>
        </w:rPr>
        <w:t>.</w:t>
      </w:r>
    </w:p>
    <w:tbl>
      <w:tblPr>
        <w:tblStyle w:val="aff4"/>
        <w:tblW w:w="931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66"/>
        <w:gridCol w:w="1497"/>
        <w:gridCol w:w="1590"/>
        <w:gridCol w:w="1661"/>
      </w:tblGrid>
      <w:tr w:rsidR="009F72C1" w:rsidRPr="004D75AE" w14:paraId="62821320" w14:textId="77777777" w:rsidTr="00A27245">
        <w:trPr>
          <w:trHeight w:val="51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29A4B5" w14:textId="77777777" w:rsidR="009F72C1" w:rsidRPr="004D75AE" w:rsidRDefault="009F72C1" w:rsidP="009F72C1">
            <w:pPr>
              <w:pStyle w:val="aa"/>
              <w:adjustRightInd w:val="0"/>
              <w:snapToGrid w:val="0"/>
              <w:jc w:val="both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S</w:t>
            </w:r>
            <w:r w:rsidRPr="004D75AE">
              <w:rPr>
                <w:rFonts w:cs="Times New Roman"/>
              </w:rPr>
              <w:t xml:space="preserve">tudy </w:t>
            </w:r>
            <w:r w:rsidRPr="004D75AE">
              <w:rPr>
                <w:rFonts w:cs="Times New Roman" w:hint="eastAsia"/>
              </w:rPr>
              <w:t>Sa</w:t>
            </w:r>
            <w:r w:rsidRPr="004D75AE">
              <w:rPr>
                <w:rFonts w:cs="Times New Roman"/>
              </w:rPr>
              <w:t>mple</w:t>
            </w:r>
          </w:p>
        </w:tc>
        <w:tc>
          <w:tcPr>
            <w:tcW w:w="5914" w:type="dxa"/>
            <w:gridSpan w:val="4"/>
            <w:tcBorders>
              <w:bottom w:val="single" w:sz="4" w:space="0" w:color="auto"/>
            </w:tcBorders>
            <w:vAlign w:val="center"/>
          </w:tcPr>
          <w:p w14:paraId="77A07A55" w14:textId="654B48BB" w:rsidR="009F72C1" w:rsidRPr="004D75AE" w:rsidRDefault="0015093B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CSP</w:t>
            </w:r>
            <w:r w:rsidR="009F72C1" w:rsidRPr="004D75AE">
              <w:rPr>
                <w:rFonts w:cs="Times New Roman"/>
              </w:rPr>
              <w:t xml:space="preserve"> Score</w:t>
            </w:r>
          </w:p>
        </w:tc>
      </w:tr>
      <w:tr w:rsidR="009F72C1" w:rsidRPr="004D75AE" w14:paraId="4BF53166" w14:textId="77777777" w:rsidTr="00A27245">
        <w:trPr>
          <w:trHeight w:val="871"/>
          <w:jc w:val="center"/>
        </w:trPr>
        <w:tc>
          <w:tcPr>
            <w:tcW w:w="3402" w:type="dxa"/>
            <w:vAlign w:val="center"/>
          </w:tcPr>
          <w:p w14:paraId="3324A365" w14:textId="77777777" w:rsidR="009F72C1" w:rsidRPr="004D75AE" w:rsidRDefault="009F72C1" w:rsidP="009F72C1">
            <w:pPr>
              <w:pStyle w:val="aa"/>
              <w:adjustRightInd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66" w:type="dxa"/>
          </w:tcPr>
          <w:p w14:paraId="1F9D1B55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Total</w:t>
            </w:r>
          </w:p>
        </w:tc>
        <w:tc>
          <w:tcPr>
            <w:tcW w:w="1497" w:type="dxa"/>
          </w:tcPr>
          <w:p w14:paraId="692E43D9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Low-risk</w:t>
            </w:r>
          </w:p>
          <w:p w14:paraId="2EEDCFF9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ascii="新細明體" w:hAnsi="新細明體" w:cs="新細明體" w:hint="eastAsia"/>
              </w:rPr>
              <w:t>≦</w:t>
            </w:r>
            <w:r w:rsidRPr="004D75AE">
              <w:rPr>
                <w:rFonts w:cs="Times New Roman"/>
              </w:rPr>
              <w:t xml:space="preserve"> 115</w:t>
            </w:r>
          </w:p>
        </w:tc>
        <w:tc>
          <w:tcPr>
            <w:tcW w:w="1590" w:type="dxa"/>
          </w:tcPr>
          <w:p w14:paraId="74504BC3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Medium-risk</w:t>
            </w:r>
          </w:p>
          <w:p w14:paraId="47775C8B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116 – 209</w:t>
            </w:r>
          </w:p>
        </w:tc>
        <w:tc>
          <w:tcPr>
            <w:tcW w:w="1661" w:type="dxa"/>
          </w:tcPr>
          <w:p w14:paraId="49261F21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High-risk</w:t>
            </w:r>
          </w:p>
          <w:p w14:paraId="56851EA3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ascii="新細明體" w:hAnsi="新細明體" w:cs="新細明體" w:hint="eastAsia"/>
              </w:rPr>
              <w:t>≧</w:t>
            </w:r>
            <w:r w:rsidRPr="004D75AE">
              <w:rPr>
                <w:rFonts w:cs="Times New Roman"/>
              </w:rPr>
              <w:t xml:space="preserve"> 210</w:t>
            </w:r>
          </w:p>
        </w:tc>
      </w:tr>
      <w:tr w:rsidR="009F72C1" w:rsidRPr="004D75AE" w14:paraId="5AFE4086" w14:textId="77777777" w:rsidTr="00A27245">
        <w:trPr>
          <w:trHeight w:val="510"/>
          <w:jc w:val="center"/>
        </w:trPr>
        <w:tc>
          <w:tcPr>
            <w:tcW w:w="9316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74FC42" w14:textId="77777777" w:rsidR="009F72C1" w:rsidRPr="004D75AE" w:rsidRDefault="009F72C1" w:rsidP="009F72C1">
            <w:pPr>
              <w:pStyle w:val="aa"/>
              <w:adjustRightInd w:val="0"/>
              <w:snapToGrid w:val="0"/>
              <w:jc w:val="both"/>
              <w:rPr>
                <w:rFonts w:cs="Times New Roman"/>
                <w:bCs/>
              </w:rPr>
            </w:pPr>
            <w:r w:rsidRPr="004D75AE">
              <w:rPr>
                <w:rFonts w:cs="Times New Roman"/>
                <w:bCs/>
              </w:rPr>
              <w:t>Derivation cohort</w:t>
            </w:r>
          </w:p>
        </w:tc>
      </w:tr>
      <w:tr w:rsidR="009F72C1" w:rsidRPr="004D75AE" w14:paraId="7229FA80" w14:textId="77777777" w:rsidTr="00A27245">
        <w:trPr>
          <w:trHeight w:val="510"/>
          <w:jc w:val="center"/>
        </w:trPr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6FE38A2" w14:textId="77777777" w:rsidR="009F72C1" w:rsidRPr="004D75AE" w:rsidRDefault="009F72C1" w:rsidP="009F72C1">
            <w:pPr>
              <w:pStyle w:val="aa"/>
              <w:adjustRightInd w:val="0"/>
              <w:snapToGrid w:val="0"/>
              <w:ind w:firstLineChars="200" w:firstLine="480"/>
              <w:jc w:val="both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Patient number, n</w:t>
            </w:r>
          </w:p>
        </w:tc>
        <w:tc>
          <w:tcPr>
            <w:tcW w:w="1166" w:type="dxa"/>
            <w:tcBorders>
              <w:top w:val="dotted" w:sz="4" w:space="0" w:color="auto"/>
            </w:tcBorders>
            <w:vAlign w:val="center"/>
          </w:tcPr>
          <w:p w14:paraId="41CF8488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243</w:t>
            </w:r>
          </w:p>
        </w:tc>
        <w:tc>
          <w:tcPr>
            <w:tcW w:w="1497" w:type="dxa"/>
            <w:tcBorders>
              <w:top w:val="dotted" w:sz="4" w:space="0" w:color="auto"/>
            </w:tcBorders>
            <w:vAlign w:val="center"/>
          </w:tcPr>
          <w:p w14:paraId="511C1B8A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79</w:t>
            </w:r>
          </w:p>
        </w:tc>
        <w:tc>
          <w:tcPr>
            <w:tcW w:w="1590" w:type="dxa"/>
            <w:tcBorders>
              <w:top w:val="dotted" w:sz="4" w:space="0" w:color="auto"/>
            </w:tcBorders>
            <w:vAlign w:val="center"/>
          </w:tcPr>
          <w:p w14:paraId="3E595792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80</w:t>
            </w:r>
          </w:p>
        </w:tc>
        <w:tc>
          <w:tcPr>
            <w:tcW w:w="1661" w:type="dxa"/>
            <w:tcBorders>
              <w:top w:val="dotted" w:sz="4" w:space="0" w:color="auto"/>
            </w:tcBorders>
            <w:vAlign w:val="center"/>
          </w:tcPr>
          <w:p w14:paraId="04815F19" w14:textId="77777777" w:rsidR="009F72C1" w:rsidRPr="004D75AE" w:rsidRDefault="009F72C1" w:rsidP="009F72C1">
            <w:pPr>
              <w:pStyle w:val="aa"/>
              <w:tabs>
                <w:tab w:val="center" w:pos="1216"/>
                <w:tab w:val="right" w:pos="2432"/>
              </w:tabs>
              <w:adjustRightInd w:val="0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84</w:t>
            </w:r>
          </w:p>
        </w:tc>
      </w:tr>
      <w:tr w:rsidR="009F72C1" w:rsidRPr="004D75AE" w14:paraId="2C14BD68" w14:textId="77777777" w:rsidTr="00A27245">
        <w:trPr>
          <w:trHeight w:val="510"/>
          <w:jc w:val="center"/>
        </w:trPr>
        <w:tc>
          <w:tcPr>
            <w:tcW w:w="3402" w:type="dxa"/>
            <w:tcBorders>
              <w:bottom w:val="nil"/>
            </w:tcBorders>
            <w:vAlign w:val="center"/>
          </w:tcPr>
          <w:p w14:paraId="4F7BF816" w14:textId="77777777" w:rsidR="009F72C1" w:rsidRPr="004D75AE" w:rsidRDefault="009F72C1" w:rsidP="009F72C1">
            <w:pPr>
              <w:pStyle w:val="aa"/>
              <w:adjustRightInd w:val="0"/>
              <w:snapToGrid w:val="0"/>
              <w:ind w:firstLineChars="200" w:firstLine="480"/>
              <w:jc w:val="both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In-hospital mortality, n (%)</w:t>
            </w:r>
          </w:p>
        </w:tc>
        <w:tc>
          <w:tcPr>
            <w:tcW w:w="1166" w:type="dxa"/>
            <w:tcBorders>
              <w:bottom w:val="nil"/>
            </w:tcBorders>
            <w:vAlign w:val="center"/>
          </w:tcPr>
          <w:p w14:paraId="61E939EF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63</w:t>
            </w:r>
          </w:p>
        </w:tc>
        <w:tc>
          <w:tcPr>
            <w:tcW w:w="1497" w:type="dxa"/>
            <w:tcBorders>
              <w:bottom w:val="nil"/>
            </w:tcBorders>
            <w:shd w:val="clear" w:color="auto" w:fill="auto"/>
            <w:vAlign w:val="center"/>
          </w:tcPr>
          <w:p w14:paraId="4B606CC6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590" w:type="dxa"/>
            <w:tcBorders>
              <w:bottom w:val="nil"/>
            </w:tcBorders>
            <w:shd w:val="clear" w:color="auto" w:fill="auto"/>
            <w:vAlign w:val="center"/>
          </w:tcPr>
          <w:p w14:paraId="4D39D7CC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7 (8.75)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auto"/>
            <w:vAlign w:val="center"/>
          </w:tcPr>
          <w:p w14:paraId="3F188E38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4D75AE">
              <w:rPr>
                <w:rFonts w:cs="Times New Roman"/>
                <w:color w:val="000000" w:themeColor="text1"/>
              </w:rPr>
              <w:t>56 (66.67)</w:t>
            </w:r>
          </w:p>
        </w:tc>
      </w:tr>
      <w:tr w:rsidR="009F72C1" w:rsidRPr="004D75AE" w14:paraId="19491A04" w14:textId="77777777" w:rsidTr="00A27245">
        <w:trPr>
          <w:trHeight w:val="510"/>
          <w:jc w:val="center"/>
        </w:trPr>
        <w:tc>
          <w:tcPr>
            <w:tcW w:w="9316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B30810" w14:textId="77777777" w:rsidR="009F72C1" w:rsidRPr="004D75AE" w:rsidRDefault="009F72C1" w:rsidP="009F72C1">
            <w:pPr>
              <w:pStyle w:val="aa"/>
              <w:adjustRightInd w:val="0"/>
              <w:snapToGrid w:val="0"/>
              <w:jc w:val="both"/>
              <w:rPr>
                <w:rFonts w:cs="Times New Roman"/>
                <w:bCs/>
              </w:rPr>
            </w:pPr>
            <w:r w:rsidRPr="004D75AE">
              <w:rPr>
                <w:rFonts w:cs="Times New Roman"/>
                <w:bCs/>
              </w:rPr>
              <w:t>Validation cohort</w:t>
            </w:r>
          </w:p>
        </w:tc>
      </w:tr>
      <w:tr w:rsidR="009F72C1" w:rsidRPr="004D75AE" w14:paraId="4131FB71" w14:textId="77777777" w:rsidTr="00A27245">
        <w:trPr>
          <w:trHeight w:val="510"/>
          <w:jc w:val="center"/>
        </w:trPr>
        <w:tc>
          <w:tcPr>
            <w:tcW w:w="3402" w:type="dxa"/>
            <w:tcBorders>
              <w:top w:val="dotted" w:sz="4" w:space="0" w:color="auto"/>
              <w:bottom w:val="nil"/>
            </w:tcBorders>
            <w:vAlign w:val="center"/>
          </w:tcPr>
          <w:p w14:paraId="2477DAE1" w14:textId="77777777" w:rsidR="009F72C1" w:rsidRPr="004D75AE" w:rsidRDefault="009F72C1" w:rsidP="009F72C1">
            <w:pPr>
              <w:pStyle w:val="aa"/>
              <w:adjustRightInd w:val="0"/>
              <w:snapToGrid w:val="0"/>
              <w:ind w:firstLineChars="200" w:firstLine="480"/>
              <w:jc w:val="both"/>
              <w:rPr>
                <w:rFonts w:cs="Times New Roman"/>
              </w:rPr>
            </w:pPr>
            <w:r w:rsidRPr="004D75AE">
              <w:rPr>
                <w:rFonts w:cs="Times New Roman"/>
              </w:rPr>
              <w:t>Patient number, n</w:t>
            </w:r>
          </w:p>
        </w:tc>
        <w:tc>
          <w:tcPr>
            <w:tcW w:w="1166" w:type="dxa"/>
            <w:tcBorders>
              <w:top w:val="dotted" w:sz="4" w:space="0" w:color="auto"/>
              <w:bottom w:val="nil"/>
            </w:tcBorders>
            <w:vAlign w:val="center"/>
          </w:tcPr>
          <w:p w14:paraId="2514B1E5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68</w:t>
            </w:r>
          </w:p>
        </w:tc>
        <w:tc>
          <w:tcPr>
            <w:tcW w:w="1497" w:type="dxa"/>
            <w:tcBorders>
              <w:top w:val="dotted" w:sz="4" w:space="0" w:color="auto"/>
              <w:bottom w:val="nil"/>
            </w:tcBorders>
            <w:vAlign w:val="center"/>
          </w:tcPr>
          <w:p w14:paraId="25F974F6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28</w:t>
            </w:r>
          </w:p>
        </w:tc>
        <w:tc>
          <w:tcPr>
            <w:tcW w:w="1590" w:type="dxa"/>
            <w:tcBorders>
              <w:top w:val="dotted" w:sz="4" w:space="0" w:color="auto"/>
              <w:bottom w:val="nil"/>
            </w:tcBorders>
            <w:vAlign w:val="center"/>
          </w:tcPr>
          <w:p w14:paraId="6E08C1E1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19</w:t>
            </w:r>
          </w:p>
        </w:tc>
        <w:tc>
          <w:tcPr>
            <w:tcW w:w="1661" w:type="dxa"/>
            <w:tcBorders>
              <w:top w:val="dotted" w:sz="4" w:space="0" w:color="auto"/>
              <w:bottom w:val="nil"/>
            </w:tcBorders>
            <w:vAlign w:val="center"/>
          </w:tcPr>
          <w:p w14:paraId="6102BDA3" w14:textId="77777777" w:rsidR="009F72C1" w:rsidRPr="004D75AE" w:rsidRDefault="009F72C1" w:rsidP="009F72C1">
            <w:pPr>
              <w:pStyle w:val="aa"/>
              <w:adjustRightInd w:val="0"/>
              <w:snapToGrid w:val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21</w:t>
            </w:r>
          </w:p>
        </w:tc>
      </w:tr>
      <w:tr w:rsidR="009F72C1" w:rsidRPr="004D75AE" w14:paraId="1056F118" w14:textId="77777777" w:rsidTr="00A27245">
        <w:trPr>
          <w:trHeight w:val="510"/>
          <w:jc w:val="center"/>
        </w:trPr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3588071A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ind w:firstLineChars="192" w:firstLine="461"/>
              <w:jc w:val="both"/>
              <w:rPr>
                <w:rFonts w:cs="Times New Roman"/>
              </w:rPr>
            </w:pPr>
            <w:r w:rsidRPr="004D75AE">
              <w:rPr>
                <w:rFonts w:cs="Times New Roman" w:hint="eastAsia"/>
              </w:rPr>
              <w:t>In</w:t>
            </w:r>
            <w:r w:rsidRPr="004D75AE">
              <w:rPr>
                <w:rFonts w:cs="Times New Roman"/>
              </w:rPr>
              <w:t>-hospital mortality, n (%)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  <w:vAlign w:val="center"/>
          </w:tcPr>
          <w:p w14:paraId="3E853D3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16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8B7AB2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1 (3.57)</w:t>
            </w: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EECC37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4 (21.05)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1D33BF" w14:textId="77777777" w:rsidR="009F72C1" w:rsidRPr="004D75AE" w:rsidRDefault="009F72C1" w:rsidP="009F72C1">
            <w:pPr>
              <w:adjustRightInd w:val="0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4D75AE">
              <w:rPr>
                <w:rFonts w:cs="Times New Roman"/>
              </w:rPr>
              <w:t>11 (52.38</w:t>
            </w:r>
            <w:r w:rsidRPr="004D75AE">
              <w:rPr>
                <w:rFonts w:cs="Times New Roman"/>
                <w:color w:val="000000" w:themeColor="text1"/>
              </w:rPr>
              <w:t>)</w:t>
            </w:r>
          </w:p>
        </w:tc>
      </w:tr>
    </w:tbl>
    <w:p w14:paraId="726BDCDD" w14:textId="77777777" w:rsidR="009F72C1" w:rsidRDefault="009F72C1" w:rsidP="009F72C1">
      <w:pPr>
        <w:spacing w:before="0" w:after="0"/>
      </w:pPr>
      <w:r w:rsidRPr="004D75AE">
        <w:rPr>
          <w:rFonts w:cs="Times New Roman"/>
        </w:rPr>
        <w:t>CSP, Cardiogenic Shock Prognosis.</w:t>
      </w:r>
    </w:p>
    <w:p w14:paraId="397C8E58" w14:textId="77777777" w:rsidR="009F72C1" w:rsidRPr="001549D3" w:rsidRDefault="009F72C1" w:rsidP="009F72C1">
      <w:pPr>
        <w:spacing w:before="0" w:after="0"/>
      </w:pPr>
    </w:p>
    <w:sectPr w:rsidR="009F72C1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FDB2" w14:textId="77777777" w:rsidR="00A27245" w:rsidRDefault="00A27245" w:rsidP="00117666">
      <w:pPr>
        <w:spacing w:after="0"/>
      </w:pPr>
      <w:r>
        <w:separator/>
      </w:r>
    </w:p>
  </w:endnote>
  <w:endnote w:type="continuationSeparator" w:id="0">
    <w:p w14:paraId="14E0830A" w14:textId="77777777" w:rsidR="00A27245" w:rsidRDefault="00A2724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A27245" w:rsidRPr="00577C4C" w:rsidRDefault="00A27245">
    <w:pPr>
      <w:rPr>
        <w:color w:val="C00000"/>
        <w:szCs w:val="2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42BBD0ED" w:rsidR="00A27245" w:rsidRPr="00577C4C" w:rsidRDefault="00A2724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4D75AE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42BBD0ED" w:rsidR="00A27245" w:rsidRPr="00577C4C" w:rsidRDefault="00A27245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4D75AE">
                      <w:rPr>
                        <w:noProof/>
                        <w:color w:val="000000" w:themeColor="text1"/>
                        <w:szCs w:val="40"/>
                      </w:rPr>
                      <w:t>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A27245" w:rsidRPr="00577C4C" w:rsidRDefault="00A27245">
    <w:pPr>
      <w:rPr>
        <w:b/>
        <w:sz w:val="20"/>
        <w:szCs w:val="2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0D2EB217" w:rsidR="00A27245" w:rsidRPr="00577C4C" w:rsidRDefault="00A2724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4D75AE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0D2EB217" w:rsidR="00A27245" w:rsidRPr="00577C4C" w:rsidRDefault="00A27245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4D75AE">
                      <w:rPr>
                        <w:noProof/>
                        <w:color w:val="000000" w:themeColor="text1"/>
                        <w:szCs w:val="40"/>
                      </w:rPr>
                      <w:t>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9C91" w14:textId="77777777" w:rsidR="00A27245" w:rsidRDefault="00A27245" w:rsidP="00117666">
      <w:pPr>
        <w:spacing w:after="0"/>
      </w:pPr>
      <w:r>
        <w:separator/>
      </w:r>
    </w:p>
  </w:footnote>
  <w:footnote w:type="continuationSeparator" w:id="0">
    <w:p w14:paraId="5BACC2C0" w14:textId="77777777" w:rsidR="00A27245" w:rsidRDefault="00A2724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A27245" w:rsidRPr="009151AA" w:rsidRDefault="00A27245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A27245" w:rsidRDefault="00A27245" w:rsidP="0093429D">
    <w:r w:rsidRPr="005A1D84">
      <w:rPr>
        <w:b/>
        <w:noProof/>
        <w:color w:val="A6A6A6" w:themeColor="background1" w:themeShade="A6"/>
        <w:lang w:eastAsia="zh-TW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4D7A32"/>
    <w:multiLevelType w:val="hybridMultilevel"/>
    <w:tmpl w:val="6D4205DC"/>
    <w:lvl w:ilvl="0" w:tplc="9E06FC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3CDC"/>
    <w:multiLevelType w:val="hybridMultilevel"/>
    <w:tmpl w:val="D4DCB556"/>
    <w:lvl w:ilvl="0" w:tplc="FCD62DD0">
      <w:start w:val="10"/>
      <w:numFmt w:val="bullet"/>
      <w:lvlText w:val=""/>
      <w:lvlJc w:val="left"/>
      <w:pPr>
        <w:ind w:left="585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007BEB"/>
    <w:multiLevelType w:val="hybridMultilevel"/>
    <w:tmpl w:val="300C8B42"/>
    <w:lvl w:ilvl="0" w:tplc="1E4E1676">
      <w:start w:val="10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7" w15:restartNumberingAfterBreak="0">
    <w:nsid w:val="340974B8"/>
    <w:multiLevelType w:val="hybridMultilevel"/>
    <w:tmpl w:val="230E10DA"/>
    <w:lvl w:ilvl="0" w:tplc="E95898C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2D5D5F"/>
    <w:multiLevelType w:val="hybridMultilevel"/>
    <w:tmpl w:val="212872D2"/>
    <w:lvl w:ilvl="0" w:tplc="E95898C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052"/>
    <w:multiLevelType w:val="hybridMultilevel"/>
    <w:tmpl w:val="76AAC226"/>
    <w:lvl w:ilvl="0" w:tplc="F7564BAC">
      <w:start w:val="10"/>
      <w:numFmt w:val="bullet"/>
      <w:lvlText w:val=""/>
      <w:lvlJc w:val="left"/>
      <w:pPr>
        <w:ind w:left="756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11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72AB6267"/>
    <w:multiLevelType w:val="hybridMultilevel"/>
    <w:tmpl w:val="5A8E4D82"/>
    <w:lvl w:ilvl="0" w:tplc="9920C5A2">
      <w:start w:val="10"/>
      <w:numFmt w:val="bullet"/>
      <w:lvlText w:val=""/>
      <w:lvlJc w:val="left"/>
      <w:pPr>
        <w:ind w:left="585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5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8"/>
  </w:num>
  <w:num w:numId="21">
    <w:abstractNumId w:val="7"/>
  </w:num>
  <w:num w:numId="22">
    <w:abstractNumId w:val="10"/>
  </w:num>
  <w:num w:numId="23">
    <w:abstractNumId w:val="3"/>
  </w:num>
  <w:num w:numId="24">
    <w:abstractNumId w:val="13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093B"/>
    <w:rsid w:val="001549D3"/>
    <w:rsid w:val="00160065"/>
    <w:rsid w:val="00177D84"/>
    <w:rsid w:val="001F3264"/>
    <w:rsid w:val="00267D18"/>
    <w:rsid w:val="00274347"/>
    <w:rsid w:val="00276BAE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4D75AE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6F307A"/>
    <w:rsid w:val="00701727"/>
    <w:rsid w:val="00702A8A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9F72C1"/>
    <w:rsid w:val="00A174D9"/>
    <w:rsid w:val="00A27245"/>
    <w:rsid w:val="00AA4D24"/>
    <w:rsid w:val="00AB6715"/>
    <w:rsid w:val="00AD7B0D"/>
    <w:rsid w:val="00B1671E"/>
    <w:rsid w:val="00B25EB8"/>
    <w:rsid w:val="00B37F4D"/>
    <w:rsid w:val="00B43F89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qFormat/>
    <w:rsid w:val="00AB6715"/>
    <w:pPr>
      <w:numPr>
        <w:ilvl w:val="4"/>
      </w:numPr>
      <w:outlineLvl w:val="4"/>
    </w:pPr>
  </w:style>
  <w:style w:type="paragraph" w:styleId="6">
    <w:name w:val="heading 6"/>
    <w:basedOn w:val="a0"/>
    <w:next w:val="a0"/>
    <w:link w:val="60"/>
    <w:rsid w:val="009F72C1"/>
    <w:pPr>
      <w:keepNext/>
      <w:keepLines/>
      <w:widowControl w:val="0"/>
      <w:spacing w:before="200" w:after="40"/>
      <w:outlineLvl w:val="5"/>
    </w:pPr>
    <w:rPr>
      <w:rFonts w:ascii="Calibri" w:eastAsia="新細明體" w:hAnsi="Calibri" w:cs="Calibri"/>
      <w:b/>
      <w:sz w:val="20"/>
      <w:szCs w:val="20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標題 2 字元"/>
    <w:basedOn w:val="a1"/>
    <w:link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標題 字元"/>
    <w:basedOn w:val="a1"/>
    <w:link w:val="a4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註解方塊文字 字元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1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註解文字 字元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章節附註文字 字元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頁尾 字元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註腳文字 字元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頁首 字元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標題 3 字元"/>
    <w:basedOn w:val="a1"/>
    <w:link w:val="3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標題 4 字元"/>
    <w:basedOn w:val="a1"/>
    <w:link w:val="4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標題 5 字元"/>
    <w:basedOn w:val="a1"/>
    <w:link w:val="5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Web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0">
    <w:name w:val="Quote"/>
    <w:basedOn w:val="a0"/>
    <w:next w:val="a0"/>
    <w:link w:val="aff1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文 字元"/>
    <w:basedOn w:val="a1"/>
    <w:link w:val="aff0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2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3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4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aff6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6">
    <w:name w:val="標題 字元"/>
    <w:basedOn w:val="a1"/>
    <w:link w:val="aff5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5"/>
    <w:next w:val="aff5"/>
    <w:qFormat/>
    <w:rsid w:val="0001436A"/>
    <w:pPr>
      <w:spacing w:after="120"/>
    </w:pPr>
    <w:rPr>
      <w:i/>
    </w:rPr>
  </w:style>
  <w:style w:type="character" w:customStyle="1" w:styleId="60">
    <w:name w:val="標題 6 字元"/>
    <w:basedOn w:val="a1"/>
    <w:link w:val="6"/>
    <w:rsid w:val="009F72C1"/>
    <w:rPr>
      <w:rFonts w:ascii="Calibri" w:eastAsia="新細明體" w:hAnsi="Calibri" w:cs="Calibri"/>
      <w:b/>
      <w:sz w:val="20"/>
      <w:szCs w:val="20"/>
      <w:lang w:eastAsia="zh-TW"/>
    </w:rPr>
  </w:style>
  <w:style w:type="table" w:customStyle="1" w:styleId="TableNormal1">
    <w:name w:val="Table Normal1"/>
    <w:rsid w:val="009F72C1"/>
    <w:pPr>
      <w:widowControl w:val="0"/>
      <w:spacing w:after="0" w:line="240" w:lineRule="auto"/>
    </w:pPr>
    <w:rPr>
      <w:rFonts w:ascii="Calibri" w:eastAsia="新細明體" w:hAnsi="Calibri" w:cs="Calibri"/>
      <w:sz w:val="24"/>
      <w:szCs w:val="24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a0"/>
    <w:link w:val="EndNoteBibliographyTitle0"/>
    <w:rsid w:val="009F72C1"/>
    <w:pPr>
      <w:widowControl w:val="0"/>
      <w:spacing w:before="0" w:after="0"/>
      <w:jc w:val="center"/>
    </w:pPr>
    <w:rPr>
      <w:rFonts w:ascii="Calibri" w:eastAsia="新細明體" w:hAnsi="Calibri" w:cs="Calibri"/>
      <w:noProof/>
      <w:szCs w:val="24"/>
      <w:lang w:eastAsia="zh-TW"/>
    </w:rPr>
  </w:style>
  <w:style w:type="character" w:customStyle="1" w:styleId="EndNoteBibliographyTitle0">
    <w:name w:val="EndNote Bibliography Title 字元"/>
    <w:link w:val="EndNoteBibliographyTitle"/>
    <w:rsid w:val="009F72C1"/>
    <w:rPr>
      <w:rFonts w:ascii="Calibri" w:eastAsia="新細明體" w:hAnsi="Calibri" w:cs="Calibri"/>
      <w:noProof/>
      <w:sz w:val="24"/>
      <w:szCs w:val="24"/>
      <w:lang w:eastAsia="zh-TW"/>
    </w:rPr>
  </w:style>
  <w:style w:type="paragraph" w:customStyle="1" w:styleId="EndNoteBibliography">
    <w:name w:val="EndNote Bibliography"/>
    <w:basedOn w:val="a0"/>
    <w:link w:val="EndNoteBibliography0"/>
    <w:rsid w:val="009F72C1"/>
    <w:pPr>
      <w:widowControl w:val="0"/>
      <w:spacing w:before="0" w:after="0"/>
    </w:pPr>
    <w:rPr>
      <w:rFonts w:ascii="Calibri" w:eastAsia="新細明體" w:hAnsi="Calibri" w:cs="Calibri"/>
      <w:noProof/>
      <w:szCs w:val="24"/>
      <w:lang w:eastAsia="zh-TW"/>
    </w:rPr>
  </w:style>
  <w:style w:type="character" w:customStyle="1" w:styleId="EndNoteBibliography0">
    <w:name w:val="EndNote Bibliography 字元"/>
    <w:link w:val="EndNoteBibliography"/>
    <w:rsid w:val="009F72C1"/>
    <w:rPr>
      <w:rFonts w:ascii="Calibri" w:eastAsia="新細明體" w:hAnsi="Calibri" w:cs="Calibri"/>
      <w:noProof/>
      <w:sz w:val="24"/>
      <w:szCs w:val="24"/>
      <w:lang w:eastAsia="zh-TW"/>
    </w:rPr>
  </w:style>
  <w:style w:type="character" w:customStyle="1" w:styleId="aff7">
    <w:name w:val="未解析的提及"/>
    <w:uiPriority w:val="99"/>
    <w:semiHidden/>
    <w:unhideWhenUsed/>
    <w:rsid w:val="009F72C1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9F72C1"/>
    <w:pPr>
      <w:widowControl w:val="0"/>
      <w:autoSpaceDE w:val="0"/>
      <w:autoSpaceDN w:val="0"/>
      <w:spacing w:before="122"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E84C46-0C73-4B81-A731-4E3BA4FF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160</TotalTime>
  <Pages>7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EmUser</cp:lastModifiedBy>
  <cp:revision>10</cp:revision>
  <cp:lastPrinted>2013-10-03T12:51:00Z</cp:lastPrinted>
  <dcterms:created xsi:type="dcterms:W3CDTF">2021-12-23T03:16:00Z</dcterms:created>
  <dcterms:modified xsi:type="dcterms:W3CDTF">2022-01-26T09:30:00Z</dcterms:modified>
</cp:coreProperties>
</file>