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B2300" w14:textId="508CB9A3" w:rsidR="00BC0DA1" w:rsidRPr="00E01A0E" w:rsidRDefault="00BC0DA1" w:rsidP="00BC0DA1">
      <w:pPr>
        <w:jc w:val="center"/>
        <w:rPr>
          <w:rFonts w:ascii="Times New Roman" w:hAnsi="Times New Roman" w:cs="Times New Roman"/>
          <w:sz w:val="24"/>
          <w:szCs w:val="24"/>
        </w:rPr>
      </w:pPr>
      <w:r w:rsidRPr="00E01A0E">
        <w:rPr>
          <w:rFonts w:ascii="Times New Roman" w:hAnsi="Times New Roman" w:cs="Times New Roman"/>
          <w:sz w:val="24"/>
          <w:szCs w:val="24"/>
        </w:rPr>
        <w:t>Supplementary Tables</w:t>
      </w:r>
    </w:p>
    <w:p w14:paraId="41BA7DA1" w14:textId="56C2A615" w:rsidR="00BC0DA1" w:rsidRPr="00E01A0E" w:rsidRDefault="00BC0DA1" w:rsidP="00BC2DC4">
      <w:pPr>
        <w:rPr>
          <w:rFonts w:ascii="Times New Roman" w:hAnsi="Times New Roman" w:cs="Times New Roman"/>
          <w:sz w:val="24"/>
          <w:szCs w:val="24"/>
        </w:rPr>
      </w:pPr>
      <w:r w:rsidRPr="00E01A0E">
        <w:rPr>
          <w:rFonts w:ascii="Times New Roman" w:hAnsi="Times New Roman" w:cs="Times New Roman"/>
          <w:sz w:val="24"/>
          <w:szCs w:val="24"/>
        </w:rPr>
        <w:t>Supplementary Table 1 – List of all identified peptides together with predicted binding affinities and outlier detection results from mono-allelic peptidomics data of 88 HLA class I alleles</w:t>
      </w:r>
    </w:p>
    <w:p w14:paraId="114C9F15" w14:textId="397BA055" w:rsidR="00BC0DA1" w:rsidRPr="00E01A0E" w:rsidRDefault="00BC0DA1" w:rsidP="00BC2DC4">
      <w:pPr>
        <w:rPr>
          <w:rFonts w:ascii="Times New Roman" w:hAnsi="Times New Roman" w:cs="Times New Roman"/>
          <w:sz w:val="24"/>
          <w:szCs w:val="24"/>
        </w:rPr>
      </w:pPr>
      <w:r w:rsidRPr="00E01A0E">
        <w:rPr>
          <w:rFonts w:ascii="Times New Roman" w:hAnsi="Times New Roman" w:cs="Times New Roman"/>
          <w:sz w:val="24"/>
          <w:szCs w:val="24"/>
        </w:rPr>
        <w:t>Supplementary Table 2 – Percentages of outlier peptides for HLA class I alleles with low percentage of tryptic peptides</w:t>
      </w:r>
    </w:p>
    <w:p w14:paraId="2699A059" w14:textId="77777777" w:rsidR="004A7176" w:rsidRDefault="00BC0DA1">
      <w:pPr>
        <w:rPr>
          <w:rFonts w:ascii="Times New Roman" w:hAnsi="Times New Roman" w:cs="Times New Roman"/>
          <w:sz w:val="24"/>
          <w:szCs w:val="24"/>
        </w:rPr>
      </w:pPr>
      <w:r w:rsidRPr="00E01A0E">
        <w:rPr>
          <w:rFonts w:ascii="Times New Roman" w:hAnsi="Times New Roman" w:cs="Times New Roman"/>
          <w:sz w:val="24"/>
          <w:szCs w:val="24"/>
        </w:rPr>
        <w:t>Supplementary Table 3 – HLA-B*14:02 binding assay results for selected 59 peptides</w:t>
      </w:r>
    </w:p>
    <w:p w14:paraId="69F3666A" w14:textId="77777777" w:rsidR="004A7176" w:rsidRPr="004A7176" w:rsidRDefault="004A7176" w:rsidP="004A7176">
      <w:pPr>
        <w:rPr>
          <w:rFonts w:ascii="Times New Roman" w:hAnsi="Times New Roman" w:cs="Times New Roman"/>
          <w:sz w:val="24"/>
          <w:szCs w:val="24"/>
        </w:rPr>
      </w:pPr>
      <w:r w:rsidRPr="004A7176">
        <w:rPr>
          <w:rFonts w:ascii="Times New Roman" w:hAnsi="Times New Roman" w:cs="Times New Roman"/>
          <w:sz w:val="24"/>
          <w:szCs w:val="24"/>
        </w:rPr>
        <w:t>Supplementary Table 4 – Number of peptides identified in replicate samples of multi-allelic B-lymphoblastoid cell line</w:t>
      </w:r>
    </w:p>
    <w:p w14:paraId="22BB4529" w14:textId="39ACCFE4" w:rsidR="00460529" w:rsidRPr="00E01A0E" w:rsidRDefault="004A7176" w:rsidP="004A7176">
      <w:pPr>
        <w:rPr>
          <w:rFonts w:ascii="Times New Roman" w:hAnsi="Times New Roman" w:cs="Times New Roman"/>
          <w:sz w:val="24"/>
          <w:szCs w:val="24"/>
        </w:rPr>
      </w:pPr>
      <w:r w:rsidRPr="004A7176">
        <w:rPr>
          <w:rFonts w:ascii="Times New Roman" w:hAnsi="Times New Roman" w:cs="Times New Roman"/>
          <w:sz w:val="24"/>
          <w:szCs w:val="24"/>
        </w:rPr>
        <w:t>Supplementary Table 5 – SMSNet and PEAKS identification results for multi-allelic B-lymphoblastoid cell line</w:t>
      </w:r>
      <w:r w:rsidR="00460529" w:rsidRPr="00E01A0E">
        <w:rPr>
          <w:rFonts w:ascii="Times New Roman" w:hAnsi="Times New Roman" w:cs="Times New Roman"/>
          <w:sz w:val="24"/>
          <w:szCs w:val="24"/>
        </w:rPr>
        <w:br w:type="page"/>
      </w:r>
    </w:p>
    <w:p w14:paraId="18A68B53" w14:textId="4EC62661" w:rsidR="00805FE4" w:rsidRPr="00E01A0E" w:rsidRDefault="00805FE4" w:rsidP="00BC0DA1">
      <w:pPr>
        <w:jc w:val="center"/>
        <w:rPr>
          <w:rFonts w:ascii="Times New Roman" w:hAnsi="Times New Roman" w:cs="Times New Roman"/>
          <w:sz w:val="24"/>
          <w:szCs w:val="24"/>
        </w:rPr>
      </w:pPr>
      <w:r w:rsidRPr="00E01A0E">
        <w:rPr>
          <w:rFonts w:ascii="Times New Roman" w:hAnsi="Times New Roman" w:cs="Times New Roman"/>
          <w:sz w:val="24"/>
          <w:szCs w:val="24"/>
        </w:rPr>
        <w:lastRenderedPageBreak/>
        <w:t>Supplementary Figures</w:t>
      </w:r>
    </w:p>
    <w:p w14:paraId="0B70F7FD" w14:textId="46FF3CB3" w:rsidR="00FA4C32" w:rsidRPr="00E01A0E" w:rsidRDefault="00805FE4">
      <w:pPr>
        <w:rPr>
          <w:rFonts w:ascii="Times New Roman" w:hAnsi="Times New Roman" w:cs="Times New Roman"/>
          <w:sz w:val="24"/>
          <w:szCs w:val="24"/>
        </w:rPr>
      </w:pPr>
      <w:r w:rsidRPr="00E01A0E">
        <w:rPr>
          <w:rFonts w:ascii="Times New Roman" w:hAnsi="Times New Roman" w:cs="Times New Roman"/>
          <w:noProof/>
          <w:sz w:val="24"/>
          <w:szCs w:val="24"/>
        </w:rPr>
        <w:drawing>
          <wp:inline distT="0" distB="0" distL="0" distR="0" wp14:anchorId="7FB0715E" wp14:editId="530D799C">
            <wp:extent cx="5934075" cy="586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5867400"/>
                    </a:xfrm>
                    <a:prstGeom prst="rect">
                      <a:avLst/>
                    </a:prstGeom>
                    <a:noFill/>
                    <a:ln>
                      <a:noFill/>
                    </a:ln>
                  </pic:spPr>
                </pic:pic>
              </a:graphicData>
            </a:graphic>
          </wp:inline>
        </w:drawing>
      </w:r>
    </w:p>
    <w:p w14:paraId="5C901691" w14:textId="6C333CAA" w:rsidR="00BF72DE" w:rsidRPr="00E01A0E" w:rsidRDefault="00805FE4">
      <w:pPr>
        <w:rPr>
          <w:rFonts w:ascii="Times New Roman" w:hAnsi="Times New Roman" w:cs="Times New Roman"/>
          <w:sz w:val="24"/>
          <w:szCs w:val="24"/>
        </w:rPr>
      </w:pPr>
      <w:r w:rsidRPr="00E01A0E">
        <w:rPr>
          <w:rFonts w:ascii="Times New Roman" w:hAnsi="Times New Roman" w:cs="Times New Roman"/>
          <w:b/>
          <w:bCs/>
          <w:sz w:val="24"/>
          <w:szCs w:val="24"/>
        </w:rPr>
        <w:t>Supplementary Figure 1</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xml:space="preserve">– Extents of tryptic peptide contaminations in </w:t>
      </w:r>
      <w:r w:rsidR="00EF3450" w:rsidRPr="00E01A0E">
        <w:rPr>
          <w:rFonts w:ascii="Times New Roman" w:hAnsi="Times New Roman" w:cs="Times New Roman"/>
          <w:b/>
          <w:bCs/>
          <w:sz w:val="24"/>
          <w:szCs w:val="24"/>
        </w:rPr>
        <w:t xml:space="preserve">mono-allelic </w:t>
      </w:r>
      <w:r w:rsidRPr="00E01A0E">
        <w:rPr>
          <w:rFonts w:ascii="Times New Roman" w:hAnsi="Times New Roman" w:cs="Times New Roman"/>
          <w:b/>
          <w:bCs/>
          <w:sz w:val="24"/>
          <w:szCs w:val="24"/>
        </w:rPr>
        <w:t>HLA peptidomics data</w:t>
      </w:r>
      <w:r w:rsidRPr="00E01A0E">
        <w:rPr>
          <w:rFonts w:ascii="Times New Roman" w:hAnsi="Times New Roman" w:cs="Times New Roman"/>
          <w:sz w:val="24"/>
          <w:szCs w:val="24"/>
        </w:rPr>
        <w:t xml:space="preserve">. Data for the top 7 alleles with more than 20% contaminations are shown. </w:t>
      </w:r>
      <w:r w:rsidR="004B6740" w:rsidRPr="00E01A0E">
        <w:rPr>
          <w:rFonts w:ascii="Times New Roman" w:hAnsi="Times New Roman" w:cs="Times New Roman"/>
          <w:sz w:val="24"/>
          <w:szCs w:val="24"/>
        </w:rPr>
        <w:t xml:space="preserve">The table lists the numbers of all identified peptides and tryptic peptides for each allele. </w:t>
      </w:r>
      <w:r w:rsidRPr="00E01A0E">
        <w:rPr>
          <w:rFonts w:ascii="Times New Roman" w:hAnsi="Times New Roman" w:cs="Times New Roman"/>
          <w:sz w:val="24"/>
          <w:szCs w:val="24"/>
        </w:rPr>
        <w:t xml:space="preserve">Each boxed region </w:t>
      </w:r>
      <w:r w:rsidR="004B6740" w:rsidRPr="00E01A0E">
        <w:rPr>
          <w:rFonts w:ascii="Times New Roman" w:hAnsi="Times New Roman" w:cs="Times New Roman"/>
          <w:sz w:val="24"/>
          <w:szCs w:val="24"/>
        </w:rPr>
        <w:t>contains</w:t>
      </w:r>
      <w:r w:rsidRPr="00E01A0E">
        <w:rPr>
          <w:rFonts w:ascii="Times New Roman" w:hAnsi="Times New Roman" w:cs="Times New Roman"/>
          <w:sz w:val="24"/>
          <w:szCs w:val="24"/>
        </w:rPr>
        <w:t xml:space="preserve"> the </w:t>
      </w:r>
      <w:r w:rsidR="004B6740" w:rsidRPr="00E01A0E">
        <w:rPr>
          <w:rFonts w:ascii="Times New Roman" w:hAnsi="Times New Roman" w:cs="Times New Roman"/>
          <w:sz w:val="24"/>
          <w:szCs w:val="24"/>
        </w:rPr>
        <w:t xml:space="preserve">9-mer </w:t>
      </w:r>
      <w:r w:rsidRPr="00E01A0E">
        <w:rPr>
          <w:rFonts w:ascii="Times New Roman" w:hAnsi="Times New Roman" w:cs="Times New Roman"/>
          <w:sz w:val="24"/>
          <w:szCs w:val="24"/>
        </w:rPr>
        <w:t xml:space="preserve">motif profiles </w:t>
      </w:r>
      <w:r w:rsidR="004B6740" w:rsidRPr="00E01A0E">
        <w:rPr>
          <w:rFonts w:ascii="Times New Roman" w:hAnsi="Times New Roman" w:cs="Times New Roman"/>
          <w:sz w:val="24"/>
          <w:szCs w:val="24"/>
        </w:rPr>
        <w:t xml:space="preserve">and distributions of predicted binding affinity for each allele, sorted in the same order as shown in the table from left to right. </w:t>
      </w:r>
    </w:p>
    <w:p w14:paraId="7E12021E" w14:textId="77777777" w:rsidR="00BF72DE" w:rsidRPr="00E01A0E" w:rsidRDefault="00BF72DE">
      <w:pPr>
        <w:rPr>
          <w:rFonts w:ascii="Times New Roman" w:hAnsi="Times New Roman" w:cs="Times New Roman"/>
          <w:sz w:val="24"/>
          <w:szCs w:val="24"/>
        </w:rPr>
      </w:pPr>
      <w:r w:rsidRPr="00E01A0E">
        <w:rPr>
          <w:rFonts w:ascii="Times New Roman" w:hAnsi="Times New Roman" w:cs="Times New Roman"/>
          <w:sz w:val="24"/>
          <w:szCs w:val="24"/>
        </w:rPr>
        <w:br w:type="page"/>
      </w:r>
    </w:p>
    <w:p w14:paraId="52CF255D" w14:textId="67FAF818" w:rsidR="00805FE4" w:rsidRPr="00E01A0E" w:rsidRDefault="00BF72DE">
      <w:pPr>
        <w:rPr>
          <w:rFonts w:ascii="Times New Roman" w:hAnsi="Times New Roman" w:cs="Times New Roman"/>
          <w:sz w:val="24"/>
          <w:szCs w:val="24"/>
        </w:rPr>
      </w:pPr>
      <w:r w:rsidRPr="00E01A0E">
        <w:rPr>
          <w:rFonts w:ascii="Times New Roman" w:hAnsi="Times New Roman" w:cs="Times New Roman"/>
          <w:noProof/>
          <w:sz w:val="24"/>
          <w:szCs w:val="24"/>
        </w:rPr>
        <w:lastRenderedPageBreak/>
        <w:drawing>
          <wp:inline distT="0" distB="0" distL="0" distR="0" wp14:anchorId="5D0712FF" wp14:editId="0A3F6938">
            <wp:extent cx="4081935" cy="3675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6477" cy="3679797"/>
                    </a:xfrm>
                    <a:prstGeom prst="rect">
                      <a:avLst/>
                    </a:prstGeom>
                    <a:noFill/>
                    <a:ln>
                      <a:noFill/>
                    </a:ln>
                  </pic:spPr>
                </pic:pic>
              </a:graphicData>
            </a:graphic>
          </wp:inline>
        </w:drawing>
      </w:r>
    </w:p>
    <w:p w14:paraId="220CA456" w14:textId="1D67C383" w:rsidR="00BF72DE" w:rsidRPr="00E01A0E" w:rsidRDefault="00BF72DE">
      <w:pPr>
        <w:rPr>
          <w:rFonts w:ascii="Times New Roman" w:hAnsi="Times New Roman" w:cs="Times New Roman"/>
          <w:sz w:val="24"/>
          <w:szCs w:val="24"/>
        </w:rPr>
      </w:pPr>
      <w:r w:rsidRPr="00E01A0E">
        <w:rPr>
          <w:rFonts w:ascii="Times New Roman" w:hAnsi="Times New Roman" w:cs="Times New Roman"/>
          <w:b/>
          <w:bCs/>
          <w:sz w:val="24"/>
          <w:szCs w:val="24"/>
        </w:rPr>
        <w:t xml:space="preserve">Supplementary Figure </w:t>
      </w:r>
      <w:r w:rsidR="00F95885" w:rsidRPr="00E01A0E">
        <w:rPr>
          <w:rFonts w:ascii="Times New Roman" w:hAnsi="Times New Roman" w:cs="Times New Roman"/>
          <w:b/>
          <w:bCs/>
          <w:sz w:val="24"/>
          <w:szCs w:val="24"/>
        </w:rPr>
        <w:t xml:space="preserve">2 </w:t>
      </w:r>
      <w:r w:rsidRPr="00E01A0E">
        <w:rPr>
          <w:rFonts w:ascii="Times New Roman" w:hAnsi="Times New Roman" w:cs="Times New Roman"/>
          <w:b/>
          <w:bCs/>
          <w:sz w:val="24"/>
          <w:szCs w:val="24"/>
        </w:rPr>
        <w:t xml:space="preserve">– </w:t>
      </w:r>
      <w:r w:rsidR="00F95885" w:rsidRPr="00E01A0E">
        <w:rPr>
          <w:rFonts w:ascii="Times New Roman" w:hAnsi="Times New Roman" w:cs="Times New Roman"/>
          <w:b/>
          <w:bCs/>
          <w:sz w:val="24"/>
          <w:szCs w:val="24"/>
        </w:rPr>
        <w:t>HLA alleles do not exhibit stronger affinities toward observed tryptic peptides than toward random tryptic peptides</w:t>
      </w:r>
      <w:r w:rsidRPr="00E01A0E">
        <w:rPr>
          <w:rFonts w:ascii="Times New Roman" w:hAnsi="Times New Roman" w:cs="Times New Roman"/>
          <w:sz w:val="24"/>
          <w:szCs w:val="24"/>
        </w:rPr>
        <w:t xml:space="preserve">. </w:t>
      </w:r>
      <w:r w:rsidR="00F95885" w:rsidRPr="00E01A0E">
        <w:rPr>
          <w:rFonts w:ascii="Times New Roman" w:hAnsi="Times New Roman" w:cs="Times New Roman"/>
          <w:sz w:val="24"/>
          <w:szCs w:val="24"/>
        </w:rPr>
        <w:t xml:space="preserve">Scatter plot shows the median predicted binding affinity (IC50, </w:t>
      </w:r>
      <w:proofErr w:type="spellStart"/>
      <w:r w:rsidR="00F95885" w:rsidRPr="00E01A0E">
        <w:rPr>
          <w:rFonts w:ascii="Times New Roman" w:hAnsi="Times New Roman" w:cs="Times New Roman"/>
          <w:sz w:val="24"/>
          <w:szCs w:val="24"/>
        </w:rPr>
        <w:t>nM</w:t>
      </w:r>
      <w:proofErr w:type="spellEnd"/>
      <w:r w:rsidR="00F95885" w:rsidRPr="00E01A0E">
        <w:rPr>
          <w:rFonts w:ascii="Times New Roman" w:hAnsi="Times New Roman" w:cs="Times New Roman"/>
          <w:sz w:val="24"/>
          <w:szCs w:val="24"/>
        </w:rPr>
        <w:t>) between observed tryptic peptide-HLA allele pairs (x-axis) and that between random tryptic peptide-HLA pairs. Each data point represents one HLA allele. Higher IC50 value indicates lower affinity. Random tryptic peptides were selected from observed tryptic peptides in peptidomics data of all HLA alleles. Orange data points indicate the few HLA alleles that exhibit significantly stronger affinities toward tryptic peptides identified from the corresponding peptidomics data</w:t>
      </w:r>
      <w:r w:rsidR="00570187" w:rsidRPr="00E01A0E">
        <w:rPr>
          <w:rFonts w:ascii="Times New Roman" w:hAnsi="Times New Roman" w:cs="Times New Roman"/>
          <w:sz w:val="24"/>
          <w:szCs w:val="24"/>
        </w:rPr>
        <w:t xml:space="preserve"> (Benjamini-Hochberg adjusted Mann-Whitney U test p-value &lt; 0.05)</w:t>
      </w:r>
      <w:r w:rsidR="00F95885" w:rsidRPr="00E01A0E">
        <w:rPr>
          <w:rFonts w:ascii="Times New Roman" w:hAnsi="Times New Roman" w:cs="Times New Roman"/>
          <w:sz w:val="24"/>
          <w:szCs w:val="24"/>
        </w:rPr>
        <w:t>.</w:t>
      </w:r>
    </w:p>
    <w:p w14:paraId="7FE6C821" w14:textId="30C42878" w:rsidR="00C32812" w:rsidRPr="00E01A0E" w:rsidRDefault="00C32812">
      <w:pPr>
        <w:rPr>
          <w:rFonts w:ascii="Times New Roman" w:hAnsi="Times New Roman" w:cs="Times New Roman"/>
          <w:sz w:val="24"/>
          <w:szCs w:val="24"/>
        </w:rPr>
      </w:pPr>
      <w:r w:rsidRPr="00E01A0E">
        <w:rPr>
          <w:rFonts w:ascii="Times New Roman" w:hAnsi="Times New Roman" w:cs="Times New Roman"/>
          <w:sz w:val="24"/>
          <w:szCs w:val="24"/>
        </w:rPr>
        <w:br w:type="page"/>
      </w:r>
    </w:p>
    <w:p w14:paraId="2371688D" w14:textId="1520ADCF" w:rsidR="00FB2B18" w:rsidRPr="00E01A0E" w:rsidRDefault="00FB2B18">
      <w:pPr>
        <w:rPr>
          <w:rFonts w:ascii="Times New Roman" w:hAnsi="Times New Roman" w:cs="Times New Roman"/>
          <w:b/>
          <w:bCs/>
          <w:sz w:val="24"/>
          <w:szCs w:val="24"/>
        </w:rPr>
      </w:pPr>
      <w:r w:rsidRPr="00E01A0E">
        <w:rPr>
          <w:rFonts w:ascii="Times New Roman" w:hAnsi="Times New Roman" w:cs="Times New Roman"/>
          <w:noProof/>
          <w:sz w:val="24"/>
          <w:szCs w:val="24"/>
        </w:rPr>
        <w:lastRenderedPageBreak/>
        <w:drawing>
          <wp:inline distT="0" distB="0" distL="0" distR="0" wp14:anchorId="4B3D4330" wp14:editId="64A0B7B3">
            <wp:extent cx="2446020" cy="1689216"/>
            <wp:effectExtent l="0" t="0" r="508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501952" cy="1727843"/>
                    </a:xfrm>
                    <a:prstGeom prst="rect">
                      <a:avLst/>
                    </a:prstGeom>
                  </pic:spPr>
                </pic:pic>
              </a:graphicData>
            </a:graphic>
          </wp:inline>
        </w:drawing>
      </w:r>
      <w:r w:rsidRPr="00E01A0E">
        <w:rPr>
          <w:rFonts w:ascii="Times New Roman" w:hAnsi="Times New Roman" w:cs="Times New Roman"/>
          <w:noProof/>
          <w:sz w:val="24"/>
          <w:szCs w:val="24"/>
        </w:rPr>
        <w:t xml:space="preserve"> </w:t>
      </w:r>
      <w:r w:rsidRPr="00E01A0E">
        <w:rPr>
          <w:rFonts w:ascii="Times New Roman" w:hAnsi="Times New Roman" w:cs="Times New Roman"/>
          <w:b/>
          <w:bCs/>
          <w:noProof/>
          <w:sz w:val="24"/>
          <w:szCs w:val="24"/>
        </w:rPr>
        <w:drawing>
          <wp:inline distT="0" distB="0" distL="0" distR="0" wp14:anchorId="1548D8A1" wp14:editId="25F95CE0">
            <wp:extent cx="3444240" cy="1705930"/>
            <wp:effectExtent l="0" t="0" r="0" b="0"/>
            <wp:docPr id="8" name="Picture 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pic:nvPicPr>
                  <pic:blipFill>
                    <a:blip r:embed="rId7"/>
                    <a:stretch>
                      <a:fillRect/>
                    </a:stretch>
                  </pic:blipFill>
                  <pic:spPr>
                    <a:xfrm>
                      <a:off x="0" y="0"/>
                      <a:ext cx="3513258" cy="1740114"/>
                    </a:xfrm>
                    <a:prstGeom prst="rect">
                      <a:avLst/>
                    </a:prstGeom>
                  </pic:spPr>
                </pic:pic>
              </a:graphicData>
            </a:graphic>
          </wp:inline>
        </w:drawing>
      </w:r>
    </w:p>
    <w:p w14:paraId="660CAE00" w14:textId="67389A2A" w:rsidR="00C32812" w:rsidRPr="00E01A0E" w:rsidRDefault="00FB2B18">
      <w:pPr>
        <w:rPr>
          <w:rFonts w:ascii="Times New Roman" w:hAnsi="Times New Roman" w:cs="Times New Roman"/>
          <w:sz w:val="24"/>
          <w:szCs w:val="24"/>
        </w:rPr>
      </w:pPr>
      <w:r w:rsidRPr="00E01A0E">
        <w:rPr>
          <w:rFonts w:ascii="Times New Roman" w:hAnsi="Times New Roman" w:cs="Times New Roman"/>
          <w:noProof/>
          <w:sz w:val="24"/>
          <w:szCs w:val="24"/>
        </w:rPr>
        <w:drawing>
          <wp:inline distT="0" distB="0" distL="0" distR="0" wp14:anchorId="11DB1AA7" wp14:editId="6FDB673C">
            <wp:extent cx="5943600" cy="2029460"/>
            <wp:effectExtent l="0" t="0" r="0" b="2540"/>
            <wp:docPr id="6" name="Picture 6"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easuring sti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inline>
        </w:drawing>
      </w:r>
      <w:r w:rsidR="00C32812" w:rsidRPr="00E01A0E">
        <w:rPr>
          <w:rFonts w:ascii="Times New Roman" w:hAnsi="Times New Roman" w:cs="Times New Roman"/>
          <w:b/>
          <w:bCs/>
          <w:sz w:val="24"/>
          <w:szCs w:val="24"/>
        </w:rPr>
        <w:t>Supplementary Figure 3</w:t>
      </w:r>
      <w:r w:rsidR="00C32812" w:rsidRPr="00E01A0E">
        <w:rPr>
          <w:rFonts w:ascii="Times New Roman" w:hAnsi="Times New Roman" w:cs="Times New Roman"/>
          <w:sz w:val="24"/>
          <w:szCs w:val="24"/>
        </w:rPr>
        <w:t xml:space="preserve"> </w:t>
      </w:r>
      <w:r w:rsidR="00C32812" w:rsidRPr="00E01A0E">
        <w:rPr>
          <w:rFonts w:ascii="Times New Roman" w:hAnsi="Times New Roman" w:cs="Times New Roman"/>
          <w:b/>
          <w:bCs/>
          <w:sz w:val="24"/>
          <w:szCs w:val="24"/>
        </w:rPr>
        <w:t xml:space="preserve">– Predicted binding affinities from </w:t>
      </w:r>
      <w:proofErr w:type="spellStart"/>
      <w:r w:rsidR="00C32812" w:rsidRPr="00E01A0E">
        <w:rPr>
          <w:rFonts w:ascii="Times New Roman" w:hAnsi="Times New Roman" w:cs="Times New Roman"/>
          <w:b/>
          <w:bCs/>
          <w:sz w:val="24"/>
          <w:szCs w:val="24"/>
        </w:rPr>
        <w:t>NetMHC</w:t>
      </w:r>
      <w:r w:rsidR="00010ABA" w:rsidRPr="00E01A0E">
        <w:rPr>
          <w:rFonts w:ascii="Times New Roman" w:hAnsi="Times New Roman" w:cs="Times New Roman"/>
          <w:b/>
          <w:bCs/>
          <w:sz w:val="24"/>
          <w:szCs w:val="24"/>
        </w:rPr>
        <w:t>p</w:t>
      </w:r>
      <w:r w:rsidR="00C32812" w:rsidRPr="00E01A0E">
        <w:rPr>
          <w:rFonts w:ascii="Times New Roman" w:hAnsi="Times New Roman" w:cs="Times New Roman"/>
          <w:b/>
          <w:bCs/>
          <w:sz w:val="24"/>
          <w:szCs w:val="24"/>
        </w:rPr>
        <w:t>an</w:t>
      </w:r>
      <w:proofErr w:type="spellEnd"/>
      <w:r w:rsidR="00C32812" w:rsidRPr="00E01A0E">
        <w:rPr>
          <w:rFonts w:ascii="Times New Roman" w:hAnsi="Times New Roman" w:cs="Times New Roman"/>
          <w:b/>
          <w:bCs/>
          <w:sz w:val="24"/>
          <w:szCs w:val="24"/>
        </w:rPr>
        <w:t xml:space="preserve"> can distinguish HLA alleles that can present tryptic peptides from other alleles</w:t>
      </w:r>
      <w:r w:rsidR="00C32812" w:rsidRPr="00E01A0E">
        <w:rPr>
          <w:rFonts w:ascii="Times New Roman" w:hAnsi="Times New Roman" w:cs="Times New Roman"/>
          <w:sz w:val="24"/>
          <w:szCs w:val="24"/>
        </w:rPr>
        <w:t xml:space="preserve">. </w:t>
      </w:r>
      <w:r w:rsidR="00EF3450" w:rsidRPr="00E01A0E">
        <w:rPr>
          <w:rFonts w:ascii="Times New Roman" w:hAnsi="Times New Roman" w:cs="Times New Roman"/>
          <w:sz w:val="24"/>
          <w:szCs w:val="24"/>
        </w:rPr>
        <w:t xml:space="preserve">Data from mono-allelic HLA peptidomics data were used. </w:t>
      </w:r>
      <w:r w:rsidR="00C32812" w:rsidRPr="00E01A0E">
        <w:rPr>
          <w:rFonts w:ascii="Times New Roman" w:hAnsi="Times New Roman" w:cs="Times New Roman"/>
          <w:sz w:val="24"/>
          <w:szCs w:val="24"/>
        </w:rPr>
        <w:t>Violin plots showing the distribution of predicted</w:t>
      </w:r>
      <w:r w:rsidR="00C32812" w:rsidRPr="00E01A0E">
        <w:rPr>
          <w:rFonts w:ascii="Times New Roman" w:hAnsi="Times New Roman" w:cs="Times New Roman"/>
          <w:b/>
          <w:bCs/>
          <w:sz w:val="24"/>
          <w:szCs w:val="24"/>
        </w:rPr>
        <w:t xml:space="preserve"> </w:t>
      </w:r>
      <w:r w:rsidR="00C32812" w:rsidRPr="00E01A0E">
        <w:rPr>
          <w:rFonts w:ascii="Times New Roman" w:hAnsi="Times New Roman" w:cs="Times New Roman"/>
          <w:sz w:val="24"/>
          <w:szCs w:val="24"/>
        </w:rPr>
        <w:t xml:space="preserve">binding affinities (IC50, log10 </w:t>
      </w:r>
      <w:proofErr w:type="spellStart"/>
      <w:r w:rsidR="00C32812" w:rsidRPr="00E01A0E">
        <w:rPr>
          <w:rFonts w:ascii="Times New Roman" w:hAnsi="Times New Roman" w:cs="Times New Roman"/>
          <w:sz w:val="24"/>
          <w:szCs w:val="24"/>
        </w:rPr>
        <w:t>nM</w:t>
      </w:r>
      <w:proofErr w:type="spellEnd"/>
      <w:r w:rsidR="00C32812" w:rsidRPr="00E01A0E">
        <w:rPr>
          <w:rFonts w:ascii="Times New Roman" w:hAnsi="Times New Roman" w:cs="Times New Roman"/>
          <w:sz w:val="24"/>
          <w:szCs w:val="24"/>
        </w:rPr>
        <w:t xml:space="preserve">) for tryptic peptides identified in the peptidomics data. </w:t>
      </w:r>
      <w:r w:rsidR="00C32812" w:rsidRPr="00E01A0E">
        <w:rPr>
          <w:rFonts w:ascii="Times New Roman" w:hAnsi="Times New Roman" w:cs="Times New Roman"/>
          <w:b/>
          <w:bCs/>
          <w:sz w:val="24"/>
          <w:szCs w:val="24"/>
        </w:rPr>
        <w:t xml:space="preserve">Top </w:t>
      </w:r>
      <w:r w:rsidR="00E01A0E" w:rsidRPr="00E01A0E">
        <w:rPr>
          <w:rFonts w:ascii="Times New Roman" w:hAnsi="Times New Roman" w:cs="Times New Roman"/>
          <w:b/>
          <w:bCs/>
          <w:sz w:val="24"/>
          <w:szCs w:val="24"/>
        </w:rPr>
        <w:t xml:space="preserve">left </w:t>
      </w:r>
      <w:r w:rsidR="00C32812" w:rsidRPr="00E01A0E">
        <w:rPr>
          <w:rFonts w:ascii="Times New Roman" w:hAnsi="Times New Roman" w:cs="Times New Roman"/>
          <w:b/>
          <w:bCs/>
          <w:sz w:val="24"/>
          <w:szCs w:val="24"/>
        </w:rPr>
        <w:t>panel</w:t>
      </w:r>
      <w:r w:rsidR="009D3EBD" w:rsidRPr="00E01A0E">
        <w:rPr>
          <w:rFonts w:ascii="Times New Roman" w:hAnsi="Times New Roman" w:cs="Times New Roman"/>
          <w:sz w:val="24"/>
          <w:szCs w:val="24"/>
        </w:rPr>
        <w:t xml:space="preserve"> shows the data for 12 alleles whose binding motifs do not end with an arginine or a lysine (HLA-A*03:01, HLA-A*11:01, HLA-A*11:02, HLA-A*30:01, HLA-A*31:01, HLA-A*33:01, HLA-A*33:03, HLA-A*34:01, HLA-A*34:02, HLA-A*66:01, HLA-A*68:01, and HLA-A*74:01). </w:t>
      </w:r>
      <w:r w:rsidR="00E01A0E" w:rsidRPr="00E01A0E">
        <w:rPr>
          <w:rFonts w:ascii="Times New Roman" w:hAnsi="Times New Roman" w:cs="Times New Roman"/>
          <w:b/>
          <w:bCs/>
          <w:sz w:val="24"/>
          <w:szCs w:val="24"/>
        </w:rPr>
        <w:t>Top right panel</w:t>
      </w:r>
      <w:r w:rsidR="00E01A0E">
        <w:rPr>
          <w:rFonts w:ascii="Times New Roman" w:hAnsi="Times New Roman" w:cs="Times New Roman"/>
          <w:sz w:val="24"/>
          <w:szCs w:val="24"/>
        </w:rPr>
        <w:t xml:space="preserve"> shows the motif patterns and predicted binding affinities for </w:t>
      </w:r>
      <w:r w:rsidR="00E01A0E" w:rsidRPr="00E01A0E">
        <w:rPr>
          <w:rFonts w:ascii="Times New Roman" w:hAnsi="Times New Roman" w:cs="Times New Roman"/>
          <w:sz w:val="24"/>
          <w:szCs w:val="24"/>
        </w:rPr>
        <w:t>HLA-A*11:01 and HLA-A*34:02 which exhibit bimodal distributions</w:t>
      </w:r>
      <w:r w:rsidR="00E01A0E">
        <w:rPr>
          <w:rFonts w:ascii="Times New Roman" w:hAnsi="Times New Roman" w:cs="Times New Roman"/>
          <w:sz w:val="24"/>
          <w:szCs w:val="24"/>
        </w:rPr>
        <w:t xml:space="preserve">. The data for </w:t>
      </w:r>
      <w:r w:rsidR="00E01A0E" w:rsidRPr="00E01A0E">
        <w:rPr>
          <w:rFonts w:ascii="Times New Roman" w:hAnsi="Times New Roman" w:cs="Times New Roman"/>
          <w:sz w:val="24"/>
          <w:szCs w:val="24"/>
        </w:rPr>
        <w:t xml:space="preserve">tryptic peptides with predicted IC50 </w:t>
      </w:r>
      <w:r w:rsidR="00E01A0E" w:rsidRPr="00E01A0E">
        <w:rPr>
          <w:rFonts w:ascii="Times New Roman" w:hAnsi="Times New Roman" w:cs="Times New Roman"/>
          <w:sz w:val="24"/>
          <w:szCs w:val="24"/>
        </w:rPr>
        <w:sym w:font="Symbol" w:char="F0A3"/>
      </w:r>
      <w:r w:rsidR="00E01A0E" w:rsidRPr="00E01A0E">
        <w:rPr>
          <w:rFonts w:ascii="Times New Roman" w:hAnsi="Times New Roman" w:cs="Times New Roman"/>
          <w:sz w:val="24"/>
          <w:szCs w:val="24"/>
        </w:rPr>
        <w:t xml:space="preserve"> 500 </w:t>
      </w:r>
      <w:proofErr w:type="spellStart"/>
      <w:r w:rsidR="00E01A0E" w:rsidRPr="00E01A0E">
        <w:rPr>
          <w:rFonts w:ascii="Times New Roman" w:hAnsi="Times New Roman" w:cs="Times New Roman"/>
          <w:sz w:val="24"/>
          <w:szCs w:val="24"/>
        </w:rPr>
        <w:t>nM</w:t>
      </w:r>
      <w:proofErr w:type="spellEnd"/>
      <w:r w:rsidR="00E01A0E" w:rsidRPr="00E01A0E">
        <w:rPr>
          <w:rFonts w:ascii="Times New Roman" w:hAnsi="Times New Roman" w:cs="Times New Roman"/>
          <w:sz w:val="24"/>
          <w:szCs w:val="24"/>
        </w:rPr>
        <w:t xml:space="preserve"> </w:t>
      </w:r>
      <w:r w:rsidR="00E01A0E">
        <w:rPr>
          <w:rFonts w:ascii="Times New Roman" w:hAnsi="Times New Roman" w:cs="Times New Roman"/>
          <w:sz w:val="24"/>
          <w:szCs w:val="24"/>
        </w:rPr>
        <w:t>or</w:t>
      </w:r>
      <w:r w:rsidR="00E01A0E" w:rsidRPr="00E01A0E">
        <w:rPr>
          <w:rFonts w:ascii="Times New Roman" w:hAnsi="Times New Roman" w:cs="Times New Roman"/>
          <w:sz w:val="24"/>
          <w:szCs w:val="24"/>
        </w:rPr>
        <w:t xml:space="preserve"> &gt;500 </w:t>
      </w:r>
      <w:proofErr w:type="spellStart"/>
      <w:r w:rsidR="00E01A0E" w:rsidRPr="00E01A0E">
        <w:rPr>
          <w:rFonts w:ascii="Times New Roman" w:hAnsi="Times New Roman" w:cs="Times New Roman"/>
          <w:sz w:val="24"/>
          <w:szCs w:val="24"/>
        </w:rPr>
        <w:t>nM</w:t>
      </w:r>
      <w:proofErr w:type="spellEnd"/>
      <w:r w:rsidR="00E01A0E">
        <w:rPr>
          <w:rFonts w:ascii="Times New Roman" w:hAnsi="Times New Roman" w:cs="Times New Roman"/>
          <w:sz w:val="24"/>
          <w:szCs w:val="24"/>
        </w:rPr>
        <w:t xml:space="preserve"> </w:t>
      </w:r>
      <w:proofErr w:type="gramStart"/>
      <w:r w:rsidR="00E01A0E">
        <w:rPr>
          <w:rFonts w:ascii="Times New Roman" w:hAnsi="Times New Roman" w:cs="Times New Roman"/>
          <w:sz w:val="24"/>
          <w:szCs w:val="24"/>
        </w:rPr>
        <w:t>are</w:t>
      </w:r>
      <w:proofErr w:type="gramEnd"/>
      <w:r w:rsidR="00E01A0E">
        <w:rPr>
          <w:rFonts w:ascii="Times New Roman" w:hAnsi="Times New Roman" w:cs="Times New Roman"/>
          <w:sz w:val="24"/>
          <w:szCs w:val="24"/>
        </w:rPr>
        <w:t xml:space="preserve"> shown separately. Predicted s</w:t>
      </w:r>
      <w:r w:rsidR="00E01A0E" w:rsidRPr="00E01A0E">
        <w:rPr>
          <w:rFonts w:ascii="Times New Roman" w:hAnsi="Times New Roman" w:cs="Times New Roman"/>
          <w:sz w:val="24"/>
          <w:szCs w:val="24"/>
        </w:rPr>
        <w:t xml:space="preserve">trong binders exhibit additional enrichments of specific amino acids at the first and second motif positions and higher preference for lysine at the ninth motif position while </w:t>
      </w:r>
      <w:r w:rsidR="00E01A0E">
        <w:rPr>
          <w:rFonts w:ascii="Times New Roman" w:hAnsi="Times New Roman" w:cs="Times New Roman"/>
          <w:sz w:val="24"/>
          <w:szCs w:val="24"/>
        </w:rPr>
        <w:t xml:space="preserve">predicted </w:t>
      </w:r>
      <w:r w:rsidR="00E01A0E" w:rsidRPr="00E01A0E">
        <w:rPr>
          <w:rFonts w:ascii="Times New Roman" w:hAnsi="Times New Roman" w:cs="Times New Roman"/>
          <w:sz w:val="24"/>
          <w:szCs w:val="24"/>
        </w:rPr>
        <w:t>weak binders do not.</w:t>
      </w:r>
      <w:r w:rsidR="00E01A0E">
        <w:rPr>
          <w:rFonts w:ascii="Times New Roman" w:hAnsi="Times New Roman" w:cs="Times New Roman"/>
          <w:sz w:val="24"/>
          <w:szCs w:val="24"/>
        </w:rPr>
        <w:t xml:space="preserve"> </w:t>
      </w:r>
      <w:r w:rsidRPr="00E01A0E">
        <w:rPr>
          <w:rFonts w:ascii="Times New Roman" w:hAnsi="Times New Roman" w:cs="Times New Roman"/>
          <w:b/>
          <w:bCs/>
          <w:sz w:val="24"/>
          <w:szCs w:val="24"/>
        </w:rPr>
        <w:t>B</w:t>
      </w:r>
      <w:r w:rsidR="009D3EBD" w:rsidRPr="00E01A0E">
        <w:rPr>
          <w:rFonts w:ascii="Times New Roman" w:hAnsi="Times New Roman" w:cs="Times New Roman"/>
          <w:b/>
          <w:bCs/>
          <w:sz w:val="24"/>
          <w:szCs w:val="24"/>
        </w:rPr>
        <w:t>ottom panel</w:t>
      </w:r>
      <w:r w:rsidR="009D3EBD" w:rsidRPr="00E01A0E">
        <w:rPr>
          <w:rFonts w:ascii="Times New Roman" w:hAnsi="Times New Roman" w:cs="Times New Roman"/>
          <w:sz w:val="24"/>
          <w:szCs w:val="24"/>
        </w:rPr>
        <w:t xml:space="preserve"> shows the </w:t>
      </w:r>
      <w:r w:rsidR="00E01A0E">
        <w:rPr>
          <w:rFonts w:ascii="Times New Roman" w:hAnsi="Times New Roman" w:cs="Times New Roman"/>
          <w:sz w:val="24"/>
          <w:szCs w:val="24"/>
        </w:rPr>
        <w:t xml:space="preserve">predicted binding affinities of </w:t>
      </w:r>
      <w:proofErr w:type="spellStart"/>
      <w:r w:rsidR="00E01A0E">
        <w:rPr>
          <w:rFonts w:ascii="Times New Roman" w:hAnsi="Times New Roman" w:cs="Times New Roman"/>
          <w:sz w:val="24"/>
          <w:szCs w:val="24"/>
        </w:rPr>
        <w:t>tryptics</w:t>
      </w:r>
      <w:proofErr w:type="spellEnd"/>
      <w:r w:rsidR="00E01A0E">
        <w:rPr>
          <w:rFonts w:ascii="Times New Roman" w:hAnsi="Times New Roman" w:cs="Times New Roman"/>
          <w:sz w:val="24"/>
          <w:szCs w:val="24"/>
        </w:rPr>
        <w:t xml:space="preserve"> peptides</w:t>
      </w:r>
      <w:r w:rsidR="009D3EBD" w:rsidRPr="00E01A0E">
        <w:rPr>
          <w:rFonts w:ascii="Times New Roman" w:hAnsi="Times New Roman" w:cs="Times New Roman"/>
          <w:sz w:val="24"/>
          <w:szCs w:val="24"/>
        </w:rPr>
        <w:t xml:space="preserve"> f</w:t>
      </w:r>
      <w:r w:rsidR="00E01A0E">
        <w:rPr>
          <w:rFonts w:ascii="Times New Roman" w:hAnsi="Times New Roman" w:cs="Times New Roman"/>
          <w:sz w:val="24"/>
          <w:szCs w:val="24"/>
        </w:rPr>
        <w:t>rom</w:t>
      </w:r>
      <w:r w:rsidR="009D3EBD" w:rsidRPr="00E01A0E">
        <w:rPr>
          <w:rFonts w:ascii="Times New Roman" w:hAnsi="Times New Roman" w:cs="Times New Roman"/>
          <w:sz w:val="24"/>
          <w:szCs w:val="24"/>
        </w:rPr>
        <w:t xml:space="preserve"> the other 76 alleles.</w:t>
      </w:r>
      <w:r w:rsidR="00C32812" w:rsidRPr="00E01A0E">
        <w:rPr>
          <w:rFonts w:ascii="Times New Roman" w:hAnsi="Times New Roman" w:cs="Times New Roman"/>
          <w:sz w:val="24"/>
          <w:szCs w:val="24"/>
        </w:rPr>
        <w:br w:type="page"/>
      </w:r>
    </w:p>
    <w:p w14:paraId="61D25D60" w14:textId="3787B35E" w:rsidR="00BF72DE" w:rsidRPr="00E01A0E" w:rsidRDefault="00BF72DE">
      <w:pPr>
        <w:rPr>
          <w:rFonts w:ascii="Times New Roman" w:hAnsi="Times New Roman" w:cs="Times New Roman"/>
          <w:sz w:val="24"/>
          <w:szCs w:val="24"/>
        </w:rPr>
      </w:pPr>
      <w:r w:rsidRPr="00E01A0E">
        <w:rPr>
          <w:rFonts w:ascii="Times New Roman" w:hAnsi="Times New Roman" w:cs="Times New Roman"/>
          <w:noProof/>
          <w:sz w:val="24"/>
          <w:szCs w:val="24"/>
        </w:rPr>
        <w:lastRenderedPageBreak/>
        <w:drawing>
          <wp:inline distT="0" distB="0" distL="0" distR="0" wp14:anchorId="66357699" wp14:editId="2AF4889F">
            <wp:extent cx="5934075" cy="385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14:paraId="042102D4" w14:textId="017F24D0" w:rsidR="00BF72DE" w:rsidRPr="00E01A0E" w:rsidRDefault="00BF72DE">
      <w:pPr>
        <w:rPr>
          <w:rFonts w:ascii="Times New Roman" w:hAnsi="Times New Roman" w:cs="Times New Roman"/>
          <w:sz w:val="24"/>
          <w:szCs w:val="24"/>
        </w:rPr>
      </w:pPr>
      <w:r w:rsidRPr="00E01A0E">
        <w:rPr>
          <w:rFonts w:ascii="Times New Roman" w:hAnsi="Times New Roman" w:cs="Times New Roman"/>
          <w:b/>
          <w:bCs/>
          <w:sz w:val="24"/>
          <w:szCs w:val="24"/>
        </w:rPr>
        <w:t xml:space="preserve">Supplementary Figure </w:t>
      </w:r>
      <w:r w:rsidR="00BD5C41" w:rsidRPr="00E01A0E">
        <w:rPr>
          <w:rFonts w:ascii="Times New Roman" w:hAnsi="Times New Roman" w:cs="Times New Roman"/>
          <w:b/>
          <w:bCs/>
          <w:sz w:val="24"/>
          <w:szCs w:val="24"/>
        </w:rPr>
        <w:t>4</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xml:space="preserve">– </w:t>
      </w:r>
      <w:r w:rsidR="00F95885" w:rsidRPr="00E01A0E">
        <w:rPr>
          <w:rFonts w:ascii="Times New Roman" w:hAnsi="Times New Roman" w:cs="Times New Roman"/>
          <w:b/>
          <w:bCs/>
          <w:sz w:val="24"/>
          <w:szCs w:val="24"/>
        </w:rPr>
        <w:t>HLA alleles with multiple, clearly distinct motif specificities</w:t>
      </w:r>
      <w:r w:rsidRPr="00E01A0E">
        <w:rPr>
          <w:rFonts w:ascii="Times New Roman" w:hAnsi="Times New Roman" w:cs="Times New Roman"/>
          <w:sz w:val="24"/>
          <w:szCs w:val="24"/>
        </w:rPr>
        <w:t xml:space="preserve">. </w:t>
      </w:r>
      <w:r w:rsidR="00EF3450" w:rsidRPr="00E01A0E">
        <w:rPr>
          <w:rFonts w:ascii="Times New Roman" w:hAnsi="Times New Roman" w:cs="Times New Roman"/>
          <w:sz w:val="24"/>
          <w:szCs w:val="24"/>
        </w:rPr>
        <w:t xml:space="preserve">Data from mono-allelic HLA peptidomics data were used. </w:t>
      </w:r>
      <w:r w:rsidR="00F95885" w:rsidRPr="00E01A0E">
        <w:rPr>
          <w:rFonts w:ascii="Times New Roman" w:hAnsi="Times New Roman" w:cs="Times New Roman"/>
          <w:sz w:val="24"/>
          <w:szCs w:val="24"/>
        </w:rPr>
        <w:t xml:space="preserve">Each boxed region contains motifs of the indicated HLA allele. Each 9-mer motif is shown alongside the distribution of predicted binding affinity (IC50, </w:t>
      </w:r>
      <w:proofErr w:type="spellStart"/>
      <w:r w:rsidR="00F95885" w:rsidRPr="00E01A0E">
        <w:rPr>
          <w:rFonts w:ascii="Times New Roman" w:hAnsi="Times New Roman" w:cs="Times New Roman"/>
          <w:sz w:val="24"/>
          <w:szCs w:val="24"/>
        </w:rPr>
        <w:t>nM</w:t>
      </w:r>
      <w:proofErr w:type="spellEnd"/>
      <w:r w:rsidR="00F95885" w:rsidRPr="00E01A0E">
        <w:rPr>
          <w:rFonts w:ascii="Times New Roman" w:hAnsi="Times New Roman" w:cs="Times New Roman"/>
          <w:sz w:val="24"/>
          <w:szCs w:val="24"/>
        </w:rPr>
        <w:t>).</w:t>
      </w:r>
    </w:p>
    <w:p w14:paraId="20BB864A" w14:textId="77777777" w:rsidR="00BF72DE" w:rsidRPr="00E01A0E" w:rsidRDefault="00BF72DE">
      <w:pPr>
        <w:rPr>
          <w:rFonts w:ascii="Times New Roman" w:hAnsi="Times New Roman" w:cs="Times New Roman"/>
          <w:sz w:val="24"/>
          <w:szCs w:val="24"/>
        </w:rPr>
      </w:pPr>
      <w:r w:rsidRPr="00E01A0E">
        <w:rPr>
          <w:rFonts w:ascii="Times New Roman" w:hAnsi="Times New Roman" w:cs="Times New Roman"/>
          <w:sz w:val="24"/>
          <w:szCs w:val="24"/>
        </w:rPr>
        <w:br w:type="page"/>
      </w:r>
    </w:p>
    <w:p w14:paraId="0042710B" w14:textId="161A7D4D" w:rsidR="00BF72DE" w:rsidRPr="00E01A0E" w:rsidRDefault="00BF72DE">
      <w:pPr>
        <w:rPr>
          <w:rFonts w:ascii="Times New Roman" w:hAnsi="Times New Roman" w:cs="Times New Roman"/>
          <w:sz w:val="24"/>
          <w:szCs w:val="24"/>
        </w:rPr>
      </w:pPr>
      <w:r w:rsidRPr="00E01A0E">
        <w:rPr>
          <w:rFonts w:ascii="Times New Roman" w:hAnsi="Times New Roman" w:cs="Times New Roman"/>
          <w:noProof/>
          <w:sz w:val="24"/>
          <w:szCs w:val="24"/>
        </w:rPr>
        <w:lastRenderedPageBreak/>
        <w:drawing>
          <wp:inline distT="0" distB="0" distL="0" distR="0" wp14:anchorId="797DF3BE" wp14:editId="6DF13EF7">
            <wp:extent cx="5943600" cy="529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p>
    <w:p w14:paraId="6FC6D98A" w14:textId="72F06D34" w:rsidR="00BF72DE" w:rsidRPr="00E01A0E" w:rsidRDefault="00BF72DE" w:rsidP="00BF72DE">
      <w:pPr>
        <w:rPr>
          <w:rFonts w:ascii="Times New Roman" w:hAnsi="Times New Roman" w:cs="Times New Roman"/>
          <w:sz w:val="24"/>
          <w:szCs w:val="24"/>
        </w:rPr>
      </w:pPr>
      <w:r w:rsidRPr="00E01A0E">
        <w:rPr>
          <w:rFonts w:ascii="Times New Roman" w:hAnsi="Times New Roman" w:cs="Times New Roman"/>
          <w:b/>
          <w:bCs/>
          <w:sz w:val="24"/>
          <w:szCs w:val="24"/>
        </w:rPr>
        <w:t xml:space="preserve">Supplementary Figure </w:t>
      </w:r>
      <w:r w:rsidR="00BD5C41" w:rsidRPr="00E01A0E">
        <w:rPr>
          <w:rFonts w:ascii="Times New Roman" w:hAnsi="Times New Roman" w:cs="Times New Roman"/>
          <w:b/>
          <w:bCs/>
          <w:sz w:val="24"/>
          <w:szCs w:val="24"/>
        </w:rPr>
        <w:t>5</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xml:space="preserve">– </w:t>
      </w:r>
      <w:r w:rsidR="00F95885" w:rsidRPr="00E01A0E">
        <w:rPr>
          <w:rFonts w:ascii="Times New Roman" w:hAnsi="Times New Roman" w:cs="Times New Roman"/>
          <w:b/>
          <w:bCs/>
          <w:sz w:val="24"/>
          <w:szCs w:val="24"/>
        </w:rPr>
        <w:t>HLA alleles with multiple related motif specificities</w:t>
      </w:r>
      <w:r w:rsidR="00F95885" w:rsidRPr="00E01A0E">
        <w:rPr>
          <w:rFonts w:ascii="Times New Roman" w:hAnsi="Times New Roman" w:cs="Times New Roman"/>
          <w:sz w:val="24"/>
          <w:szCs w:val="24"/>
        </w:rPr>
        <w:t xml:space="preserve">. </w:t>
      </w:r>
      <w:r w:rsidR="00EF3450" w:rsidRPr="00E01A0E">
        <w:rPr>
          <w:rFonts w:ascii="Times New Roman" w:hAnsi="Times New Roman" w:cs="Times New Roman"/>
          <w:sz w:val="24"/>
          <w:szCs w:val="24"/>
        </w:rPr>
        <w:t xml:space="preserve">Data from mono-allelic HLA peptidomics data were used. </w:t>
      </w:r>
      <w:r w:rsidR="00F95885" w:rsidRPr="00E01A0E">
        <w:rPr>
          <w:rFonts w:ascii="Times New Roman" w:hAnsi="Times New Roman" w:cs="Times New Roman"/>
          <w:sz w:val="24"/>
          <w:szCs w:val="24"/>
        </w:rPr>
        <w:t xml:space="preserve">Each boxed region contains motifs of the indicated HLA allele. Each 9-mer motif is shown alongside the distribution of predicted binding affinity (IC50, </w:t>
      </w:r>
      <w:proofErr w:type="spellStart"/>
      <w:r w:rsidR="00F95885" w:rsidRPr="00E01A0E">
        <w:rPr>
          <w:rFonts w:ascii="Times New Roman" w:hAnsi="Times New Roman" w:cs="Times New Roman"/>
          <w:sz w:val="24"/>
          <w:szCs w:val="24"/>
        </w:rPr>
        <w:t>nM</w:t>
      </w:r>
      <w:proofErr w:type="spellEnd"/>
      <w:r w:rsidR="00F95885" w:rsidRPr="00E01A0E">
        <w:rPr>
          <w:rFonts w:ascii="Times New Roman" w:hAnsi="Times New Roman" w:cs="Times New Roman"/>
          <w:sz w:val="24"/>
          <w:szCs w:val="24"/>
        </w:rPr>
        <w:t xml:space="preserve">). </w:t>
      </w:r>
      <w:r w:rsidR="00871797" w:rsidRPr="00E01A0E">
        <w:rPr>
          <w:rFonts w:ascii="Times New Roman" w:hAnsi="Times New Roman" w:cs="Times New Roman"/>
          <w:sz w:val="24"/>
          <w:szCs w:val="24"/>
        </w:rPr>
        <w:t>These motifs possess similar anchor residues at the 2</w:t>
      </w:r>
      <w:r w:rsidR="00871797" w:rsidRPr="00E01A0E">
        <w:rPr>
          <w:rFonts w:ascii="Times New Roman" w:hAnsi="Times New Roman" w:cs="Times New Roman"/>
          <w:sz w:val="24"/>
          <w:szCs w:val="24"/>
          <w:vertAlign w:val="superscript"/>
        </w:rPr>
        <w:t>nd</w:t>
      </w:r>
      <w:r w:rsidR="00871797" w:rsidRPr="00E01A0E">
        <w:rPr>
          <w:rFonts w:ascii="Times New Roman" w:hAnsi="Times New Roman" w:cs="Times New Roman"/>
          <w:sz w:val="24"/>
          <w:szCs w:val="24"/>
        </w:rPr>
        <w:t xml:space="preserve"> position or shifted to the 1</w:t>
      </w:r>
      <w:r w:rsidR="00871797" w:rsidRPr="00E01A0E">
        <w:rPr>
          <w:rFonts w:ascii="Times New Roman" w:hAnsi="Times New Roman" w:cs="Times New Roman"/>
          <w:sz w:val="24"/>
          <w:szCs w:val="24"/>
          <w:vertAlign w:val="superscript"/>
        </w:rPr>
        <w:t>st</w:t>
      </w:r>
      <w:r w:rsidR="00871797" w:rsidRPr="00E01A0E">
        <w:rPr>
          <w:rFonts w:ascii="Times New Roman" w:hAnsi="Times New Roman" w:cs="Times New Roman"/>
          <w:sz w:val="24"/>
          <w:szCs w:val="24"/>
        </w:rPr>
        <w:t xml:space="preserve"> position.</w:t>
      </w:r>
      <w:r w:rsidR="00E01A0E">
        <w:rPr>
          <w:rFonts w:ascii="Times New Roman" w:hAnsi="Times New Roman" w:cs="Times New Roman"/>
          <w:sz w:val="24"/>
          <w:szCs w:val="24"/>
        </w:rPr>
        <w:t xml:space="preserve"> The 9-mer and 10-mer motif explanations for these patterns are illustrated in Supplementary Figure 6.</w:t>
      </w:r>
    </w:p>
    <w:p w14:paraId="1145AEC5" w14:textId="214C9EC7" w:rsidR="00BD5C41" w:rsidRPr="00E01A0E" w:rsidRDefault="00BD5C41">
      <w:pPr>
        <w:rPr>
          <w:rFonts w:ascii="Times New Roman" w:hAnsi="Times New Roman" w:cs="Times New Roman"/>
          <w:sz w:val="24"/>
          <w:szCs w:val="24"/>
        </w:rPr>
      </w:pPr>
      <w:r w:rsidRPr="00E01A0E">
        <w:rPr>
          <w:rFonts w:ascii="Times New Roman" w:hAnsi="Times New Roman" w:cs="Times New Roman"/>
          <w:sz w:val="24"/>
          <w:szCs w:val="24"/>
        </w:rPr>
        <w:br w:type="page"/>
      </w:r>
    </w:p>
    <w:p w14:paraId="1373FC68" w14:textId="7EC8A501" w:rsidR="00BF72DE" w:rsidRPr="00E01A0E" w:rsidRDefault="00BD5C41">
      <w:pPr>
        <w:rPr>
          <w:rFonts w:ascii="Times New Roman" w:hAnsi="Times New Roman" w:cs="Times New Roman"/>
          <w:sz w:val="24"/>
          <w:szCs w:val="24"/>
        </w:rPr>
      </w:pPr>
      <w:r w:rsidRPr="00E01A0E">
        <w:rPr>
          <w:rFonts w:ascii="Times New Roman" w:hAnsi="Times New Roman" w:cs="Times New Roman"/>
          <w:noProof/>
          <w:sz w:val="24"/>
          <w:szCs w:val="24"/>
        </w:rPr>
        <w:lastRenderedPageBreak/>
        <w:drawing>
          <wp:inline distT="0" distB="0" distL="0" distR="0" wp14:anchorId="0EE6B520" wp14:editId="2AC5BBF6">
            <wp:extent cx="5943600" cy="594360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1"/>
                    <a:stretch>
                      <a:fillRect/>
                    </a:stretch>
                  </pic:blipFill>
                  <pic:spPr>
                    <a:xfrm>
                      <a:off x="0" y="0"/>
                      <a:ext cx="5943600" cy="5943600"/>
                    </a:xfrm>
                    <a:prstGeom prst="rect">
                      <a:avLst/>
                    </a:prstGeom>
                  </pic:spPr>
                </pic:pic>
              </a:graphicData>
            </a:graphic>
          </wp:inline>
        </w:drawing>
      </w:r>
    </w:p>
    <w:p w14:paraId="28A590B8" w14:textId="18E50B24" w:rsidR="00BD5C41" w:rsidRPr="00E01A0E" w:rsidRDefault="00BD5C41" w:rsidP="005025CB">
      <w:pPr>
        <w:rPr>
          <w:rFonts w:ascii="Times New Roman" w:hAnsi="Times New Roman" w:cs="Times New Roman"/>
          <w:sz w:val="24"/>
          <w:szCs w:val="24"/>
        </w:rPr>
      </w:pPr>
      <w:r w:rsidRPr="00E01A0E">
        <w:rPr>
          <w:rFonts w:ascii="Times New Roman" w:hAnsi="Times New Roman" w:cs="Times New Roman"/>
          <w:b/>
          <w:bCs/>
          <w:sz w:val="24"/>
          <w:szCs w:val="24"/>
        </w:rPr>
        <w:t>Supplementary Figure 6</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9-mer and 10-mer motifs for HLA alleles with multiple related motif specificities</w:t>
      </w:r>
      <w:r w:rsidRPr="00E01A0E">
        <w:rPr>
          <w:rFonts w:ascii="Times New Roman" w:hAnsi="Times New Roman" w:cs="Times New Roman"/>
          <w:sz w:val="24"/>
          <w:szCs w:val="24"/>
        </w:rPr>
        <w:t xml:space="preserve">. </w:t>
      </w:r>
      <w:r w:rsidR="00EF3450" w:rsidRPr="00E01A0E">
        <w:rPr>
          <w:rFonts w:ascii="Times New Roman" w:hAnsi="Times New Roman" w:cs="Times New Roman"/>
          <w:sz w:val="24"/>
          <w:szCs w:val="24"/>
        </w:rPr>
        <w:t xml:space="preserve">Data from mono-allelic HLA peptidomics data were used. </w:t>
      </w:r>
      <w:r w:rsidRPr="00E01A0E">
        <w:rPr>
          <w:rFonts w:ascii="Times New Roman" w:hAnsi="Times New Roman" w:cs="Times New Roman"/>
          <w:sz w:val="24"/>
          <w:szCs w:val="24"/>
        </w:rPr>
        <w:t>Ea</w:t>
      </w:r>
      <w:r w:rsidR="005025CB" w:rsidRPr="00E01A0E">
        <w:rPr>
          <w:rFonts w:ascii="Times New Roman" w:hAnsi="Times New Roman" w:cs="Times New Roman"/>
          <w:sz w:val="24"/>
          <w:szCs w:val="24"/>
        </w:rPr>
        <w:t>ch row</w:t>
      </w:r>
      <w:r w:rsidRPr="00E01A0E">
        <w:rPr>
          <w:rFonts w:ascii="Times New Roman" w:hAnsi="Times New Roman" w:cs="Times New Roman"/>
          <w:sz w:val="24"/>
          <w:szCs w:val="24"/>
        </w:rPr>
        <w:t xml:space="preserve"> </w:t>
      </w:r>
      <w:r w:rsidR="005025CB" w:rsidRPr="00E01A0E">
        <w:rPr>
          <w:rFonts w:ascii="Times New Roman" w:hAnsi="Times New Roman" w:cs="Times New Roman"/>
          <w:sz w:val="24"/>
          <w:szCs w:val="24"/>
        </w:rPr>
        <w:t>shows</w:t>
      </w:r>
      <w:r w:rsidRPr="00E01A0E">
        <w:rPr>
          <w:rFonts w:ascii="Times New Roman" w:hAnsi="Times New Roman" w:cs="Times New Roman"/>
          <w:sz w:val="24"/>
          <w:szCs w:val="24"/>
        </w:rPr>
        <w:t xml:space="preserve"> </w:t>
      </w:r>
      <w:r w:rsidR="005025CB" w:rsidRPr="00E01A0E">
        <w:rPr>
          <w:rFonts w:ascii="Times New Roman" w:hAnsi="Times New Roman" w:cs="Times New Roman"/>
          <w:sz w:val="24"/>
          <w:szCs w:val="24"/>
        </w:rPr>
        <w:t xml:space="preserve">9-mer (left panel) and 10-mer (right panel) </w:t>
      </w:r>
      <w:r w:rsidRPr="00E01A0E">
        <w:rPr>
          <w:rFonts w:ascii="Times New Roman" w:hAnsi="Times New Roman" w:cs="Times New Roman"/>
          <w:sz w:val="24"/>
          <w:szCs w:val="24"/>
        </w:rPr>
        <w:t>motifs of the indicated HLA allele.</w:t>
      </w:r>
    </w:p>
    <w:p w14:paraId="64061600" w14:textId="77777777" w:rsidR="004A7176" w:rsidRDefault="004A7176">
      <w:pPr>
        <w:rPr>
          <w:rFonts w:ascii="Times New Roman" w:hAnsi="Times New Roman" w:cs="Times New Roman"/>
          <w:sz w:val="24"/>
          <w:szCs w:val="24"/>
        </w:rPr>
      </w:pPr>
      <w:r>
        <w:rPr>
          <w:rFonts w:ascii="Times New Roman" w:hAnsi="Times New Roman" w:cs="Times New Roman"/>
          <w:sz w:val="24"/>
          <w:szCs w:val="24"/>
        </w:rPr>
        <w:br w:type="page"/>
      </w:r>
    </w:p>
    <w:p w14:paraId="5886E1CE" w14:textId="77777777" w:rsidR="004A7176" w:rsidRPr="00E01A0E" w:rsidRDefault="004A7176" w:rsidP="004A7176">
      <w:pPr>
        <w:rPr>
          <w:rFonts w:ascii="Times New Roman" w:hAnsi="Times New Roman" w:cs="Times New Roman"/>
          <w:sz w:val="24"/>
          <w:szCs w:val="24"/>
        </w:rPr>
      </w:pPr>
      <w:r w:rsidRPr="00E01A0E">
        <w:rPr>
          <w:rFonts w:ascii="Times New Roman" w:hAnsi="Times New Roman" w:cs="Times New Roman"/>
          <w:noProof/>
          <w:sz w:val="24"/>
          <w:szCs w:val="24"/>
          <w:cs/>
        </w:rPr>
        <w:lastRenderedPageBreak/>
        <w:drawing>
          <wp:inline distT="0" distB="0" distL="0" distR="0" wp14:anchorId="1A4A15C5" wp14:editId="2731EA61">
            <wp:extent cx="5943600" cy="1736090"/>
            <wp:effectExtent l="0" t="0" r="0" b="0"/>
            <wp:docPr id="9" name="Picture 9"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istogram&#10;&#10;Description automatically generated with low confidence"/>
                    <pic:cNvPicPr/>
                  </pic:nvPicPr>
                  <pic:blipFill>
                    <a:blip r:embed="rId12"/>
                    <a:stretch>
                      <a:fillRect/>
                    </a:stretch>
                  </pic:blipFill>
                  <pic:spPr>
                    <a:xfrm>
                      <a:off x="0" y="0"/>
                      <a:ext cx="5943600" cy="1736090"/>
                    </a:xfrm>
                    <a:prstGeom prst="rect">
                      <a:avLst/>
                    </a:prstGeom>
                  </pic:spPr>
                </pic:pic>
              </a:graphicData>
            </a:graphic>
          </wp:inline>
        </w:drawing>
      </w:r>
    </w:p>
    <w:p w14:paraId="49917394" w14:textId="77777777" w:rsidR="004A7176" w:rsidRPr="00E01A0E" w:rsidRDefault="004A7176" w:rsidP="004A7176">
      <w:pPr>
        <w:rPr>
          <w:rFonts w:ascii="Times New Roman" w:hAnsi="Times New Roman" w:cs="Times New Roman"/>
          <w:sz w:val="24"/>
          <w:szCs w:val="24"/>
        </w:rPr>
      </w:pPr>
      <w:r w:rsidRPr="00E01A0E">
        <w:rPr>
          <w:rFonts w:ascii="Times New Roman" w:hAnsi="Times New Roman" w:cs="Times New Roman"/>
          <w:noProof/>
          <w:sz w:val="24"/>
          <w:szCs w:val="24"/>
          <w:cs/>
        </w:rPr>
        <w:drawing>
          <wp:inline distT="0" distB="0" distL="0" distR="0" wp14:anchorId="40F94D7A" wp14:editId="371E0AAD">
            <wp:extent cx="5943600" cy="444373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3"/>
                    <a:stretch>
                      <a:fillRect/>
                    </a:stretch>
                  </pic:blipFill>
                  <pic:spPr>
                    <a:xfrm>
                      <a:off x="0" y="0"/>
                      <a:ext cx="5943600" cy="4443730"/>
                    </a:xfrm>
                    <a:prstGeom prst="rect">
                      <a:avLst/>
                    </a:prstGeom>
                  </pic:spPr>
                </pic:pic>
              </a:graphicData>
            </a:graphic>
          </wp:inline>
        </w:drawing>
      </w:r>
    </w:p>
    <w:p w14:paraId="6C0BC323" w14:textId="0DE33D45" w:rsidR="00C541D4" w:rsidRDefault="004A7176" w:rsidP="004A7176">
      <w:pPr>
        <w:rPr>
          <w:rFonts w:ascii="Times New Roman" w:hAnsi="Times New Roman" w:cs="Times New Roman"/>
          <w:sz w:val="24"/>
          <w:szCs w:val="24"/>
        </w:rPr>
      </w:pPr>
      <w:r w:rsidRPr="00E01A0E">
        <w:rPr>
          <w:rFonts w:ascii="Times New Roman" w:hAnsi="Times New Roman" w:cs="Times New Roman"/>
          <w:b/>
          <w:bCs/>
          <w:sz w:val="24"/>
          <w:szCs w:val="24"/>
        </w:rPr>
        <w:t>Supplementary Figure 7</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Characteristics of identified peptides and binding motifs from HLA peptidomics data of a multi-allelic B-lymphoblastoid cell line</w:t>
      </w:r>
      <w:r w:rsidRPr="00E01A0E">
        <w:rPr>
          <w:rFonts w:ascii="Times New Roman" w:hAnsi="Times New Roman" w:cs="Times New Roman"/>
          <w:sz w:val="24"/>
          <w:szCs w:val="24"/>
        </w:rPr>
        <w:t xml:space="preserve">. </w:t>
      </w:r>
      <w:r>
        <w:rPr>
          <w:rFonts w:ascii="Times New Roman" w:hAnsi="Times New Roman" w:cs="Times New Roman"/>
          <w:b/>
          <w:bCs/>
          <w:sz w:val="24"/>
          <w:szCs w:val="24"/>
        </w:rPr>
        <w:t>The first</w:t>
      </w:r>
      <w:r w:rsidRPr="00E01A0E">
        <w:rPr>
          <w:rFonts w:ascii="Times New Roman" w:hAnsi="Times New Roman" w:cs="Times New Roman"/>
          <w:b/>
          <w:bCs/>
          <w:sz w:val="24"/>
          <w:szCs w:val="24"/>
        </w:rPr>
        <w:t xml:space="preserve"> row</w:t>
      </w:r>
      <w:r w:rsidRPr="00E01A0E">
        <w:rPr>
          <w:rFonts w:ascii="Times New Roman" w:hAnsi="Times New Roman" w:cs="Times New Roman"/>
          <w:sz w:val="24"/>
          <w:szCs w:val="24"/>
        </w:rPr>
        <w:t xml:space="preserve"> shows the histograms of peptide lengths for peptides eluted from immunoaffinity purification with pan-HLA class I or pan-HLA class II antibody, respectively. </w:t>
      </w:r>
      <w:r>
        <w:rPr>
          <w:rFonts w:ascii="Times New Roman" w:hAnsi="Times New Roman" w:cs="Times New Roman"/>
          <w:b/>
          <w:bCs/>
          <w:sz w:val="24"/>
          <w:szCs w:val="24"/>
        </w:rPr>
        <w:t>Bottom rows</w:t>
      </w:r>
      <w:r w:rsidRPr="00E01A0E">
        <w:rPr>
          <w:rFonts w:ascii="Times New Roman" w:hAnsi="Times New Roman" w:cs="Times New Roman"/>
          <w:sz w:val="24"/>
          <w:szCs w:val="24"/>
        </w:rPr>
        <w:t xml:space="preserve"> show 9-mer motif alongside the corresponding distribution of predicted binding affinity (IC50, </w:t>
      </w:r>
      <w:proofErr w:type="spellStart"/>
      <w:r w:rsidRPr="00E01A0E">
        <w:rPr>
          <w:rFonts w:ascii="Times New Roman" w:hAnsi="Times New Roman" w:cs="Times New Roman"/>
          <w:sz w:val="24"/>
          <w:szCs w:val="24"/>
        </w:rPr>
        <w:t>nM</w:t>
      </w:r>
      <w:proofErr w:type="spellEnd"/>
      <w:r w:rsidRPr="00E01A0E">
        <w:rPr>
          <w:rFonts w:ascii="Times New Roman" w:hAnsi="Times New Roman" w:cs="Times New Roman"/>
          <w:sz w:val="24"/>
          <w:szCs w:val="24"/>
        </w:rPr>
        <w:t xml:space="preserve"> unit) for each HLA class I allele that is expressed in this cell line (HLA-A*01:01, HLA-B*08:01, and HLA-C*07:01). </w:t>
      </w:r>
      <w:r w:rsidR="005C49E4">
        <w:rPr>
          <w:rFonts w:ascii="Times New Roman" w:hAnsi="Times New Roman" w:cs="Times New Roman"/>
          <w:sz w:val="24"/>
          <w:szCs w:val="24"/>
        </w:rPr>
        <w:t>All identified peptides were included</w:t>
      </w:r>
      <w:r w:rsidRPr="00E01A0E">
        <w:rPr>
          <w:rFonts w:ascii="Times New Roman" w:hAnsi="Times New Roman" w:cs="Times New Roman"/>
          <w:sz w:val="24"/>
          <w:szCs w:val="24"/>
        </w:rPr>
        <w:t>.</w:t>
      </w:r>
    </w:p>
    <w:p w14:paraId="61B23078" w14:textId="77777777" w:rsidR="00C541D4" w:rsidRDefault="00C541D4">
      <w:pPr>
        <w:rPr>
          <w:rFonts w:ascii="Times New Roman" w:hAnsi="Times New Roman" w:cs="Times New Roman"/>
          <w:sz w:val="24"/>
          <w:szCs w:val="24"/>
        </w:rPr>
      </w:pPr>
      <w:r>
        <w:rPr>
          <w:rFonts w:ascii="Times New Roman" w:hAnsi="Times New Roman" w:cs="Times New Roman"/>
          <w:sz w:val="24"/>
          <w:szCs w:val="24"/>
        </w:rPr>
        <w:br w:type="page"/>
      </w:r>
    </w:p>
    <w:p w14:paraId="0BF33FCC" w14:textId="05C44E3F" w:rsidR="004A7176" w:rsidRPr="00E01A0E" w:rsidRDefault="00C541D4" w:rsidP="004A717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8E012A" wp14:editId="0FE2AAEF">
            <wp:extent cx="5931535" cy="2941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2941955"/>
                    </a:xfrm>
                    <a:prstGeom prst="rect">
                      <a:avLst/>
                    </a:prstGeom>
                    <a:noFill/>
                    <a:ln>
                      <a:noFill/>
                    </a:ln>
                  </pic:spPr>
                </pic:pic>
              </a:graphicData>
            </a:graphic>
          </wp:inline>
        </w:drawing>
      </w:r>
    </w:p>
    <w:p w14:paraId="0E5D5CE2" w14:textId="77777777" w:rsidR="00056FAE" w:rsidRDefault="00C541D4">
      <w:pPr>
        <w:rPr>
          <w:rFonts w:ascii="Times New Roman" w:hAnsi="Times New Roman" w:cs="Times New Roman"/>
          <w:sz w:val="24"/>
          <w:szCs w:val="24"/>
        </w:rPr>
      </w:pPr>
      <w:r w:rsidRPr="00E01A0E">
        <w:rPr>
          <w:rFonts w:ascii="Times New Roman" w:hAnsi="Times New Roman" w:cs="Times New Roman"/>
          <w:b/>
          <w:bCs/>
          <w:sz w:val="24"/>
          <w:szCs w:val="24"/>
        </w:rPr>
        <w:t xml:space="preserve">Supplementary Figure </w:t>
      </w:r>
      <w:r>
        <w:rPr>
          <w:rFonts w:ascii="Times New Roman" w:hAnsi="Times New Roman" w:cs="Times New Roman"/>
          <w:b/>
          <w:bCs/>
          <w:sz w:val="24"/>
          <w:szCs w:val="24"/>
        </w:rPr>
        <w:t>8</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xml:space="preserve">– </w:t>
      </w:r>
      <w:r>
        <w:rPr>
          <w:rFonts w:ascii="Times New Roman" w:hAnsi="Times New Roman" w:cs="Times New Roman"/>
          <w:b/>
          <w:bCs/>
          <w:sz w:val="24"/>
          <w:szCs w:val="24"/>
        </w:rPr>
        <w:t xml:space="preserve">Motif clustering and predicted binding affinities for </w:t>
      </w:r>
      <w:r w:rsidR="00D44443">
        <w:rPr>
          <w:rFonts w:ascii="Times New Roman" w:hAnsi="Times New Roman" w:cs="Times New Roman"/>
          <w:b/>
          <w:bCs/>
          <w:sz w:val="24"/>
          <w:szCs w:val="24"/>
        </w:rPr>
        <w:t xml:space="preserve">potential HLA-A*01:01 ligands identified from </w:t>
      </w:r>
      <w:r w:rsidRPr="00E01A0E">
        <w:rPr>
          <w:rFonts w:ascii="Times New Roman" w:hAnsi="Times New Roman" w:cs="Times New Roman"/>
          <w:b/>
          <w:bCs/>
          <w:sz w:val="24"/>
          <w:szCs w:val="24"/>
        </w:rPr>
        <w:t>a multi-allelic B-lymphoblastoid cell line</w:t>
      </w:r>
      <w:r w:rsidRPr="00E01A0E">
        <w:rPr>
          <w:rFonts w:ascii="Times New Roman" w:hAnsi="Times New Roman" w:cs="Times New Roman"/>
          <w:sz w:val="24"/>
          <w:szCs w:val="24"/>
        </w:rPr>
        <w:t xml:space="preserve">. </w:t>
      </w:r>
      <w:r>
        <w:rPr>
          <w:rFonts w:ascii="Times New Roman" w:hAnsi="Times New Roman" w:cs="Times New Roman"/>
          <w:b/>
          <w:bCs/>
          <w:sz w:val="24"/>
          <w:szCs w:val="24"/>
        </w:rPr>
        <w:t>The first</w:t>
      </w:r>
      <w:r w:rsidRPr="00E01A0E">
        <w:rPr>
          <w:rFonts w:ascii="Times New Roman" w:hAnsi="Times New Roman" w:cs="Times New Roman"/>
          <w:b/>
          <w:bCs/>
          <w:sz w:val="24"/>
          <w:szCs w:val="24"/>
        </w:rPr>
        <w:t xml:space="preserve"> row</w:t>
      </w:r>
      <w:r w:rsidRPr="00E01A0E">
        <w:rPr>
          <w:rFonts w:ascii="Times New Roman" w:hAnsi="Times New Roman" w:cs="Times New Roman"/>
          <w:sz w:val="24"/>
          <w:szCs w:val="24"/>
        </w:rPr>
        <w:t xml:space="preserve"> shows the </w:t>
      </w:r>
      <w:r w:rsidR="00D44443">
        <w:rPr>
          <w:rFonts w:ascii="Times New Roman" w:hAnsi="Times New Roman" w:cs="Times New Roman"/>
          <w:sz w:val="24"/>
          <w:szCs w:val="24"/>
        </w:rPr>
        <w:t xml:space="preserve">9-mer motif profiles and histogram of the predicted binding affinity (IC50, </w:t>
      </w:r>
      <w:proofErr w:type="spellStart"/>
      <w:r w:rsidR="00D44443">
        <w:rPr>
          <w:rFonts w:ascii="Times New Roman" w:hAnsi="Times New Roman" w:cs="Times New Roman"/>
          <w:sz w:val="24"/>
          <w:szCs w:val="24"/>
        </w:rPr>
        <w:t>nM</w:t>
      </w:r>
      <w:proofErr w:type="spellEnd"/>
      <w:r w:rsidR="00D44443">
        <w:rPr>
          <w:rFonts w:ascii="Times New Roman" w:hAnsi="Times New Roman" w:cs="Times New Roman"/>
          <w:sz w:val="24"/>
          <w:szCs w:val="24"/>
        </w:rPr>
        <w:t xml:space="preserve"> unit) for all 1,795 peptides identified by SMSNet and PEAKS-DB</w:t>
      </w:r>
      <w:r w:rsidRPr="00E01A0E">
        <w:rPr>
          <w:rFonts w:ascii="Times New Roman" w:hAnsi="Times New Roman" w:cs="Times New Roman"/>
          <w:sz w:val="24"/>
          <w:szCs w:val="24"/>
        </w:rPr>
        <w:t xml:space="preserve">. </w:t>
      </w:r>
      <w:r w:rsidR="00D44443">
        <w:rPr>
          <w:rFonts w:ascii="Times New Roman" w:hAnsi="Times New Roman" w:cs="Times New Roman"/>
          <w:b/>
          <w:bCs/>
          <w:sz w:val="24"/>
          <w:szCs w:val="24"/>
        </w:rPr>
        <w:t xml:space="preserve">The second </w:t>
      </w:r>
      <w:r>
        <w:rPr>
          <w:rFonts w:ascii="Times New Roman" w:hAnsi="Times New Roman" w:cs="Times New Roman"/>
          <w:b/>
          <w:bCs/>
          <w:sz w:val="24"/>
          <w:szCs w:val="24"/>
        </w:rPr>
        <w:t>row</w:t>
      </w:r>
      <w:r w:rsidRPr="00E01A0E">
        <w:rPr>
          <w:rFonts w:ascii="Times New Roman" w:hAnsi="Times New Roman" w:cs="Times New Roman"/>
          <w:sz w:val="24"/>
          <w:szCs w:val="24"/>
        </w:rPr>
        <w:t xml:space="preserve"> </w:t>
      </w:r>
      <w:r w:rsidR="00D44443">
        <w:rPr>
          <w:rFonts w:ascii="Times New Roman" w:hAnsi="Times New Roman" w:cs="Times New Roman"/>
          <w:sz w:val="24"/>
          <w:szCs w:val="24"/>
        </w:rPr>
        <w:t xml:space="preserve">shows </w:t>
      </w:r>
      <w:r w:rsidR="00D44443" w:rsidRPr="00E01A0E">
        <w:rPr>
          <w:rFonts w:ascii="Times New Roman" w:hAnsi="Times New Roman" w:cs="Times New Roman"/>
          <w:sz w:val="24"/>
          <w:szCs w:val="24"/>
        </w:rPr>
        <w:t xml:space="preserve">the </w:t>
      </w:r>
      <w:r w:rsidR="00D44443">
        <w:rPr>
          <w:rFonts w:ascii="Times New Roman" w:hAnsi="Times New Roman" w:cs="Times New Roman"/>
          <w:sz w:val="24"/>
          <w:szCs w:val="24"/>
        </w:rPr>
        <w:t xml:space="preserve">9-mer motif profiles and histogram of the predicted binding affinity (IC50, </w:t>
      </w:r>
      <w:proofErr w:type="spellStart"/>
      <w:r w:rsidR="00D44443">
        <w:rPr>
          <w:rFonts w:ascii="Times New Roman" w:hAnsi="Times New Roman" w:cs="Times New Roman"/>
          <w:sz w:val="24"/>
          <w:szCs w:val="24"/>
        </w:rPr>
        <w:t>nM</w:t>
      </w:r>
      <w:proofErr w:type="spellEnd"/>
      <w:r w:rsidR="00D44443">
        <w:rPr>
          <w:rFonts w:ascii="Times New Roman" w:hAnsi="Times New Roman" w:cs="Times New Roman"/>
          <w:sz w:val="24"/>
          <w:szCs w:val="24"/>
        </w:rPr>
        <w:t xml:space="preserve"> unit) for </w:t>
      </w:r>
      <w:r w:rsidR="00D44443">
        <w:rPr>
          <w:rFonts w:ascii="Times New Roman" w:hAnsi="Times New Roman" w:cs="Times New Roman"/>
          <w:sz w:val="24"/>
          <w:szCs w:val="24"/>
        </w:rPr>
        <w:t xml:space="preserve">135 </w:t>
      </w:r>
      <w:r w:rsidR="00D44443">
        <w:rPr>
          <w:rFonts w:ascii="Times New Roman" w:hAnsi="Times New Roman" w:cs="Times New Roman"/>
          <w:sz w:val="24"/>
          <w:szCs w:val="24"/>
        </w:rPr>
        <w:t xml:space="preserve">peptides </w:t>
      </w:r>
      <w:r w:rsidR="00D44443">
        <w:rPr>
          <w:rFonts w:ascii="Times New Roman" w:hAnsi="Times New Roman" w:cs="Times New Roman"/>
          <w:sz w:val="24"/>
          <w:szCs w:val="24"/>
        </w:rPr>
        <w:t>flagged as either outlier or tryptic.</w:t>
      </w:r>
    </w:p>
    <w:p w14:paraId="3AF57DA6" w14:textId="77777777" w:rsidR="00056FAE" w:rsidRDefault="00056FAE">
      <w:pPr>
        <w:rPr>
          <w:rFonts w:ascii="Times New Roman" w:hAnsi="Times New Roman" w:cs="Times New Roman"/>
          <w:sz w:val="24"/>
          <w:szCs w:val="24"/>
        </w:rPr>
      </w:pPr>
      <w:r>
        <w:rPr>
          <w:rFonts w:ascii="Times New Roman" w:hAnsi="Times New Roman" w:cs="Times New Roman"/>
          <w:sz w:val="24"/>
          <w:szCs w:val="24"/>
        </w:rPr>
        <w:br w:type="page"/>
      </w:r>
    </w:p>
    <w:p w14:paraId="1B12EA96" w14:textId="77777777" w:rsidR="00056FAE" w:rsidRDefault="00056FA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74D763" wp14:editId="24AB06C5">
            <wp:extent cx="5823602" cy="729929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926" cy="7312237"/>
                    </a:xfrm>
                    <a:prstGeom prst="rect">
                      <a:avLst/>
                    </a:prstGeom>
                    <a:noFill/>
                    <a:ln>
                      <a:noFill/>
                    </a:ln>
                  </pic:spPr>
                </pic:pic>
              </a:graphicData>
            </a:graphic>
          </wp:inline>
        </w:drawing>
      </w:r>
    </w:p>
    <w:p w14:paraId="3FBE3823" w14:textId="3F925908" w:rsidR="00056FAE" w:rsidRDefault="00056FAE" w:rsidP="00056FAE">
      <w:pPr>
        <w:rPr>
          <w:rFonts w:ascii="Times New Roman" w:hAnsi="Times New Roman" w:cs="Times New Roman"/>
          <w:sz w:val="24"/>
          <w:szCs w:val="24"/>
        </w:rPr>
      </w:pPr>
      <w:r w:rsidRPr="00E01A0E">
        <w:rPr>
          <w:rFonts w:ascii="Times New Roman" w:hAnsi="Times New Roman" w:cs="Times New Roman"/>
          <w:b/>
          <w:bCs/>
          <w:sz w:val="24"/>
          <w:szCs w:val="24"/>
        </w:rPr>
        <w:t xml:space="preserve">Supplementary Figure </w:t>
      </w:r>
      <w:r>
        <w:rPr>
          <w:rFonts w:ascii="Times New Roman" w:hAnsi="Times New Roman" w:cs="Times New Roman"/>
          <w:b/>
          <w:bCs/>
          <w:sz w:val="24"/>
          <w:szCs w:val="24"/>
        </w:rPr>
        <w:t>9</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xml:space="preserve">– </w:t>
      </w:r>
      <w:r>
        <w:rPr>
          <w:rFonts w:ascii="Times New Roman" w:hAnsi="Times New Roman" w:cs="Times New Roman"/>
          <w:b/>
          <w:bCs/>
          <w:sz w:val="24"/>
          <w:szCs w:val="24"/>
        </w:rPr>
        <w:t>Motif clustering and predicted binding affinities for potential HLA-</w:t>
      </w:r>
      <w:r>
        <w:rPr>
          <w:rFonts w:ascii="Times New Roman" w:hAnsi="Times New Roman" w:cs="Times New Roman"/>
          <w:b/>
          <w:bCs/>
          <w:sz w:val="24"/>
          <w:szCs w:val="24"/>
        </w:rPr>
        <w:t>B</w:t>
      </w:r>
      <w:r>
        <w:rPr>
          <w:rFonts w:ascii="Times New Roman" w:hAnsi="Times New Roman" w:cs="Times New Roman"/>
          <w:b/>
          <w:bCs/>
          <w:sz w:val="24"/>
          <w:szCs w:val="24"/>
        </w:rPr>
        <w:t>*0</w:t>
      </w:r>
      <w:r>
        <w:rPr>
          <w:rFonts w:ascii="Times New Roman" w:hAnsi="Times New Roman" w:cs="Times New Roman"/>
          <w:b/>
          <w:bCs/>
          <w:sz w:val="24"/>
          <w:szCs w:val="24"/>
        </w:rPr>
        <w:t>8</w:t>
      </w:r>
      <w:r>
        <w:rPr>
          <w:rFonts w:ascii="Times New Roman" w:hAnsi="Times New Roman" w:cs="Times New Roman"/>
          <w:b/>
          <w:bCs/>
          <w:sz w:val="24"/>
          <w:szCs w:val="24"/>
        </w:rPr>
        <w:t xml:space="preserve">:01 ligands identified from </w:t>
      </w:r>
      <w:r w:rsidRPr="00E01A0E">
        <w:rPr>
          <w:rFonts w:ascii="Times New Roman" w:hAnsi="Times New Roman" w:cs="Times New Roman"/>
          <w:b/>
          <w:bCs/>
          <w:sz w:val="24"/>
          <w:szCs w:val="24"/>
        </w:rPr>
        <w:t>a multi-allelic B-lymphoblastoid cell line</w:t>
      </w:r>
      <w:r w:rsidRPr="00E01A0E">
        <w:rPr>
          <w:rFonts w:ascii="Times New Roman" w:hAnsi="Times New Roman" w:cs="Times New Roman"/>
          <w:sz w:val="24"/>
          <w:szCs w:val="24"/>
        </w:rPr>
        <w:t xml:space="preserve">. </w:t>
      </w:r>
      <w:r w:rsidRPr="00435029">
        <w:rPr>
          <w:rFonts w:ascii="Times New Roman" w:hAnsi="Times New Roman" w:cs="Times New Roman"/>
          <w:sz w:val="24"/>
          <w:szCs w:val="24"/>
        </w:rPr>
        <w:t>Each</w:t>
      </w:r>
      <w:r w:rsidRPr="00435029">
        <w:rPr>
          <w:rFonts w:ascii="Times New Roman" w:hAnsi="Times New Roman" w:cs="Times New Roman"/>
          <w:sz w:val="24"/>
          <w:szCs w:val="24"/>
        </w:rPr>
        <w:t xml:space="preserve"> row</w:t>
      </w:r>
      <w:r w:rsidRPr="00E01A0E">
        <w:rPr>
          <w:rFonts w:ascii="Times New Roman" w:hAnsi="Times New Roman" w:cs="Times New Roman"/>
          <w:sz w:val="24"/>
          <w:szCs w:val="24"/>
        </w:rPr>
        <w:t xml:space="preserve"> shows the </w:t>
      </w:r>
      <w:r>
        <w:rPr>
          <w:rFonts w:ascii="Times New Roman" w:hAnsi="Times New Roman" w:cs="Times New Roman"/>
          <w:sz w:val="24"/>
          <w:szCs w:val="24"/>
        </w:rPr>
        <w:t xml:space="preserve">9-mer motif profiles and histogram of the predicted binding affinity (IC50,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unit) for </w:t>
      </w:r>
      <w:r>
        <w:rPr>
          <w:rFonts w:ascii="Times New Roman" w:hAnsi="Times New Roman" w:cs="Times New Roman"/>
          <w:sz w:val="24"/>
          <w:szCs w:val="24"/>
        </w:rPr>
        <w:t xml:space="preserve">each of the 5 clusters identified by </w:t>
      </w:r>
      <w:proofErr w:type="spellStart"/>
      <w:r>
        <w:rPr>
          <w:rFonts w:ascii="Times New Roman" w:hAnsi="Times New Roman" w:cs="Times New Roman"/>
          <w:sz w:val="24"/>
          <w:szCs w:val="24"/>
        </w:rPr>
        <w:t>GibbsCluster</w:t>
      </w:r>
      <w:proofErr w:type="spellEnd"/>
      <w:r>
        <w:rPr>
          <w:rFonts w:ascii="Times New Roman" w:hAnsi="Times New Roman" w:cs="Times New Roman"/>
          <w:sz w:val="24"/>
          <w:szCs w:val="24"/>
        </w:rPr>
        <w:t>.</w:t>
      </w:r>
    </w:p>
    <w:p w14:paraId="3184CA8E" w14:textId="4DC4074C" w:rsidR="00A24EDD" w:rsidRPr="00E01A0E" w:rsidRDefault="00222D7F">
      <w:pPr>
        <w:rPr>
          <w:rFonts w:ascii="Times New Roman" w:hAnsi="Times New Roman" w:cs="Times New Roman"/>
          <w:sz w:val="24"/>
          <w:szCs w:val="24"/>
        </w:rPr>
      </w:pPr>
      <w:r w:rsidRPr="00E01A0E">
        <w:rPr>
          <w:rFonts w:ascii="Times New Roman" w:hAnsi="Times New Roman" w:cs="Times New Roman"/>
          <w:noProof/>
          <w:sz w:val="24"/>
          <w:szCs w:val="24"/>
        </w:rPr>
        <w:lastRenderedPageBreak/>
        <w:drawing>
          <wp:inline distT="0" distB="0" distL="0" distR="0" wp14:anchorId="246E4156" wp14:editId="19F63C1B">
            <wp:extent cx="5943600" cy="12338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233805"/>
                    </a:xfrm>
                    <a:prstGeom prst="rect">
                      <a:avLst/>
                    </a:prstGeom>
                    <a:noFill/>
                    <a:ln>
                      <a:noFill/>
                    </a:ln>
                  </pic:spPr>
                </pic:pic>
              </a:graphicData>
            </a:graphic>
          </wp:inline>
        </w:drawing>
      </w:r>
      <w:r w:rsidR="000F2D45" w:rsidRPr="00E01A0E">
        <w:rPr>
          <w:rFonts w:ascii="Times New Roman" w:hAnsi="Times New Roman" w:cs="Times New Roman"/>
          <w:noProof/>
          <w:sz w:val="24"/>
          <w:szCs w:val="24"/>
        </w:rPr>
        <w:drawing>
          <wp:inline distT="0" distB="0" distL="0" distR="0" wp14:anchorId="4FE77EA9" wp14:editId="472B1C9B">
            <wp:extent cx="3967701" cy="115798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384" cy="1164608"/>
                    </a:xfrm>
                    <a:prstGeom prst="rect">
                      <a:avLst/>
                    </a:prstGeom>
                    <a:noFill/>
                    <a:ln>
                      <a:noFill/>
                    </a:ln>
                  </pic:spPr>
                </pic:pic>
              </a:graphicData>
            </a:graphic>
          </wp:inline>
        </w:drawing>
      </w:r>
      <w:r w:rsidRPr="00E01A0E">
        <w:rPr>
          <w:rFonts w:ascii="Times New Roman" w:hAnsi="Times New Roman" w:cs="Times New Roman"/>
          <w:noProof/>
          <w:sz w:val="24"/>
          <w:szCs w:val="24"/>
        </w:rPr>
        <w:drawing>
          <wp:inline distT="0" distB="0" distL="0" distR="0" wp14:anchorId="334734AE" wp14:editId="06462894">
            <wp:extent cx="1971386" cy="1164566"/>
            <wp:effectExtent l="0" t="0" r="0" b="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053" cy="1172049"/>
                    </a:xfrm>
                    <a:prstGeom prst="rect">
                      <a:avLst/>
                    </a:prstGeom>
                    <a:noFill/>
                    <a:ln>
                      <a:noFill/>
                    </a:ln>
                  </pic:spPr>
                </pic:pic>
              </a:graphicData>
            </a:graphic>
          </wp:inline>
        </w:drawing>
      </w:r>
    </w:p>
    <w:p w14:paraId="064CDD46" w14:textId="64054350" w:rsidR="004A7176" w:rsidRPr="00E01A0E" w:rsidRDefault="00EF3450">
      <w:pPr>
        <w:rPr>
          <w:rFonts w:ascii="Times New Roman" w:hAnsi="Times New Roman" w:cs="Times New Roman"/>
          <w:sz w:val="24"/>
          <w:szCs w:val="24"/>
        </w:rPr>
      </w:pPr>
      <w:r w:rsidRPr="00E01A0E">
        <w:rPr>
          <w:rFonts w:ascii="Times New Roman" w:hAnsi="Times New Roman" w:cs="Times New Roman"/>
          <w:b/>
          <w:bCs/>
          <w:sz w:val="24"/>
          <w:szCs w:val="24"/>
        </w:rPr>
        <w:t xml:space="preserve">Supplementary Figure </w:t>
      </w:r>
      <w:r w:rsidR="00056FAE">
        <w:rPr>
          <w:rFonts w:ascii="Times New Roman" w:hAnsi="Times New Roman" w:cs="Times New Roman"/>
          <w:b/>
          <w:bCs/>
          <w:sz w:val="24"/>
          <w:szCs w:val="24"/>
        </w:rPr>
        <w:t>10</w:t>
      </w:r>
      <w:r w:rsidRPr="00E01A0E">
        <w:rPr>
          <w:rFonts w:ascii="Times New Roman" w:hAnsi="Times New Roman" w:cs="Times New Roman"/>
          <w:sz w:val="24"/>
          <w:szCs w:val="24"/>
        </w:rPr>
        <w:t xml:space="preserve"> </w:t>
      </w:r>
      <w:r w:rsidRPr="00E01A0E">
        <w:rPr>
          <w:rFonts w:ascii="Times New Roman" w:hAnsi="Times New Roman" w:cs="Times New Roman"/>
          <w:b/>
          <w:bCs/>
          <w:sz w:val="24"/>
          <w:szCs w:val="24"/>
        </w:rPr>
        <w:t>– Application of best practices</w:t>
      </w:r>
      <w:r w:rsidR="00E74192">
        <w:rPr>
          <w:rFonts w:ascii="Times New Roman" w:hAnsi="Times New Roman" w:cs="Times New Roman"/>
          <w:b/>
          <w:bCs/>
          <w:sz w:val="24"/>
          <w:szCs w:val="24"/>
        </w:rPr>
        <w:fldChar w:fldCharType="begin"/>
      </w:r>
      <w:r w:rsidR="00E74192">
        <w:rPr>
          <w:rFonts w:ascii="Times New Roman" w:hAnsi="Times New Roman" w:cs="Times New Roman"/>
          <w:b/>
          <w:bCs/>
          <w:sz w:val="24"/>
          <w:szCs w:val="24"/>
        </w:rPr>
        <w:instrText xml:space="preserve"> ADDIN EN.CITE &lt;EndNote&gt;&lt;Cite&gt;&lt;Author&gt;Fritsche&lt;/Author&gt;&lt;Year&gt;2021&lt;/Year&gt;&lt;IDText&gt;Pitfalls in HLA Ligandomics-How to Catch a Li(e)gand&lt;/IDText&gt;&lt;DisplayText&gt;&lt;style face="superscript"&gt;1&lt;/style&gt;&lt;/DisplayText&gt;&lt;record&gt;&lt;dates&gt;&lt;pub-dates&gt;&lt;date&gt;Jun 12&lt;/date&gt;&lt;/pub-dates&gt;&lt;year&gt;2021&lt;/year&gt;&lt;/dates&gt;&lt;keywords&gt;&lt;keyword&gt;HLA ligands&lt;/keyword&gt;&lt;keyword&gt;TCR targets&lt;/keyword&gt;&lt;keyword&gt;cancer immunotherapy&lt;/keyword&gt;&lt;keyword&gt;immunopeptidomics&lt;/keyword&gt;&lt;keyword&gt;peptide quality control&lt;/keyword&gt;&lt;/keywords&gt;&lt;urls&gt;&lt;related-urls&gt;&lt;url&gt;https://www.ncbi.nlm.nih.gov/pubmed/34129939&lt;/url&gt;&lt;/related-urls&gt;&lt;/urls&gt;&lt;isbn&gt;1535-9484&lt;/isbn&gt;&lt;custom2&gt;PMC8313844&lt;/custom2&gt;&lt;custom1&gt;Conflict of interest All authors are employees and shareholders of Immatics.&lt;/custom1&gt;&lt;titles&gt;&lt;title&gt;Pitfalls in HLA Ligandomics-How to Catch a Li(e)gand&lt;/title&gt;&lt;secondary-title&gt;Mol Cell Proteomics&lt;/secondary-title&gt;&lt;/titles&gt;&lt;pages&gt;100110&lt;/pages&gt;&lt;contributors&gt;&lt;authors&gt;&lt;author&gt;Fritsche, J.&lt;/author&gt;&lt;author&gt;Kowalewski, D. J.&lt;/author&gt;&lt;author&gt;Backert, L.&lt;/author&gt;&lt;author&gt;Gwinner, F.&lt;/author&gt;&lt;author&gt;Dorner, S.&lt;/author&gt;&lt;author&gt;Priemer, M.&lt;/author&gt;&lt;author&gt;Tsou, C. C.&lt;/author&gt;&lt;author&gt;Hoffgaard, F.&lt;/author&gt;&lt;author&gt;Römer, M.&lt;/author&gt;&lt;author&gt;Schuster, H.&lt;/author&gt;&lt;author&gt;Schoor, O.&lt;/author&gt;&lt;author&gt;Weinschenk, T.&lt;/author&gt;&lt;/authors&gt;&lt;/contributors&gt;&lt;edition&gt;20210612&lt;/edition&gt;&lt;language&gt;eng&lt;/language&gt;&lt;added-date format="utc"&gt;1631671336&lt;/added-date&gt;&lt;ref-type name="Journal Article"&gt;17&lt;/ref-type&gt;&lt;auth-address&gt;Immatics Biotechnologies GmbH, Tübingen, Germany. Immatics US, Inc, Houston, Texas, USA. Immatics Biotechnologies GmbH, Tübingen, Germany&amp;#xD;Immatics US, Inc, Houston, Texas, USA. Electronic address: toni.weinschenk@immatics.com.&lt;/auth-address&gt;&lt;rec-number&gt;591&lt;/rec-number&gt;&lt;last-updated-date format="utc"&gt;1631671336&lt;/last-updated-date&gt;&lt;accession-num&gt;34129939&lt;/accession-num&gt;&lt;electronic-resource-num&gt;10.1016/j.mcpro.2021.100110&lt;/electronic-resource-num&gt;&lt;volume&gt;20&lt;/volume&gt;&lt;/record&gt;&lt;/Cite&gt;&lt;/EndNote&gt;</w:instrText>
      </w:r>
      <w:r w:rsidR="00E74192">
        <w:rPr>
          <w:rFonts w:ascii="Times New Roman" w:hAnsi="Times New Roman" w:cs="Times New Roman"/>
          <w:b/>
          <w:bCs/>
          <w:sz w:val="24"/>
          <w:szCs w:val="24"/>
        </w:rPr>
        <w:fldChar w:fldCharType="separate"/>
      </w:r>
      <w:r w:rsidR="00E74192" w:rsidRPr="00E74192">
        <w:rPr>
          <w:rFonts w:ascii="Times New Roman" w:hAnsi="Times New Roman" w:cs="Times New Roman"/>
          <w:b/>
          <w:bCs/>
          <w:noProof/>
          <w:sz w:val="24"/>
          <w:szCs w:val="24"/>
          <w:vertAlign w:val="superscript"/>
        </w:rPr>
        <w:t>1</w:t>
      </w:r>
      <w:r w:rsidR="00E74192">
        <w:rPr>
          <w:rFonts w:ascii="Times New Roman" w:hAnsi="Times New Roman" w:cs="Times New Roman"/>
          <w:b/>
          <w:bCs/>
          <w:sz w:val="24"/>
          <w:szCs w:val="24"/>
        </w:rPr>
        <w:fldChar w:fldCharType="end"/>
      </w:r>
      <w:r w:rsidRPr="00E01A0E">
        <w:rPr>
          <w:rFonts w:ascii="Times New Roman" w:hAnsi="Times New Roman" w:cs="Times New Roman"/>
          <w:b/>
          <w:bCs/>
          <w:sz w:val="24"/>
          <w:szCs w:val="24"/>
        </w:rPr>
        <w:t xml:space="preserve"> to identify potential proteolytic cleavages and in-source fragmentation products in mono-allelic </w:t>
      </w:r>
      <w:r w:rsidR="00DA4646" w:rsidRPr="00E01A0E">
        <w:rPr>
          <w:rFonts w:ascii="Times New Roman" w:hAnsi="Times New Roman" w:cs="Times New Roman"/>
          <w:b/>
          <w:bCs/>
          <w:sz w:val="24"/>
          <w:szCs w:val="24"/>
        </w:rPr>
        <w:t xml:space="preserve">HLA </w:t>
      </w:r>
      <w:r w:rsidRPr="00E01A0E">
        <w:rPr>
          <w:rFonts w:ascii="Times New Roman" w:hAnsi="Times New Roman" w:cs="Times New Roman"/>
          <w:b/>
          <w:bCs/>
          <w:sz w:val="24"/>
          <w:szCs w:val="24"/>
        </w:rPr>
        <w:t>peptidomics data</w:t>
      </w:r>
      <w:r w:rsidRPr="00E01A0E">
        <w:rPr>
          <w:rFonts w:ascii="Times New Roman" w:hAnsi="Times New Roman" w:cs="Times New Roman"/>
          <w:sz w:val="24"/>
          <w:szCs w:val="24"/>
        </w:rPr>
        <w:t xml:space="preserve">. </w:t>
      </w:r>
      <w:r w:rsidRPr="00E74192">
        <w:rPr>
          <w:rFonts w:ascii="Times New Roman" w:hAnsi="Times New Roman" w:cs="Times New Roman"/>
          <w:b/>
          <w:bCs/>
          <w:sz w:val="24"/>
          <w:szCs w:val="24"/>
        </w:rPr>
        <w:t>Top row</w:t>
      </w:r>
      <w:r w:rsidRPr="00E01A0E">
        <w:rPr>
          <w:rFonts w:ascii="Times New Roman" w:hAnsi="Times New Roman" w:cs="Times New Roman"/>
          <w:sz w:val="24"/>
          <w:szCs w:val="24"/>
        </w:rPr>
        <w:t xml:space="preserve"> shows the protein coverage, peptide coverage, and HLA ligand propensity (see reference</w:t>
      </w:r>
      <w:r w:rsidRPr="00E01A0E">
        <w:rPr>
          <w:rFonts w:ascii="Times New Roman" w:hAnsi="Times New Roman" w:cs="Times New Roman"/>
          <w:sz w:val="24"/>
          <w:szCs w:val="24"/>
        </w:rPr>
        <w:fldChar w:fldCharType="begin"/>
      </w:r>
      <w:r w:rsidRPr="00E01A0E">
        <w:rPr>
          <w:rFonts w:ascii="Times New Roman" w:hAnsi="Times New Roman" w:cs="Times New Roman"/>
          <w:sz w:val="24"/>
          <w:szCs w:val="24"/>
        </w:rPr>
        <w:instrText xml:space="preserve"> ADDIN EN.CITE &lt;EndNote&gt;&lt;Cite&gt;&lt;Author&gt;Fritsche&lt;/Author&gt;&lt;Year&gt;2021&lt;/Year&gt;&lt;IDText&gt;Pitfalls in HLA Ligandomics-How to Catch a Li(e)gand&lt;/IDText&gt;&lt;DisplayText&gt;&lt;style face="superscript"&gt;1&lt;/style&gt;&lt;/DisplayText&gt;&lt;record&gt;&lt;dates&gt;&lt;pub-dates&gt;&lt;date&gt;Jun 12&lt;/date&gt;&lt;/pub-dates&gt;&lt;year&gt;2021&lt;/year&gt;&lt;/dates&gt;&lt;keywords&gt;&lt;keyword&gt;HLA ligands&lt;/keyword&gt;&lt;keyword&gt;TCR targets&lt;/keyword&gt;&lt;keyword&gt;cancer immunotherapy&lt;/keyword&gt;&lt;keyword&gt;immunopeptidomics&lt;/keyword&gt;&lt;keyword&gt;peptide quality control&lt;/keyword&gt;&lt;/keywords&gt;&lt;urls&gt;&lt;related-urls&gt;&lt;url&gt;https://www.ncbi.nlm.nih.gov/pubmed/34129939&lt;/url&gt;&lt;/related-urls&gt;&lt;/urls&gt;&lt;isbn&gt;1535-9484&lt;/isbn&gt;&lt;custom2&gt;PMC8313844&lt;/custom2&gt;&lt;custom1&gt;Conflict of interest All authors are employees and shareholders of Immatics.&lt;/custom1&gt;&lt;titles&gt;&lt;title&gt;Pitfalls in HLA Ligandomics-How to Catch a Li(e)gand&lt;/title&gt;&lt;secondary-title&gt;Mol Cell Proteomics&lt;/secondary-title&gt;&lt;/titles&gt;&lt;pages&gt;100110&lt;/pages&gt;&lt;contributors&gt;&lt;authors&gt;&lt;author&gt;Fritsche, J.&lt;/author&gt;&lt;author&gt;Kowalewski, D. J.&lt;/author&gt;&lt;author&gt;Backert, L.&lt;/author&gt;&lt;author&gt;Gwinner, F.&lt;/author&gt;&lt;author&gt;Dorner, S.&lt;/author&gt;&lt;author&gt;Priemer, M.&lt;/author&gt;&lt;author&gt;Tsou, C. C.&lt;/author&gt;&lt;author&gt;Hoffgaard, F.&lt;/author&gt;&lt;author&gt;Römer, M.&lt;/author&gt;&lt;author&gt;Schuster, H.&lt;/author&gt;&lt;author&gt;Schoor, O.&lt;/author&gt;&lt;author&gt;Weinschenk, T.&lt;/author&gt;&lt;/authors&gt;&lt;/contributors&gt;&lt;edition&gt;20210612&lt;/edition&gt;&lt;language&gt;eng&lt;/language&gt;&lt;added-date format="utc"&gt;1631671336&lt;/added-date&gt;&lt;ref-type name="Journal Article"&gt;17&lt;/ref-type&gt;&lt;auth-address&gt;Immatics Biotechnologies GmbH, Tübingen, Germany. Immatics US, Inc, Houston, Texas, USA. Immatics Biotechnologies GmbH, Tübingen, Germany&amp;#xD;Immatics US, Inc, Houston, Texas, USA. Electronic address: toni.weinschenk@immatics.com.&lt;/auth-address&gt;&lt;rec-number&gt;591&lt;/rec-number&gt;&lt;last-updated-date format="utc"&gt;1631671336&lt;/last-updated-date&gt;&lt;accession-num&gt;34129939&lt;/accession-num&gt;&lt;electronic-resource-num&gt;10.1016/j.mcpro.2021.100110&lt;/electronic-resource-num&gt;&lt;volume&gt;20&lt;/volume&gt;&lt;/record&gt;&lt;/Cite&gt;&lt;/EndNote&gt;</w:instrText>
      </w:r>
      <w:r w:rsidRPr="00E01A0E">
        <w:rPr>
          <w:rFonts w:ascii="Times New Roman" w:hAnsi="Times New Roman" w:cs="Times New Roman"/>
          <w:sz w:val="24"/>
          <w:szCs w:val="24"/>
        </w:rPr>
        <w:fldChar w:fldCharType="separate"/>
      </w:r>
      <w:r w:rsidRPr="00E01A0E">
        <w:rPr>
          <w:rFonts w:ascii="Times New Roman" w:hAnsi="Times New Roman" w:cs="Times New Roman"/>
          <w:noProof/>
          <w:sz w:val="24"/>
          <w:szCs w:val="24"/>
          <w:vertAlign w:val="superscript"/>
        </w:rPr>
        <w:t>1</w:t>
      </w:r>
      <w:r w:rsidRPr="00E01A0E">
        <w:rPr>
          <w:rFonts w:ascii="Times New Roman" w:hAnsi="Times New Roman" w:cs="Times New Roman"/>
          <w:sz w:val="24"/>
          <w:szCs w:val="24"/>
        </w:rPr>
        <w:fldChar w:fldCharType="end"/>
      </w:r>
      <w:r w:rsidRPr="00E01A0E">
        <w:rPr>
          <w:rFonts w:ascii="Times New Roman" w:hAnsi="Times New Roman" w:cs="Times New Roman"/>
          <w:sz w:val="24"/>
          <w:szCs w:val="24"/>
        </w:rPr>
        <w:t xml:space="preserve"> for details on how these scores were calculated). </w:t>
      </w:r>
      <w:r w:rsidR="00031B5B" w:rsidRPr="00E01A0E">
        <w:rPr>
          <w:rFonts w:ascii="Times New Roman" w:hAnsi="Times New Roman" w:cs="Times New Roman"/>
          <w:sz w:val="24"/>
          <w:szCs w:val="24"/>
        </w:rPr>
        <w:t>Black vertical dashed lines indicate t</w:t>
      </w:r>
      <w:r w:rsidRPr="00E01A0E">
        <w:rPr>
          <w:rFonts w:ascii="Times New Roman" w:hAnsi="Times New Roman" w:cs="Times New Roman"/>
          <w:sz w:val="24"/>
          <w:szCs w:val="24"/>
        </w:rPr>
        <w:t>he 1% FDR cutoffs proposed in the original study.</w:t>
      </w:r>
      <w:r w:rsidR="00031B5B" w:rsidRPr="00E01A0E">
        <w:rPr>
          <w:rFonts w:ascii="Times New Roman" w:hAnsi="Times New Roman" w:cs="Times New Roman"/>
          <w:sz w:val="24"/>
          <w:szCs w:val="24"/>
        </w:rPr>
        <w:t xml:space="preserve"> </w:t>
      </w:r>
      <w:r w:rsidR="00031B5B" w:rsidRPr="00E74192">
        <w:rPr>
          <w:rFonts w:ascii="Times New Roman" w:hAnsi="Times New Roman" w:cs="Times New Roman"/>
          <w:b/>
          <w:bCs/>
          <w:sz w:val="24"/>
          <w:szCs w:val="24"/>
        </w:rPr>
        <w:t>Bottom row</w:t>
      </w:r>
      <w:r w:rsidR="00031B5B" w:rsidRPr="00E01A0E">
        <w:rPr>
          <w:rFonts w:ascii="Times New Roman" w:hAnsi="Times New Roman" w:cs="Times New Roman"/>
          <w:sz w:val="24"/>
          <w:szCs w:val="24"/>
        </w:rPr>
        <w:t xml:space="preserve"> shows the analysis of potential in-source fragmentation events. </w:t>
      </w:r>
      <w:r w:rsidR="00031B5B" w:rsidRPr="00E74192">
        <w:rPr>
          <w:rFonts w:ascii="Times New Roman" w:hAnsi="Times New Roman" w:cs="Times New Roman"/>
          <w:b/>
          <w:bCs/>
          <w:sz w:val="24"/>
          <w:szCs w:val="24"/>
        </w:rPr>
        <w:t>The leftmost panel</w:t>
      </w:r>
      <w:r w:rsidR="00031B5B" w:rsidRPr="00E01A0E">
        <w:rPr>
          <w:rFonts w:ascii="Times New Roman" w:hAnsi="Times New Roman" w:cs="Times New Roman"/>
          <w:sz w:val="24"/>
          <w:szCs w:val="24"/>
        </w:rPr>
        <w:t xml:space="preserve"> shows the distribution of the Source Fragmentation Fraction score, which was defined as the fraction of times that a peptide could be explained as an in-source fragmentation of a</w:t>
      </w:r>
      <w:r w:rsidR="00A05FD8" w:rsidRPr="00E01A0E">
        <w:rPr>
          <w:rFonts w:ascii="Times New Roman" w:hAnsi="Times New Roman" w:cs="Times New Roman"/>
          <w:sz w:val="24"/>
          <w:szCs w:val="24"/>
        </w:rPr>
        <w:t>nother</w:t>
      </w:r>
      <w:r w:rsidR="00031B5B" w:rsidRPr="00E01A0E">
        <w:rPr>
          <w:rFonts w:ascii="Times New Roman" w:hAnsi="Times New Roman" w:cs="Times New Roman"/>
          <w:sz w:val="24"/>
          <w:szCs w:val="24"/>
        </w:rPr>
        <w:t xml:space="preserve"> co-eluding peptide in the same LC-MS/MS run (see reference</w:t>
      </w:r>
      <w:r w:rsidR="00031B5B" w:rsidRPr="00E01A0E">
        <w:rPr>
          <w:rFonts w:ascii="Times New Roman" w:hAnsi="Times New Roman" w:cs="Times New Roman"/>
          <w:sz w:val="24"/>
          <w:szCs w:val="24"/>
        </w:rPr>
        <w:fldChar w:fldCharType="begin"/>
      </w:r>
      <w:r w:rsidR="00031B5B" w:rsidRPr="00E01A0E">
        <w:rPr>
          <w:rFonts w:ascii="Times New Roman" w:hAnsi="Times New Roman" w:cs="Times New Roman"/>
          <w:sz w:val="24"/>
          <w:szCs w:val="24"/>
        </w:rPr>
        <w:instrText xml:space="preserve"> ADDIN EN.CITE &lt;EndNote&gt;&lt;Cite&gt;&lt;Author&gt;Fritsche&lt;/Author&gt;&lt;Year&gt;2021&lt;/Year&gt;&lt;IDText&gt;Pitfalls in HLA Ligandomics-How to Catch a Li(e)gand&lt;/IDText&gt;&lt;DisplayText&gt;&lt;style face="superscript"&gt;1&lt;/style&gt;&lt;/DisplayText&gt;&lt;record&gt;&lt;dates&gt;&lt;pub-dates&gt;&lt;date&gt;Jun 12&lt;/date&gt;&lt;/pub-dates&gt;&lt;year&gt;2021&lt;/year&gt;&lt;/dates&gt;&lt;keywords&gt;&lt;keyword&gt;HLA ligands&lt;/keyword&gt;&lt;keyword&gt;TCR targets&lt;/keyword&gt;&lt;keyword&gt;cancer immunotherapy&lt;/keyword&gt;&lt;keyword&gt;immunopeptidomics&lt;/keyword&gt;&lt;keyword&gt;peptide quality control&lt;/keyword&gt;&lt;/keywords&gt;&lt;urls&gt;&lt;related-urls&gt;&lt;url&gt;https://www.ncbi.nlm.nih.gov/pubmed/34129939&lt;/url&gt;&lt;/related-urls&gt;&lt;/urls&gt;&lt;isbn&gt;1535-9484&lt;/isbn&gt;&lt;custom2&gt;PMC8313844&lt;/custom2&gt;&lt;custom1&gt;Conflict of interest All authors are employees and shareholders of Immatics.&lt;/custom1&gt;&lt;titles&gt;&lt;title&gt;Pitfalls in HLA Ligandomics-How to Catch a Li(e)gand&lt;/title&gt;&lt;secondary-title&gt;Mol Cell Proteomics&lt;/secondary-title&gt;&lt;/titles&gt;&lt;pages&gt;100110&lt;/pages&gt;&lt;contributors&gt;&lt;authors&gt;&lt;author&gt;Fritsche, J.&lt;/author&gt;&lt;author&gt;Kowalewski, D. J.&lt;/author&gt;&lt;author&gt;Backert, L.&lt;/author&gt;&lt;author&gt;Gwinner, F.&lt;/author&gt;&lt;author&gt;Dorner, S.&lt;/author&gt;&lt;author&gt;Priemer, M.&lt;/author&gt;&lt;author&gt;Tsou, C. C.&lt;/author&gt;&lt;author&gt;Hoffgaard, F.&lt;/author&gt;&lt;author&gt;Römer, M.&lt;/author&gt;&lt;author&gt;Schuster, H.&lt;/author&gt;&lt;author&gt;Schoor, O.&lt;/author&gt;&lt;author&gt;Weinschenk, T.&lt;/author&gt;&lt;/authors&gt;&lt;/contributors&gt;&lt;edition&gt;20210612&lt;/edition&gt;&lt;language&gt;eng&lt;/language&gt;&lt;added-date format="utc"&gt;1631671336&lt;/added-date&gt;&lt;ref-type name="Journal Article"&gt;17&lt;/ref-type&gt;&lt;auth-address&gt;Immatics Biotechnologies GmbH, Tübingen, Germany. Immatics US, Inc, Houston, Texas, USA. Immatics Biotechnologies GmbH, Tübingen, Germany&amp;#xD;Immatics US, Inc, Houston, Texas, USA. Electronic address: toni.weinschenk@immatics.com.&lt;/auth-address&gt;&lt;rec-number&gt;591&lt;/rec-number&gt;&lt;last-updated-date format="utc"&gt;1631671336&lt;/last-updated-date&gt;&lt;accession-num&gt;34129939&lt;/accession-num&gt;&lt;electronic-resource-num&gt;10.1016/j.mcpro.2021.100110&lt;/electronic-resource-num&gt;&lt;volume&gt;20&lt;/volume&gt;&lt;/record&gt;&lt;/Cite&gt;&lt;/EndNote&gt;</w:instrText>
      </w:r>
      <w:r w:rsidR="00031B5B" w:rsidRPr="00E01A0E">
        <w:rPr>
          <w:rFonts w:ascii="Times New Roman" w:hAnsi="Times New Roman" w:cs="Times New Roman"/>
          <w:sz w:val="24"/>
          <w:szCs w:val="24"/>
        </w:rPr>
        <w:fldChar w:fldCharType="separate"/>
      </w:r>
      <w:r w:rsidR="00031B5B" w:rsidRPr="00E01A0E">
        <w:rPr>
          <w:rFonts w:ascii="Times New Roman" w:hAnsi="Times New Roman" w:cs="Times New Roman"/>
          <w:noProof/>
          <w:sz w:val="24"/>
          <w:szCs w:val="24"/>
          <w:vertAlign w:val="superscript"/>
        </w:rPr>
        <w:t>1</w:t>
      </w:r>
      <w:r w:rsidR="00031B5B" w:rsidRPr="00E01A0E">
        <w:rPr>
          <w:rFonts w:ascii="Times New Roman" w:hAnsi="Times New Roman" w:cs="Times New Roman"/>
          <w:sz w:val="24"/>
          <w:szCs w:val="24"/>
        </w:rPr>
        <w:fldChar w:fldCharType="end"/>
      </w:r>
      <w:r w:rsidR="00031B5B" w:rsidRPr="00E01A0E">
        <w:rPr>
          <w:rFonts w:ascii="Times New Roman" w:hAnsi="Times New Roman" w:cs="Times New Roman"/>
          <w:sz w:val="24"/>
          <w:szCs w:val="24"/>
        </w:rPr>
        <w:t xml:space="preserve"> for full description). </w:t>
      </w:r>
      <w:r w:rsidR="000F2D45" w:rsidRPr="00E01A0E">
        <w:rPr>
          <w:rFonts w:ascii="Times New Roman" w:hAnsi="Times New Roman" w:cs="Times New Roman"/>
          <w:sz w:val="24"/>
          <w:szCs w:val="24"/>
        </w:rPr>
        <w:t xml:space="preserve">Black vertical dashed lines indicate the 1% FDR cutoffs proposed in the original study. </w:t>
      </w:r>
      <w:r w:rsidR="00031B5B" w:rsidRPr="00E74192">
        <w:rPr>
          <w:rFonts w:ascii="Times New Roman" w:hAnsi="Times New Roman" w:cs="Times New Roman"/>
          <w:b/>
          <w:bCs/>
          <w:sz w:val="24"/>
          <w:szCs w:val="24"/>
        </w:rPr>
        <w:t>The middle panel</w:t>
      </w:r>
      <w:r w:rsidR="00031B5B" w:rsidRPr="00E01A0E">
        <w:rPr>
          <w:rFonts w:ascii="Times New Roman" w:hAnsi="Times New Roman" w:cs="Times New Roman"/>
          <w:sz w:val="24"/>
          <w:szCs w:val="24"/>
        </w:rPr>
        <w:t xml:space="preserve"> shows the </w:t>
      </w:r>
      <w:r w:rsidR="00A05FD8" w:rsidRPr="00E01A0E">
        <w:rPr>
          <w:rFonts w:ascii="Times New Roman" w:hAnsi="Times New Roman" w:cs="Times New Roman"/>
          <w:sz w:val="24"/>
          <w:szCs w:val="24"/>
        </w:rPr>
        <w:t xml:space="preserve">distribution of amino acids that were lost due to in-source fragmentation. </w:t>
      </w:r>
      <w:r w:rsidR="00A05FD8" w:rsidRPr="00E74192">
        <w:rPr>
          <w:rFonts w:ascii="Times New Roman" w:hAnsi="Times New Roman" w:cs="Times New Roman"/>
          <w:b/>
          <w:bCs/>
          <w:sz w:val="24"/>
          <w:szCs w:val="24"/>
        </w:rPr>
        <w:t>The rightmost panel</w:t>
      </w:r>
      <w:r w:rsidR="00A05FD8" w:rsidRPr="00E01A0E">
        <w:rPr>
          <w:rFonts w:ascii="Times New Roman" w:hAnsi="Times New Roman" w:cs="Times New Roman"/>
          <w:sz w:val="24"/>
          <w:szCs w:val="24"/>
        </w:rPr>
        <w:t xml:space="preserve"> shows the distribution of the number of in-source fragmentation events per protein.</w:t>
      </w:r>
    </w:p>
    <w:p w14:paraId="7425BFA2" w14:textId="77777777" w:rsidR="00E74192" w:rsidRPr="00E74192" w:rsidRDefault="00EF3450" w:rsidP="00E74192">
      <w:pPr>
        <w:pStyle w:val="EndNoteBibliography"/>
      </w:pPr>
      <w:r w:rsidRPr="00E01A0E">
        <w:rPr>
          <w:rFonts w:ascii="Times New Roman" w:hAnsi="Times New Roman" w:cs="Times New Roman"/>
          <w:sz w:val="24"/>
          <w:szCs w:val="24"/>
        </w:rPr>
        <w:fldChar w:fldCharType="begin"/>
      </w:r>
      <w:r w:rsidRPr="00E01A0E">
        <w:rPr>
          <w:rFonts w:ascii="Times New Roman" w:hAnsi="Times New Roman" w:cs="Times New Roman"/>
          <w:sz w:val="24"/>
          <w:szCs w:val="24"/>
        </w:rPr>
        <w:instrText xml:space="preserve"> ADDIN EN.REFLIST </w:instrText>
      </w:r>
      <w:r w:rsidRPr="00E01A0E">
        <w:rPr>
          <w:rFonts w:ascii="Times New Roman" w:hAnsi="Times New Roman" w:cs="Times New Roman"/>
          <w:sz w:val="24"/>
          <w:szCs w:val="24"/>
        </w:rPr>
        <w:fldChar w:fldCharType="separate"/>
      </w:r>
      <w:r w:rsidR="00E74192" w:rsidRPr="00E74192">
        <w:t>1.</w:t>
      </w:r>
      <w:r w:rsidR="00E74192" w:rsidRPr="00E74192">
        <w:tab/>
        <w:t xml:space="preserve">Fritsche J, Kowalewski DJ, Backert L, et al. Pitfalls in HLA Ligandomics-How to Catch a Li(e)gand. </w:t>
      </w:r>
      <w:r w:rsidR="00E74192" w:rsidRPr="00E74192">
        <w:rPr>
          <w:i/>
        </w:rPr>
        <w:t>Mol Cell Proteomics</w:t>
      </w:r>
      <w:r w:rsidR="00E74192" w:rsidRPr="00E74192">
        <w:t>. Jun 12 2021;20:100110. doi:10.1016/j.mcpro.2021.100110</w:t>
      </w:r>
    </w:p>
    <w:p w14:paraId="7DEB72CC" w14:textId="36A507B7" w:rsidR="00EF3450" w:rsidRPr="00E01A0E" w:rsidRDefault="00EF3450">
      <w:pPr>
        <w:rPr>
          <w:rFonts w:ascii="Times New Roman" w:hAnsi="Times New Roman" w:cs="Times New Roman"/>
          <w:sz w:val="24"/>
          <w:szCs w:val="24"/>
          <w:cs/>
        </w:rPr>
      </w:pPr>
      <w:r w:rsidRPr="00E01A0E">
        <w:rPr>
          <w:rFonts w:ascii="Times New Roman" w:hAnsi="Times New Roman" w:cs="Times New Roman"/>
          <w:sz w:val="24"/>
          <w:szCs w:val="24"/>
        </w:rPr>
        <w:fldChar w:fldCharType="end"/>
      </w:r>
    </w:p>
    <w:sectPr w:rsidR="00EF3450" w:rsidRPr="00E01A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62D2F"/>
    <w:rsid w:val="00010ABA"/>
    <w:rsid w:val="00010E66"/>
    <w:rsid w:val="00031B5B"/>
    <w:rsid w:val="00056FAE"/>
    <w:rsid w:val="000F2D45"/>
    <w:rsid w:val="000F3641"/>
    <w:rsid w:val="00187928"/>
    <w:rsid w:val="001A5DF1"/>
    <w:rsid w:val="00222D7F"/>
    <w:rsid w:val="002F1370"/>
    <w:rsid w:val="00435029"/>
    <w:rsid w:val="00460529"/>
    <w:rsid w:val="004A7176"/>
    <w:rsid w:val="004B6740"/>
    <w:rsid w:val="005025CB"/>
    <w:rsid w:val="00570187"/>
    <w:rsid w:val="005C49E4"/>
    <w:rsid w:val="006C1FDD"/>
    <w:rsid w:val="00805FE4"/>
    <w:rsid w:val="00871797"/>
    <w:rsid w:val="008D1FFA"/>
    <w:rsid w:val="009B3394"/>
    <w:rsid w:val="009D3EBD"/>
    <w:rsid w:val="009F3F55"/>
    <w:rsid w:val="00A05FD8"/>
    <w:rsid w:val="00A24EDD"/>
    <w:rsid w:val="00BC0DA1"/>
    <w:rsid w:val="00BC2DC4"/>
    <w:rsid w:val="00BD5C41"/>
    <w:rsid w:val="00BF72DE"/>
    <w:rsid w:val="00C32812"/>
    <w:rsid w:val="00C541D4"/>
    <w:rsid w:val="00D44443"/>
    <w:rsid w:val="00DA4646"/>
    <w:rsid w:val="00E01A0E"/>
    <w:rsid w:val="00E62D2F"/>
    <w:rsid w:val="00E74192"/>
    <w:rsid w:val="00EF3450"/>
    <w:rsid w:val="00F95885"/>
    <w:rsid w:val="00FA4C32"/>
    <w:rsid w:val="00FB2B1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C3A9F"/>
  <w15:chartTrackingRefBased/>
  <w15:docId w15:val="{CB23274A-3830-482E-833C-01781738F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ja-JP"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F345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3450"/>
    <w:rPr>
      <w:rFonts w:ascii="Calibri" w:hAnsi="Calibri" w:cs="Calibri"/>
      <w:noProof/>
    </w:rPr>
  </w:style>
  <w:style w:type="paragraph" w:customStyle="1" w:styleId="EndNoteBibliography">
    <w:name w:val="EndNote Bibliography"/>
    <w:basedOn w:val="Normal"/>
    <w:link w:val="EndNoteBibliographyChar"/>
    <w:rsid w:val="00EF345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F3450"/>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11</Pages>
  <Words>1885</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 Sriswasdi</dc:creator>
  <cp:keywords/>
  <dc:description/>
  <cp:lastModifiedBy>Sira Sriswasdi</cp:lastModifiedBy>
  <cp:revision>24</cp:revision>
  <dcterms:created xsi:type="dcterms:W3CDTF">2021-08-19T03:54:00Z</dcterms:created>
  <dcterms:modified xsi:type="dcterms:W3CDTF">2022-02-16T09:10:00Z</dcterms:modified>
</cp:coreProperties>
</file>